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ageBreakBefore w:val="0"/>
        <w:tabs>
          <w:tab w:val="left" w:pos="6309"/>
          <w:tab w:val="left" w:pos="8087"/>
        </w:tabs>
        <w:kinsoku/>
        <w:wordWrap/>
        <w:overflowPunct/>
        <w:topLinePunct w:val="0"/>
        <w:bidi w:val="0"/>
        <w:spacing w:before="0" w:after="0" w:line="600" w:lineRule="exact"/>
        <w:ind w:left="0" w:leftChars="0" w:right="0"/>
        <w:jc w:val="center"/>
        <w:textAlignment w:val="auto"/>
        <w:outlineLvl w:val="0"/>
        <w:rPr>
          <w:rFonts w:hint="eastAsia" w:ascii="宋体" w:hAnsi="宋体" w:eastAsia="宋体" w:cs="宋体"/>
          <w:b w:val="0"/>
          <w:bCs w:val="0"/>
          <w:color w:val="auto"/>
          <w:w w:val="105"/>
          <w:sz w:val="44"/>
          <w:szCs w:val="44"/>
          <w:highlight w:val="none"/>
        </w:rPr>
      </w:pPr>
      <w:bookmarkStart w:id="0" w:name="_Toc2526"/>
      <w:bookmarkStart w:id="1" w:name="_Toc410"/>
      <w:bookmarkStart w:id="2" w:name="_Toc32719"/>
      <w:bookmarkStart w:id="3" w:name="_Toc26858"/>
      <w:bookmarkStart w:id="4" w:name="_Toc31592"/>
      <w:r>
        <w:rPr>
          <w:rFonts w:hint="eastAsia" w:ascii="方正小标宋简体" w:hAnsi="方正小标宋简体" w:eastAsia="方正小标宋简体" w:cs="方正小标宋简体"/>
          <w:b w:val="0"/>
          <w:bCs w:val="0"/>
          <w:color w:val="auto"/>
          <w:sz w:val="44"/>
          <w:szCs w:val="44"/>
          <w:highlight w:val="none"/>
          <w:lang w:eastAsia="zh-CN"/>
        </w:rPr>
        <w:t>同心县</w:t>
      </w:r>
      <w:r>
        <w:rPr>
          <w:rFonts w:hint="eastAsia" w:ascii="方正小标宋简体" w:hAnsi="方正小标宋简体" w:eastAsia="方正小标宋简体" w:cs="方正小标宋简体"/>
          <w:b w:val="0"/>
          <w:bCs w:val="0"/>
          <w:color w:val="auto"/>
          <w:sz w:val="44"/>
          <w:szCs w:val="44"/>
          <w:highlight w:val="none"/>
        </w:rPr>
        <w:t>残疾人保障和发展</w:t>
      </w:r>
      <w:bookmarkEnd w:id="0"/>
      <w:bookmarkEnd w:id="1"/>
      <w:bookmarkEnd w:id="2"/>
      <w:bookmarkEnd w:id="3"/>
      <w:bookmarkEnd w:id="4"/>
      <w:bookmarkStart w:id="5" w:name="_Toc24455"/>
      <w:bookmarkStart w:id="6" w:name="_Toc26091"/>
      <w:bookmarkStart w:id="7" w:name="_Toc5957"/>
      <w:bookmarkStart w:id="8" w:name="_Toc17655"/>
      <w:bookmarkStart w:id="9" w:name="_Toc6631"/>
      <w:r>
        <w:rPr>
          <w:rFonts w:hint="eastAsia" w:ascii="方正小标宋简体" w:hAnsi="方正小标宋简体" w:eastAsia="方正小标宋简体" w:cs="方正小标宋简体"/>
          <w:b w:val="0"/>
          <w:bCs w:val="0"/>
          <w:color w:val="auto"/>
          <w:spacing w:val="-3"/>
          <w:w w:val="130"/>
          <w:position w:val="1"/>
          <w:sz w:val="44"/>
          <w:szCs w:val="44"/>
          <w:highlight w:val="none"/>
        </w:rPr>
        <w:t>“</w:t>
      </w:r>
      <w:r>
        <w:rPr>
          <w:rFonts w:hint="eastAsia" w:ascii="方正小标宋简体" w:hAnsi="方正小标宋简体" w:eastAsia="方正小标宋简体" w:cs="方正小标宋简体"/>
          <w:b w:val="0"/>
          <w:bCs w:val="0"/>
          <w:color w:val="auto"/>
          <w:w w:val="105"/>
          <w:sz w:val="44"/>
          <w:szCs w:val="44"/>
          <w:highlight w:val="none"/>
        </w:rPr>
        <w:t>十四</w:t>
      </w:r>
      <w:r>
        <w:rPr>
          <w:rFonts w:hint="eastAsia" w:ascii="方正小标宋简体" w:hAnsi="方正小标宋简体" w:eastAsia="方正小标宋简体" w:cs="方正小标宋简体"/>
          <w:b w:val="0"/>
          <w:bCs w:val="0"/>
          <w:color w:val="auto"/>
          <w:spacing w:val="-6"/>
          <w:w w:val="105"/>
          <w:sz w:val="44"/>
          <w:szCs w:val="44"/>
          <w:highlight w:val="none"/>
        </w:rPr>
        <w:t>五</w:t>
      </w:r>
      <w:r>
        <w:rPr>
          <w:rFonts w:hint="eastAsia" w:ascii="方正小标宋简体" w:hAnsi="方正小标宋简体" w:eastAsia="方正小标宋简体" w:cs="方正小标宋简体"/>
          <w:b w:val="0"/>
          <w:bCs w:val="0"/>
          <w:color w:val="auto"/>
          <w:w w:val="130"/>
          <w:position w:val="1"/>
          <w:sz w:val="44"/>
          <w:szCs w:val="44"/>
          <w:highlight w:val="none"/>
        </w:rPr>
        <w:t>”</w:t>
      </w:r>
      <w:r>
        <w:rPr>
          <w:rFonts w:hint="eastAsia" w:ascii="方正小标宋简体" w:hAnsi="方正小标宋简体" w:eastAsia="方正小标宋简体" w:cs="方正小标宋简体"/>
          <w:b w:val="0"/>
          <w:bCs w:val="0"/>
          <w:color w:val="auto"/>
          <w:w w:val="105"/>
          <w:sz w:val="44"/>
          <w:szCs w:val="44"/>
          <w:highlight w:val="none"/>
        </w:rPr>
        <w:t>规划</w:t>
      </w:r>
      <w:bookmarkEnd w:id="5"/>
      <w:bookmarkEnd w:id="6"/>
      <w:bookmarkEnd w:id="7"/>
      <w:bookmarkEnd w:id="8"/>
      <w:bookmarkEnd w:id="9"/>
    </w:p>
    <w:p>
      <w:pPr>
        <w:pageBreakBefore w:val="0"/>
        <w:tabs>
          <w:tab w:val="left" w:pos="6309"/>
          <w:tab w:val="left" w:pos="8087"/>
        </w:tabs>
        <w:kinsoku/>
        <w:wordWrap/>
        <w:overflowPunct/>
        <w:topLinePunct w:val="0"/>
        <w:bidi w:val="0"/>
        <w:spacing w:before="0" w:after="0" w:line="600" w:lineRule="exact"/>
        <w:ind w:left="0" w:leftChars="0" w:right="0"/>
        <w:jc w:val="center"/>
        <w:textAlignment w:val="auto"/>
        <w:outlineLvl w:val="0"/>
        <w:rPr>
          <w:rFonts w:hint="eastAsia" w:ascii="楷体" w:hAnsi="楷体" w:eastAsia="楷体" w:cs="楷体"/>
          <w:b w:val="0"/>
          <w:bCs w:val="0"/>
          <w:color w:val="auto"/>
          <w:w w:val="105"/>
          <w:sz w:val="44"/>
          <w:szCs w:val="44"/>
          <w:highlight w:val="none"/>
          <w:lang w:eastAsia="zh-CN"/>
        </w:rPr>
      </w:pPr>
    </w:p>
    <w:p>
      <w:pPr>
        <w:pageBreakBefore w:val="0"/>
        <w:tabs>
          <w:tab w:val="left" w:pos="6309"/>
          <w:tab w:val="left" w:pos="8087"/>
        </w:tabs>
        <w:kinsoku/>
        <w:wordWrap/>
        <w:overflowPunct/>
        <w:topLinePunct w:val="0"/>
        <w:bidi w:val="0"/>
        <w:spacing w:before="0" w:after="0" w:line="600" w:lineRule="exact"/>
        <w:ind w:left="0" w:leftChars="0" w:right="0"/>
        <w:jc w:val="center"/>
        <w:textAlignment w:val="auto"/>
        <w:outlineLvl w:val="0"/>
        <w:rPr>
          <w:rFonts w:hint="eastAsia" w:ascii="仿宋" w:hAnsi="仿宋" w:eastAsia="仿宋" w:cs="仿宋"/>
          <w:b w:val="0"/>
          <w:bCs w:val="0"/>
          <w:color w:val="auto"/>
          <w:w w:val="105"/>
          <w:sz w:val="32"/>
          <w:szCs w:val="32"/>
          <w:highlight w:val="none"/>
          <w:lang w:eastAsia="zh-CN"/>
        </w:rPr>
      </w:pPr>
      <w:r>
        <w:rPr>
          <w:rFonts w:hint="eastAsia" w:ascii="仿宋" w:hAnsi="仿宋" w:eastAsia="仿宋" w:cs="仿宋"/>
          <w:b w:val="0"/>
          <w:bCs w:val="0"/>
          <w:color w:val="auto"/>
          <w:w w:val="105"/>
          <w:sz w:val="32"/>
          <w:szCs w:val="32"/>
          <w:highlight w:val="none"/>
          <w:lang w:eastAsia="zh-CN"/>
        </w:rPr>
        <w:t>（征求意见稿）</w:t>
      </w:r>
    </w:p>
    <w:p>
      <w:pPr>
        <w:pStyle w:val="2"/>
        <w:pageBreakBefore w:val="0"/>
        <w:kinsoku/>
        <w:wordWrap/>
        <w:overflowPunct/>
        <w:topLinePunct w:val="0"/>
        <w:bidi w:val="0"/>
        <w:spacing w:before="0" w:after="0" w:line="600" w:lineRule="exact"/>
        <w:ind w:left="0" w:leftChars="0" w:right="0"/>
        <w:textAlignment w:val="auto"/>
        <w:rPr>
          <w:rFonts w:hint="eastAsia"/>
        </w:rPr>
      </w:pPr>
    </w:p>
    <w:p>
      <w:pPr>
        <w:pageBreakBefore w:val="0"/>
        <w:kinsoku/>
        <w:wordWrap/>
        <w:overflowPunct/>
        <w:topLinePunct w:val="0"/>
        <w:bidi w:val="0"/>
        <w:spacing w:before="0" w:after="0" w:line="600" w:lineRule="exact"/>
        <w:ind w:left="0" w:leftChars="0" w:right="0" w:firstLine="640" w:firstLineChars="200"/>
        <w:jc w:val="both"/>
        <w:textAlignment w:val="auto"/>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rPr>
        <w:t>为深入贯彻习近平总书记关于残疾人事业的重要论述</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rPr>
        <w:t>重要指示批示精神和视察宁夏重要讲话精神</w:t>
      </w:r>
      <w:r>
        <w:rPr>
          <w:rFonts w:hint="eastAsia" w:ascii="仿宋" w:hAnsi="仿宋" w:eastAsia="仿宋" w:cs="仿宋"/>
          <w:color w:val="auto"/>
          <w:sz w:val="32"/>
          <w:szCs w:val="32"/>
          <w:highlight w:val="none"/>
          <w:lang w:eastAsia="zh-CN"/>
        </w:rPr>
        <w:t>，进</w:t>
      </w:r>
      <w:r>
        <w:rPr>
          <w:rFonts w:hint="eastAsia" w:ascii="仿宋" w:hAnsi="仿宋" w:eastAsia="仿宋" w:cs="仿宋"/>
          <w:color w:val="auto"/>
          <w:sz w:val="32"/>
          <w:szCs w:val="32"/>
          <w:highlight w:val="none"/>
        </w:rPr>
        <w:t>一步保障和改善残疾人民生</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rPr>
        <w:t>加快推进</w:t>
      </w:r>
      <w:r>
        <w:rPr>
          <w:rFonts w:hint="eastAsia" w:ascii="仿宋" w:hAnsi="仿宋" w:eastAsia="仿宋" w:cs="仿宋"/>
          <w:color w:val="auto"/>
          <w:sz w:val="32"/>
          <w:szCs w:val="32"/>
          <w:highlight w:val="none"/>
          <w:lang w:val="en-US" w:eastAsia="zh-CN"/>
        </w:rPr>
        <w:t>同心县</w:t>
      </w:r>
      <w:r>
        <w:rPr>
          <w:rFonts w:hint="eastAsia" w:ascii="仿宋" w:hAnsi="仿宋" w:eastAsia="仿宋" w:cs="仿宋"/>
          <w:color w:val="auto"/>
          <w:sz w:val="32"/>
          <w:szCs w:val="32"/>
          <w:highlight w:val="none"/>
        </w:rPr>
        <w:t>残疾人事业高质量发展</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rPr>
        <w:t>根据</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rPr>
        <w:t>中华人民共和国残疾人保障法》</w:t>
      </w:r>
      <w:r>
        <w:rPr>
          <w:rFonts w:hint="eastAsia" w:ascii="仿宋" w:hAnsi="仿宋" w:eastAsia="仿宋" w:cs="仿宋"/>
          <w:color w:val="auto"/>
          <w:sz w:val="32"/>
          <w:szCs w:val="32"/>
          <w:highlight w:val="none"/>
          <w:lang w:val="en-US" w:eastAsia="zh-CN"/>
        </w:rPr>
        <w:t>《宁夏回族自治区残疾人保障和发展“十四五”规划》</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rPr>
        <w:t>吴忠市残疾人保障和发展“十四五”规划</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lang w:val="en-US" w:eastAsia="zh-CN"/>
        </w:rPr>
        <w:t>和</w:t>
      </w:r>
      <w:r>
        <w:rPr>
          <w:rFonts w:hint="eastAsia" w:ascii="仿宋" w:hAnsi="仿宋" w:eastAsia="仿宋" w:cs="仿宋"/>
          <w:color w:val="auto"/>
          <w:sz w:val="32"/>
          <w:szCs w:val="32"/>
          <w:highlight w:val="none"/>
          <w:lang w:eastAsia="zh-CN"/>
        </w:rPr>
        <w:t>《同心县国民经济和社会发展第十四个五年规划和</w:t>
      </w:r>
      <w:r>
        <w:rPr>
          <w:rFonts w:hint="eastAsia" w:ascii="仿宋" w:hAnsi="仿宋" w:eastAsia="仿宋" w:cs="仿宋"/>
          <w:color w:val="auto"/>
          <w:sz w:val="32"/>
          <w:szCs w:val="32"/>
          <w:highlight w:val="none"/>
          <w:lang w:val="en-US" w:eastAsia="zh-CN"/>
        </w:rPr>
        <w:t>2035远景目标纲要</w:t>
      </w:r>
      <w:r>
        <w:rPr>
          <w:rFonts w:hint="eastAsia" w:ascii="仿宋" w:hAnsi="仿宋" w:eastAsia="仿宋" w:cs="仿宋"/>
          <w:color w:val="auto"/>
          <w:sz w:val="32"/>
          <w:szCs w:val="32"/>
          <w:highlight w:val="none"/>
          <w:lang w:eastAsia="zh-CN"/>
        </w:rPr>
        <w:t>》（同政</w:t>
      </w:r>
      <w:r>
        <w:rPr>
          <w:rFonts w:hint="eastAsia" w:ascii="仿宋" w:hAnsi="仿宋" w:eastAsia="仿宋" w:cs="仿宋"/>
          <w:color w:val="auto"/>
          <w:sz w:val="32"/>
          <w:szCs w:val="32"/>
          <w:highlight w:val="none"/>
        </w:rPr>
        <w:t>发〔2021〕</w:t>
      </w:r>
      <w:r>
        <w:rPr>
          <w:rFonts w:hint="eastAsia" w:ascii="仿宋" w:hAnsi="仿宋" w:eastAsia="仿宋" w:cs="仿宋"/>
          <w:color w:val="auto"/>
          <w:sz w:val="32"/>
          <w:szCs w:val="32"/>
          <w:highlight w:val="none"/>
          <w:lang w:val="en-US" w:eastAsia="zh-CN"/>
        </w:rPr>
        <w:t>48</w:t>
      </w:r>
      <w:r>
        <w:rPr>
          <w:rFonts w:hint="eastAsia" w:ascii="仿宋" w:hAnsi="仿宋" w:eastAsia="仿宋" w:cs="仿宋"/>
          <w:color w:val="auto"/>
          <w:sz w:val="32"/>
          <w:szCs w:val="32"/>
          <w:highlight w:val="none"/>
        </w:rPr>
        <w:t>号</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rPr>
        <w:t>制定本规划</w:t>
      </w:r>
      <w:r>
        <w:rPr>
          <w:rFonts w:hint="eastAsia" w:ascii="仿宋" w:hAnsi="仿宋" w:eastAsia="仿宋" w:cs="仿宋"/>
          <w:color w:val="auto"/>
          <w:sz w:val="32"/>
          <w:szCs w:val="32"/>
          <w:highlight w:val="none"/>
          <w:lang w:eastAsia="zh-CN"/>
        </w:rPr>
        <w:t>。</w:t>
      </w:r>
    </w:p>
    <w:p>
      <w:pPr>
        <w:pStyle w:val="3"/>
        <w:pageBreakBefore w:val="0"/>
        <w:kinsoku/>
        <w:wordWrap/>
        <w:overflowPunct/>
        <w:topLinePunct w:val="0"/>
        <w:bidi w:val="0"/>
        <w:spacing w:before="0" w:beforeLines="0" w:after="0" w:afterLines="0" w:line="600" w:lineRule="exact"/>
        <w:ind w:left="0" w:leftChars="0" w:right="0"/>
        <w:textAlignment w:val="auto"/>
        <w:rPr>
          <w:rFonts w:hint="eastAsia"/>
          <w:b w:val="0"/>
          <w:bCs/>
        </w:rPr>
      </w:pPr>
      <w:bookmarkStart w:id="10" w:name="_Toc5347"/>
      <w:r>
        <w:rPr>
          <w:rFonts w:hint="eastAsia"/>
          <w:b w:val="0"/>
          <w:bCs/>
        </w:rPr>
        <w:t>一</w:t>
      </w:r>
      <w:r>
        <w:rPr>
          <w:rFonts w:hint="eastAsia"/>
          <w:b w:val="0"/>
          <w:bCs/>
          <w:lang w:eastAsia="zh-CN"/>
        </w:rPr>
        <w:t>、</w:t>
      </w:r>
      <w:r>
        <w:rPr>
          <w:rFonts w:hint="eastAsia"/>
          <w:b w:val="0"/>
          <w:bCs/>
        </w:rPr>
        <w:t>发展基础</w:t>
      </w:r>
      <w:bookmarkEnd w:id="10"/>
    </w:p>
    <w:p>
      <w:pPr>
        <w:pageBreakBefore w:val="0"/>
        <w:kinsoku/>
        <w:wordWrap/>
        <w:overflowPunct/>
        <w:topLinePunct w:val="0"/>
        <w:bidi w:val="0"/>
        <w:spacing w:before="0" w:after="0" w:line="600" w:lineRule="exact"/>
        <w:ind w:left="0" w:leftChars="0" w:right="0" w:firstLine="640" w:firstLineChars="200"/>
        <w:jc w:val="both"/>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“十三五”期间，</w:t>
      </w:r>
      <w:r>
        <w:rPr>
          <w:rFonts w:hint="eastAsia" w:ascii="仿宋" w:hAnsi="仿宋" w:eastAsia="仿宋" w:cs="仿宋"/>
          <w:color w:val="auto"/>
          <w:sz w:val="32"/>
          <w:szCs w:val="32"/>
          <w:highlight w:val="none"/>
          <w:lang w:eastAsia="zh-CN"/>
        </w:rPr>
        <w:t>同心</w:t>
      </w:r>
      <w:r>
        <w:rPr>
          <w:rFonts w:hint="eastAsia" w:ascii="仿宋" w:hAnsi="仿宋" w:eastAsia="仿宋" w:cs="仿宋"/>
          <w:color w:val="auto"/>
          <w:sz w:val="32"/>
          <w:szCs w:val="32"/>
          <w:highlight w:val="none"/>
        </w:rPr>
        <w:t>县残疾人工作紧紧围绕“全面建成小康社会，残疾人一个也不能少”为目标，紧盯“两不愁三保障”核心脱贫指标，针对残疾人群体特殊困难，着力补齐残疾人脱贫“短板”，堵严返贫“漏洞”，夯实保障基础，取得了突破性进展</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rPr>
        <w:t>残疾人自强自立、平等参与的社会格局不断深化，残疾人工作体制机制进一步完善，</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lang w:val="en-US" w:eastAsia="zh-CN"/>
        </w:rPr>
        <w:t>十三五</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lang w:val="en-US" w:eastAsia="zh-CN"/>
        </w:rPr>
        <w:t>期间</w:t>
      </w:r>
      <w:r>
        <w:rPr>
          <w:rFonts w:hint="eastAsia" w:ascii="仿宋" w:hAnsi="仿宋" w:eastAsia="仿宋" w:cs="仿宋"/>
          <w:color w:val="auto"/>
          <w:sz w:val="32"/>
          <w:szCs w:val="32"/>
          <w:highlight w:val="none"/>
        </w:rPr>
        <w:t>提出的主要目标任务基本完成，残疾人权益得到有效保障，生活得到较大改善。</w:t>
      </w:r>
    </w:p>
    <w:p>
      <w:pPr>
        <w:pageBreakBefore w:val="0"/>
        <w:numPr>
          <w:ilvl w:val="0"/>
          <w:numId w:val="0"/>
        </w:numPr>
        <w:kinsoku/>
        <w:wordWrap/>
        <w:overflowPunct/>
        <w:topLinePunct w:val="0"/>
        <w:bidi w:val="0"/>
        <w:adjustRightInd w:val="0"/>
        <w:snapToGrid w:val="0"/>
        <w:spacing w:before="0" w:after="0" w:line="600" w:lineRule="exact"/>
        <w:ind w:left="0" w:leftChars="0" w:right="0" w:rightChars="0" w:firstLine="643" w:firstLineChars="200"/>
        <w:jc w:val="both"/>
        <w:textAlignment w:val="auto"/>
        <w:rPr>
          <w:rFonts w:hint="eastAsia" w:ascii="仿宋" w:hAnsi="仿宋" w:eastAsia="仿宋" w:cs="仿宋"/>
          <w:color w:val="auto"/>
          <w:sz w:val="32"/>
          <w:szCs w:val="32"/>
          <w:highlight w:val="none"/>
        </w:rPr>
      </w:pPr>
      <w:r>
        <w:rPr>
          <w:rFonts w:hint="eastAsia" w:ascii="楷体" w:hAnsi="楷体" w:eastAsia="楷体" w:cs="楷体"/>
          <w:b/>
          <w:bCs/>
          <w:color w:val="auto"/>
          <w:sz w:val="32"/>
          <w:szCs w:val="32"/>
          <w:highlight w:val="none"/>
        </w:rPr>
        <w:t>强化保障，构建系统全面的顶层设计</w:t>
      </w:r>
      <w:r>
        <w:rPr>
          <w:rFonts w:hint="eastAsia" w:ascii="楷体" w:hAnsi="楷体" w:eastAsia="楷体" w:cs="楷体"/>
          <w:b/>
          <w:bCs/>
          <w:color w:val="auto"/>
          <w:sz w:val="32"/>
          <w:szCs w:val="32"/>
          <w:highlight w:val="none"/>
          <w:lang w:eastAsia="zh-CN"/>
        </w:rPr>
        <w:t>。</w:t>
      </w:r>
      <w:r>
        <w:rPr>
          <w:rFonts w:hint="eastAsia" w:ascii="仿宋" w:hAnsi="仿宋" w:eastAsia="仿宋" w:cs="仿宋"/>
          <w:color w:val="auto"/>
          <w:sz w:val="32"/>
          <w:szCs w:val="32"/>
          <w:highlight w:val="none"/>
        </w:rPr>
        <w:t>为确保全县贫困残疾人与其他贫困人口同步脱贫、共享小康，县委和政府专门研究制定了《同心县2019-2020年打赢残疾人脱贫攻坚战行动方案》《同心县2020年脱贫攻坚作战方案》《同心县2020年产业扶贫项目实施方案》，针对残疾人脱贫攻坚中存在的特殊困难，按照“普惠+特惠”、“兜底+补短”、“细化+实化”的原则，靶向制定评定、保障、康复、预防、教育、培训、就业等方面二十条措施，加快全县持证残疾人14731人脱贫步伐，该方案被自治区残联作为范本转发全区各市县区。</w:t>
      </w:r>
    </w:p>
    <w:p>
      <w:pPr>
        <w:pageBreakBefore w:val="0"/>
        <w:numPr>
          <w:ilvl w:val="0"/>
          <w:numId w:val="0"/>
        </w:numPr>
        <w:kinsoku/>
        <w:wordWrap/>
        <w:overflowPunct/>
        <w:topLinePunct w:val="0"/>
        <w:bidi w:val="0"/>
        <w:adjustRightInd w:val="0"/>
        <w:snapToGrid w:val="0"/>
        <w:spacing w:before="0" w:after="0" w:line="600" w:lineRule="exact"/>
        <w:ind w:left="0" w:leftChars="0" w:right="0" w:rightChars="0" w:firstLine="643" w:firstLineChars="200"/>
        <w:jc w:val="both"/>
        <w:textAlignment w:val="auto"/>
        <w:rPr>
          <w:rFonts w:hint="eastAsia" w:ascii="仿宋" w:hAnsi="仿宋" w:eastAsia="仿宋" w:cs="仿宋"/>
          <w:color w:val="auto"/>
          <w:sz w:val="32"/>
          <w:szCs w:val="32"/>
          <w:highlight w:val="none"/>
        </w:rPr>
      </w:pPr>
      <w:r>
        <w:rPr>
          <w:rFonts w:hint="eastAsia" w:ascii="楷体" w:hAnsi="楷体" w:eastAsia="楷体" w:cs="楷体"/>
          <w:b/>
          <w:bCs/>
          <w:color w:val="auto"/>
          <w:sz w:val="32"/>
          <w:szCs w:val="32"/>
          <w:highlight w:val="none"/>
        </w:rPr>
        <w:t>精准施策，改善残疾人康复条件</w:t>
      </w:r>
      <w:r>
        <w:rPr>
          <w:rFonts w:hint="eastAsia" w:ascii="楷体" w:hAnsi="楷体" w:eastAsia="楷体" w:cs="楷体"/>
          <w:b/>
          <w:bCs/>
          <w:color w:val="auto"/>
          <w:sz w:val="32"/>
          <w:szCs w:val="32"/>
          <w:highlight w:val="none"/>
          <w:lang w:eastAsia="zh-CN"/>
        </w:rPr>
        <w:t>。</w:t>
      </w:r>
      <w:r>
        <w:rPr>
          <w:rFonts w:hint="eastAsia" w:ascii="仿宋" w:hAnsi="仿宋" w:eastAsia="仿宋" w:cs="仿宋"/>
          <w:color w:val="auto"/>
          <w:sz w:val="32"/>
          <w:szCs w:val="32"/>
          <w:highlight w:val="none"/>
        </w:rPr>
        <w:t>从满足残疾人最现实、最基础、最迫切的需求抓起，先后实施了残疾人基本型辅具配备、残疾人家庭医生签约服务、0-6岁残疾儿童康复救助、假肢和矫形器适配“四个全覆盖”和残疾人鉴定办证、残疾人家庭无障碍改造“两个清零”工程，集中配发辅具7000余件，有需求的残疾人家庭医生签约服务率</w:t>
      </w:r>
      <w:r>
        <w:rPr>
          <w:rFonts w:hint="eastAsia" w:ascii="仿宋" w:hAnsi="仿宋" w:eastAsia="仿宋" w:cs="仿宋"/>
          <w:color w:val="auto"/>
          <w:sz w:val="32"/>
          <w:szCs w:val="32"/>
          <w:highlight w:val="none"/>
          <w:lang w:val="en-US" w:eastAsia="zh-CN"/>
        </w:rPr>
        <w:t>实现了50.3%的增量，</w:t>
      </w:r>
      <w:r>
        <w:rPr>
          <w:rFonts w:hint="eastAsia" w:ascii="仿宋" w:hAnsi="仿宋" w:eastAsia="仿宋" w:cs="仿宋"/>
          <w:color w:val="auto"/>
          <w:sz w:val="32"/>
          <w:szCs w:val="32"/>
          <w:highlight w:val="none"/>
        </w:rPr>
        <w:t>由2017年底的35%提升到目前的85.3%</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lang w:val="en-US" w:eastAsia="zh-CN"/>
        </w:rPr>
        <w:t>实现家庭医生全覆盖</w:t>
      </w:r>
      <w:r>
        <w:rPr>
          <w:rFonts w:hint="eastAsia" w:ascii="仿宋" w:hAnsi="仿宋" w:eastAsia="仿宋" w:cs="仿宋"/>
          <w:color w:val="auto"/>
          <w:sz w:val="32"/>
          <w:szCs w:val="32"/>
          <w:highlight w:val="none"/>
        </w:rPr>
        <w:t>。</w:t>
      </w:r>
    </w:p>
    <w:p>
      <w:pPr>
        <w:keepNext w:val="0"/>
        <w:keepLines w:val="0"/>
        <w:pageBreakBefore w:val="0"/>
        <w:widowControl/>
        <w:numPr>
          <w:ilvl w:val="0"/>
          <w:numId w:val="0"/>
        </w:numPr>
        <w:suppressLineNumbers w:val="0"/>
        <w:kinsoku/>
        <w:wordWrap/>
        <w:overflowPunct/>
        <w:topLinePunct w:val="0"/>
        <w:bidi w:val="0"/>
        <w:spacing w:before="0" w:after="0" w:line="600" w:lineRule="exact"/>
        <w:ind w:left="0" w:leftChars="0" w:right="0" w:rightChars="0" w:firstLine="643" w:firstLineChars="200"/>
        <w:jc w:val="left"/>
        <w:textAlignment w:val="auto"/>
        <w:rPr>
          <w:rFonts w:hint="eastAsia" w:ascii="仿宋" w:hAnsi="仿宋" w:eastAsia="仿宋" w:cs="仿宋"/>
          <w:color w:val="auto"/>
          <w:sz w:val="32"/>
          <w:szCs w:val="32"/>
          <w:highlight w:val="none"/>
        </w:rPr>
      </w:pPr>
      <w:r>
        <w:rPr>
          <w:rFonts w:hint="eastAsia" w:ascii="楷体" w:hAnsi="楷体" w:eastAsia="楷体" w:cs="楷体"/>
          <w:b/>
          <w:bCs/>
          <w:color w:val="auto"/>
          <w:sz w:val="32"/>
          <w:szCs w:val="32"/>
          <w:highlight w:val="none"/>
          <w:lang w:val="en-US" w:eastAsia="zh-CN"/>
        </w:rPr>
        <w:t>多措并举</w:t>
      </w:r>
      <w:r>
        <w:rPr>
          <w:rFonts w:hint="eastAsia" w:ascii="楷体" w:hAnsi="楷体" w:eastAsia="楷体" w:cs="楷体"/>
          <w:b/>
          <w:bCs/>
          <w:color w:val="auto"/>
          <w:sz w:val="32"/>
          <w:szCs w:val="32"/>
          <w:highlight w:val="none"/>
        </w:rPr>
        <w:t>，</w:t>
      </w:r>
      <w:r>
        <w:rPr>
          <w:rFonts w:hint="eastAsia" w:ascii="楷体" w:hAnsi="楷体" w:eastAsia="楷体" w:cs="楷体"/>
          <w:b/>
          <w:bCs/>
          <w:color w:val="auto"/>
          <w:sz w:val="32"/>
          <w:szCs w:val="32"/>
          <w:highlight w:val="none"/>
          <w:lang w:val="en-US" w:eastAsia="zh-CN"/>
        </w:rPr>
        <w:t>提升</w:t>
      </w:r>
      <w:r>
        <w:rPr>
          <w:rFonts w:hint="eastAsia" w:ascii="楷体" w:hAnsi="楷体" w:eastAsia="楷体" w:cs="楷体"/>
          <w:b/>
          <w:bCs/>
          <w:color w:val="auto"/>
          <w:sz w:val="32"/>
          <w:szCs w:val="32"/>
          <w:highlight w:val="none"/>
        </w:rPr>
        <w:t>全社会扶残助残氛围</w:t>
      </w:r>
      <w:r>
        <w:rPr>
          <w:rFonts w:hint="eastAsia" w:ascii="楷体" w:hAnsi="楷体" w:eastAsia="楷体" w:cs="楷体"/>
          <w:b/>
          <w:bCs/>
          <w:color w:val="auto"/>
          <w:sz w:val="32"/>
          <w:szCs w:val="32"/>
          <w:highlight w:val="none"/>
          <w:lang w:eastAsia="zh-CN"/>
        </w:rPr>
        <w:t>。</w:t>
      </w:r>
      <w:r>
        <w:rPr>
          <w:rFonts w:hint="eastAsia" w:ascii="仿宋" w:hAnsi="仿宋" w:eastAsia="仿宋" w:cs="仿宋"/>
          <w:color w:val="auto"/>
          <w:sz w:val="32"/>
          <w:szCs w:val="32"/>
          <w:highlight w:val="none"/>
        </w:rPr>
        <w:t>在残疾人群体中开展“提能”和“励志”两项行动，培训职业技能和实用技术</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rPr>
        <w:t>注重发挥残疾人自强典范的榜样带动作用，在各级媒体集中报道残疾人自强自立典型事例，编印了以“自强不息﹒时代精神”为主题的《同心县残疾人自强事例汇编》。</w:t>
      </w:r>
      <w:r>
        <w:rPr>
          <w:rFonts w:hint="eastAsia" w:ascii="仿宋" w:hAnsi="仿宋" w:eastAsia="仿宋" w:cs="仿宋"/>
          <w:b w:val="0"/>
          <w:bCs w:val="0"/>
          <w:color w:val="auto"/>
          <w:sz w:val="32"/>
          <w:szCs w:val="32"/>
          <w:highlight w:val="none"/>
          <w:lang w:eastAsia="zh-CN"/>
        </w:rPr>
        <w:t>积极参加中国残疾人辅助器具中心举办的“辅具助力脱贫攻坚案例评选”活动，</w:t>
      </w:r>
      <w:r>
        <w:rPr>
          <w:rFonts w:hint="eastAsia" w:ascii="仿宋" w:hAnsi="仿宋" w:eastAsia="仿宋" w:cs="仿宋"/>
          <w:color w:val="auto"/>
          <w:sz w:val="32"/>
          <w:szCs w:val="32"/>
          <w:highlight w:val="none"/>
        </w:rPr>
        <w:t>同时，积极倡议机关单位、爱心企业、社会组织扶残助残，连续三年向贫困残疾人大学生、中学生、残疾人大病家庭全覆盖救助。涌现出一批扶残助残爱心组织和企业，全社会扶残助残的氛围日益浓厚。</w:t>
      </w:r>
    </w:p>
    <w:p>
      <w:pPr>
        <w:keepNext w:val="0"/>
        <w:keepLines w:val="0"/>
        <w:pageBreakBefore w:val="0"/>
        <w:numPr>
          <w:ilvl w:val="0"/>
          <w:numId w:val="0"/>
        </w:numPr>
        <w:kinsoku/>
        <w:wordWrap/>
        <w:overflowPunct/>
        <w:topLinePunct w:val="0"/>
        <w:autoSpaceDE/>
        <w:autoSpaceDN/>
        <w:bidi w:val="0"/>
        <w:adjustRightInd w:val="0"/>
        <w:snapToGrid w:val="0"/>
        <w:spacing w:before="0" w:after="0" w:line="600" w:lineRule="exact"/>
        <w:ind w:left="0" w:leftChars="0" w:right="0" w:rightChars="0" w:firstLine="643" w:firstLineChars="200"/>
        <w:jc w:val="both"/>
        <w:textAlignment w:val="auto"/>
        <w:rPr>
          <w:rFonts w:hint="eastAsia" w:ascii="仿宋" w:hAnsi="仿宋" w:eastAsia="仿宋" w:cs="仿宋"/>
          <w:color w:val="auto"/>
          <w:sz w:val="32"/>
          <w:szCs w:val="32"/>
          <w:highlight w:val="none"/>
        </w:rPr>
      </w:pPr>
      <w:r>
        <w:rPr>
          <w:rFonts w:hint="eastAsia" w:ascii="楷体" w:hAnsi="楷体" w:eastAsia="楷体" w:cs="楷体"/>
          <w:b/>
          <w:bCs/>
          <w:color w:val="auto"/>
          <w:sz w:val="32"/>
          <w:szCs w:val="32"/>
          <w:highlight w:val="none"/>
        </w:rPr>
        <w:t>兜底补短，提</w:t>
      </w:r>
      <w:r>
        <w:rPr>
          <w:rFonts w:hint="eastAsia" w:ascii="楷体" w:hAnsi="楷体" w:eastAsia="楷体" w:cs="楷体"/>
          <w:b/>
          <w:bCs/>
          <w:color w:val="auto"/>
          <w:sz w:val="32"/>
          <w:szCs w:val="32"/>
          <w:highlight w:val="none"/>
          <w:lang w:val="en-US" w:eastAsia="zh-CN"/>
        </w:rPr>
        <w:t>高</w:t>
      </w:r>
      <w:r>
        <w:rPr>
          <w:rFonts w:hint="eastAsia" w:ascii="楷体" w:hAnsi="楷体" w:eastAsia="楷体" w:cs="楷体"/>
          <w:b/>
          <w:bCs/>
          <w:color w:val="auto"/>
          <w:sz w:val="32"/>
          <w:szCs w:val="32"/>
          <w:highlight w:val="none"/>
        </w:rPr>
        <w:t>残疾人</w:t>
      </w:r>
      <w:r>
        <w:rPr>
          <w:rFonts w:hint="eastAsia" w:ascii="楷体" w:hAnsi="楷体" w:eastAsia="楷体" w:cs="楷体"/>
          <w:b/>
          <w:bCs/>
          <w:color w:val="auto"/>
          <w:sz w:val="32"/>
          <w:szCs w:val="32"/>
          <w:highlight w:val="none"/>
          <w:lang w:val="en-US" w:eastAsia="zh-CN"/>
        </w:rPr>
        <w:t>生活保障。</w:t>
      </w:r>
      <w:r>
        <w:rPr>
          <w:rFonts w:hint="eastAsia" w:ascii="仿宋" w:hAnsi="仿宋" w:eastAsia="仿宋" w:cs="仿宋"/>
          <w:color w:val="auto"/>
          <w:sz w:val="32"/>
          <w:szCs w:val="32"/>
          <w:highlight w:val="none"/>
          <w:lang w:eastAsia="zh-CN"/>
        </w:rPr>
        <w:t>同心县</w:t>
      </w:r>
      <w:r>
        <w:rPr>
          <w:rFonts w:hint="eastAsia" w:ascii="仿宋" w:hAnsi="仿宋" w:eastAsia="仿宋" w:cs="仿宋"/>
          <w:color w:val="auto"/>
          <w:sz w:val="32"/>
          <w:szCs w:val="32"/>
          <w:highlight w:val="none"/>
        </w:rPr>
        <w:t>提标扩面残疾人“两项补贴”和最低生活保障。将部分生活困难的轻度残疾人纳入生活补贴发放范围</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rPr>
        <w:t>重度残疾人分级托养的机制初步建立。将建档立卡边缘户纳入“扶贫保”保障范围，其中非建档立卡残疾人优先纳入边缘户，从而实现了对残疾人意外伤害保险全覆盖。建成特殊教育学校</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rPr>
        <w:t>残疾儿童义务教育入学率达到94.57%。依托综合养老中心，打造医康结合、康养一体的残疾人托养康复新模式</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rPr>
        <w:t>县乡分级、机构托养、居家托养结合互补的残疾人托养基础架构已然形成。</w:t>
      </w:r>
    </w:p>
    <w:p>
      <w:pPr>
        <w:pageBreakBefore w:val="0"/>
        <w:numPr>
          <w:ilvl w:val="0"/>
          <w:numId w:val="0"/>
        </w:numPr>
        <w:kinsoku/>
        <w:wordWrap/>
        <w:overflowPunct/>
        <w:topLinePunct w:val="0"/>
        <w:bidi w:val="0"/>
        <w:adjustRightInd w:val="0"/>
        <w:snapToGrid w:val="0"/>
        <w:spacing w:before="0" w:after="0" w:line="600" w:lineRule="exact"/>
        <w:ind w:left="0" w:leftChars="0" w:right="0" w:rightChars="0" w:firstLine="643" w:firstLineChars="200"/>
        <w:jc w:val="both"/>
        <w:textAlignment w:val="auto"/>
        <w:rPr>
          <w:rFonts w:hint="eastAsia" w:ascii="仿宋" w:hAnsi="仿宋" w:eastAsia="仿宋" w:cs="仿宋"/>
          <w:b/>
          <w:bCs/>
          <w:color w:val="auto"/>
          <w:sz w:val="32"/>
          <w:szCs w:val="32"/>
          <w:highlight w:val="none"/>
        </w:rPr>
      </w:pPr>
      <w:r>
        <w:rPr>
          <w:rFonts w:hint="eastAsia" w:ascii="楷体" w:hAnsi="楷体" w:eastAsia="楷体" w:cs="楷体"/>
          <w:b/>
          <w:bCs/>
          <w:color w:val="auto"/>
          <w:sz w:val="32"/>
          <w:szCs w:val="32"/>
          <w:highlight w:val="none"/>
          <w:lang w:eastAsia="zh-CN"/>
        </w:rPr>
        <w:t>持续发力，</w:t>
      </w:r>
      <w:r>
        <w:rPr>
          <w:rFonts w:hint="eastAsia" w:ascii="楷体" w:hAnsi="楷体" w:eastAsia="楷体" w:cs="楷体"/>
          <w:b/>
          <w:bCs/>
          <w:color w:val="auto"/>
          <w:sz w:val="32"/>
          <w:szCs w:val="32"/>
          <w:highlight w:val="none"/>
        </w:rPr>
        <w:t>助残</w:t>
      </w:r>
      <w:r>
        <w:rPr>
          <w:rFonts w:hint="eastAsia" w:ascii="楷体" w:hAnsi="楷体" w:eastAsia="楷体" w:cs="楷体"/>
          <w:b/>
          <w:bCs/>
          <w:color w:val="auto"/>
          <w:sz w:val="32"/>
          <w:szCs w:val="32"/>
          <w:highlight w:val="none"/>
          <w:lang w:val="en-US" w:eastAsia="zh-CN"/>
        </w:rPr>
        <w:t>惠残就业创业</w:t>
      </w:r>
      <w:r>
        <w:rPr>
          <w:rFonts w:hint="eastAsia" w:ascii="楷体" w:hAnsi="楷体" w:eastAsia="楷体" w:cs="楷体"/>
          <w:b/>
          <w:bCs/>
          <w:color w:val="auto"/>
          <w:sz w:val="32"/>
          <w:szCs w:val="32"/>
          <w:highlight w:val="none"/>
        </w:rPr>
        <w:t>政策</w:t>
      </w:r>
      <w:r>
        <w:rPr>
          <w:rFonts w:hint="eastAsia" w:ascii="楷体" w:hAnsi="楷体" w:eastAsia="楷体" w:cs="楷体"/>
          <w:b/>
          <w:bCs/>
          <w:color w:val="auto"/>
          <w:sz w:val="32"/>
          <w:szCs w:val="32"/>
          <w:highlight w:val="none"/>
          <w:lang w:val="en-US" w:eastAsia="zh-CN"/>
        </w:rPr>
        <w:t>落到实处</w:t>
      </w:r>
      <w:r>
        <w:rPr>
          <w:rFonts w:hint="eastAsia" w:ascii="楷体" w:hAnsi="楷体" w:eastAsia="楷体" w:cs="楷体"/>
          <w:b/>
          <w:bCs/>
          <w:color w:val="auto"/>
          <w:sz w:val="32"/>
          <w:szCs w:val="32"/>
          <w:highlight w:val="none"/>
          <w:lang w:eastAsia="zh-CN"/>
        </w:rPr>
        <w:t>。</w:t>
      </w:r>
      <w:r>
        <w:rPr>
          <w:rFonts w:hint="eastAsia" w:ascii="仿宋" w:hAnsi="仿宋" w:eastAsia="仿宋" w:cs="仿宋"/>
          <w:color w:val="auto"/>
          <w:sz w:val="32"/>
          <w:szCs w:val="32"/>
          <w:highlight w:val="none"/>
        </w:rPr>
        <w:t>为切实提高残疾人脱贫质量，</w:t>
      </w:r>
      <w:r>
        <w:rPr>
          <w:rFonts w:hint="eastAsia" w:ascii="仿宋" w:hAnsi="仿宋" w:eastAsia="仿宋" w:cs="仿宋"/>
          <w:color w:val="auto"/>
          <w:sz w:val="32"/>
          <w:szCs w:val="32"/>
          <w:highlight w:val="none"/>
          <w:lang w:eastAsia="zh-CN"/>
        </w:rPr>
        <w:t>同心县</w:t>
      </w:r>
      <w:r>
        <w:rPr>
          <w:rFonts w:hint="eastAsia" w:ascii="仿宋" w:hAnsi="仿宋" w:eastAsia="仿宋" w:cs="仿宋"/>
          <w:color w:val="auto"/>
          <w:sz w:val="32"/>
          <w:szCs w:val="32"/>
          <w:highlight w:val="none"/>
        </w:rPr>
        <w:t>把发展产业和促进创业就业作为残疾人脱贫主攻方向，专门制定了制度性、可持续的残疾人产业脱贫特惠奖补、残疾人创业就业、残疾人职业技能和实用技术培训、残疾人发展产业贷款贴息等特惠奖补政策措施，进一步强调落实政府购买公益性岗位安置残疾人比例必须达到10%</w:t>
      </w:r>
      <w:r>
        <w:rPr>
          <w:rFonts w:hint="eastAsia" w:ascii="仿宋" w:hAnsi="仿宋" w:eastAsia="仿宋" w:cs="仿宋"/>
          <w:color w:val="auto"/>
          <w:sz w:val="32"/>
          <w:szCs w:val="32"/>
          <w:highlight w:val="none"/>
          <w:lang w:val="en-US" w:eastAsia="zh-CN"/>
        </w:rPr>
        <w:t>的要求</w:t>
      </w:r>
      <w:r>
        <w:rPr>
          <w:rFonts w:hint="eastAsia" w:ascii="仿宋" w:hAnsi="仿宋" w:eastAsia="仿宋" w:cs="仿宋"/>
          <w:color w:val="auto"/>
          <w:sz w:val="32"/>
          <w:szCs w:val="32"/>
          <w:highlight w:val="none"/>
        </w:rPr>
        <w:t>，主动帮助安置残疾人的企业和合作组织申报残疾人扶贫基地落实奖励政策。</w:t>
      </w:r>
    </w:p>
    <w:p>
      <w:pPr>
        <w:pageBreakBefore w:val="0"/>
        <w:numPr>
          <w:ilvl w:val="0"/>
          <w:numId w:val="0"/>
        </w:numPr>
        <w:shd w:val="clear" w:color="auto" w:fill="FFFFFF"/>
        <w:kinsoku/>
        <w:wordWrap/>
        <w:overflowPunct/>
        <w:topLinePunct w:val="0"/>
        <w:bidi w:val="0"/>
        <w:adjustRightInd w:val="0"/>
        <w:snapToGrid w:val="0"/>
        <w:spacing w:before="0" w:after="0" w:line="600" w:lineRule="exact"/>
        <w:ind w:left="0" w:leftChars="0" w:right="0" w:rightChars="0" w:firstLine="643" w:firstLineChars="200"/>
        <w:jc w:val="both"/>
        <w:textAlignment w:val="auto"/>
        <w:rPr>
          <w:rFonts w:hint="eastAsia" w:ascii="仿宋" w:hAnsi="仿宋" w:eastAsia="仿宋" w:cs="仿宋"/>
          <w:color w:val="auto"/>
          <w:sz w:val="32"/>
          <w:szCs w:val="32"/>
          <w:highlight w:val="none"/>
        </w:rPr>
      </w:pPr>
      <w:r>
        <w:rPr>
          <w:rFonts w:hint="eastAsia" w:ascii="楷体" w:hAnsi="楷体" w:eastAsia="楷体" w:cs="楷体"/>
          <w:b/>
          <w:bCs/>
          <w:color w:val="auto"/>
          <w:sz w:val="32"/>
          <w:szCs w:val="32"/>
          <w:highlight w:val="none"/>
          <w:lang w:eastAsia="zh-CN"/>
        </w:rPr>
        <w:t>稳扎稳打，“</w:t>
      </w:r>
      <w:r>
        <w:rPr>
          <w:rFonts w:hint="eastAsia" w:ascii="楷体" w:hAnsi="楷体" w:eastAsia="楷体" w:cs="楷体"/>
          <w:b/>
          <w:bCs/>
          <w:color w:val="auto"/>
          <w:sz w:val="32"/>
          <w:szCs w:val="32"/>
          <w:highlight w:val="none"/>
          <w:lang w:val="en-US" w:eastAsia="zh-CN"/>
        </w:rPr>
        <w:t>四查四补</w:t>
      </w:r>
      <w:r>
        <w:rPr>
          <w:rFonts w:hint="eastAsia" w:ascii="楷体" w:hAnsi="楷体" w:eastAsia="楷体" w:cs="楷体"/>
          <w:b/>
          <w:bCs/>
          <w:color w:val="auto"/>
          <w:sz w:val="32"/>
          <w:szCs w:val="32"/>
          <w:highlight w:val="none"/>
          <w:lang w:eastAsia="zh-CN"/>
        </w:rPr>
        <w:t>”</w:t>
      </w:r>
      <w:r>
        <w:rPr>
          <w:rFonts w:hint="eastAsia" w:ascii="楷体" w:hAnsi="楷体" w:eastAsia="楷体" w:cs="楷体"/>
          <w:b/>
          <w:bCs/>
          <w:color w:val="auto"/>
          <w:sz w:val="32"/>
          <w:szCs w:val="32"/>
          <w:highlight w:val="none"/>
          <w:lang w:val="en-US" w:eastAsia="zh-CN"/>
        </w:rPr>
        <w:t>针对性帮扶。</w:t>
      </w:r>
      <w:r>
        <w:rPr>
          <w:rFonts w:hint="eastAsia" w:ascii="仿宋" w:hAnsi="仿宋" w:eastAsia="仿宋" w:cs="仿宋"/>
          <w:color w:val="auto"/>
          <w:sz w:val="32"/>
          <w:szCs w:val="32"/>
          <w:highlight w:val="none"/>
        </w:rPr>
        <w:t>按照《同心县2020年脱贫攻坚作战方案》《同心县关于全面开展“四查四补”高质量打赢脱贫攻坚战的工作方案》部署要求，全面开展查损补失、查漏补缺、查短补齐、查弱补强，边查边补、边查边改</w:t>
      </w:r>
      <w:r>
        <w:rPr>
          <w:rFonts w:hint="eastAsia" w:ascii="仿宋" w:hAnsi="仿宋" w:eastAsia="仿宋" w:cs="仿宋"/>
          <w:color w:val="auto"/>
          <w:sz w:val="32"/>
          <w:szCs w:val="32"/>
          <w:highlight w:val="none"/>
          <w:lang w:val="en-US" w:eastAsia="zh-CN"/>
        </w:rPr>
        <w:t>工作，</w:t>
      </w:r>
      <w:r>
        <w:rPr>
          <w:rFonts w:hint="eastAsia" w:ascii="仿宋" w:hAnsi="仿宋" w:eastAsia="仿宋" w:cs="仿宋"/>
          <w:color w:val="auto"/>
          <w:sz w:val="32"/>
          <w:szCs w:val="32"/>
          <w:highlight w:val="none"/>
        </w:rPr>
        <w:t>协调联系各乡镇、相关部门帮助解决残疾人家庭产业受到影响、残疾人家庭需要帮扶、残疾人家庭有务工需求、残疾人家庭有</w:t>
      </w:r>
      <w:r>
        <w:rPr>
          <w:rFonts w:hint="eastAsia" w:ascii="仿宋" w:hAnsi="仿宋" w:eastAsia="仿宋" w:cs="仿宋"/>
          <w:color w:val="auto"/>
          <w:sz w:val="32"/>
          <w:szCs w:val="32"/>
          <w:highlight w:val="none"/>
          <w:lang w:eastAsia="zh-CN"/>
        </w:rPr>
        <w:t>无</w:t>
      </w:r>
      <w:r>
        <w:rPr>
          <w:rFonts w:hint="eastAsia" w:ascii="仿宋" w:hAnsi="仿宋" w:eastAsia="仿宋" w:cs="仿宋"/>
          <w:color w:val="auto"/>
          <w:sz w:val="32"/>
          <w:szCs w:val="32"/>
          <w:highlight w:val="none"/>
        </w:rPr>
        <w:t>障碍改造和辅具需求、残疾人需要照护等问题都一一得到解决。</w:t>
      </w:r>
    </w:p>
    <w:p>
      <w:pPr>
        <w:keepNext w:val="0"/>
        <w:keepLines w:val="0"/>
        <w:pageBreakBefore w:val="0"/>
        <w:widowControl w:val="0"/>
        <w:kinsoku/>
        <w:wordWrap/>
        <w:overflowPunct/>
        <w:topLinePunct w:val="0"/>
        <w:autoSpaceDE w:val="0"/>
        <w:autoSpaceDN w:val="0"/>
        <w:bidi w:val="0"/>
        <w:adjustRightInd/>
        <w:snapToGrid/>
        <w:spacing w:before="0" w:after="0" w:line="600" w:lineRule="exact"/>
        <w:ind w:left="0" w:leftChars="0" w:right="0" w:firstLine="640" w:firstLineChars="200"/>
        <w:jc w:val="both"/>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虽然</w:t>
      </w:r>
      <w:r>
        <w:rPr>
          <w:rFonts w:hint="eastAsia" w:ascii="仿宋" w:hAnsi="仿宋" w:eastAsia="仿宋" w:cs="仿宋"/>
          <w:color w:val="auto"/>
          <w:sz w:val="32"/>
          <w:szCs w:val="32"/>
          <w:highlight w:val="none"/>
          <w:lang w:eastAsia="zh-CN"/>
        </w:rPr>
        <w:t>同心</w:t>
      </w:r>
      <w:r>
        <w:rPr>
          <w:rFonts w:hint="eastAsia" w:ascii="仿宋" w:hAnsi="仿宋" w:eastAsia="仿宋" w:cs="仿宋"/>
          <w:color w:val="auto"/>
          <w:sz w:val="32"/>
          <w:szCs w:val="32"/>
          <w:highlight w:val="none"/>
          <w:lang w:val="en-US" w:eastAsia="zh-CN"/>
        </w:rPr>
        <w:t>县</w:t>
      </w:r>
      <w:r>
        <w:rPr>
          <w:rFonts w:hint="eastAsia" w:ascii="仿宋" w:hAnsi="仿宋" w:eastAsia="仿宋" w:cs="仿宋"/>
          <w:color w:val="auto"/>
          <w:sz w:val="32"/>
          <w:szCs w:val="32"/>
          <w:highlight w:val="none"/>
        </w:rPr>
        <w:t>残疾人工作有了长足发展，但对照习近平总书记关于扶贫工作的重要论述、对照党中央和区市党委关于脱贫攻坚的决策部署、对照全面建成小康社会的目标任务、对照人民群众的新期待还有一些问题和不足。</w:t>
      </w:r>
    </w:p>
    <w:p>
      <w:pPr>
        <w:keepNext w:val="0"/>
        <w:keepLines w:val="0"/>
        <w:pageBreakBefore w:val="0"/>
        <w:widowControl w:val="0"/>
        <w:kinsoku/>
        <w:wordWrap/>
        <w:overflowPunct/>
        <w:topLinePunct w:val="0"/>
        <w:autoSpaceDE w:val="0"/>
        <w:autoSpaceDN w:val="0"/>
        <w:bidi w:val="0"/>
        <w:adjustRightInd/>
        <w:snapToGrid/>
        <w:spacing w:before="0" w:after="0" w:line="600" w:lineRule="exact"/>
        <w:ind w:left="0" w:leftChars="0" w:right="0" w:firstLine="640" w:firstLineChars="200"/>
        <w:jc w:val="both"/>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主要表现在，</w:t>
      </w:r>
      <w:r>
        <w:rPr>
          <w:rFonts w:hint="eastAsia" w:ascii="仿宋" w:hAnsi="仿宋" w:eastAsia="仿宋" w:cs="仿宋"/>
          <w:b/>
          <w:bCs/>
          <w:color w:val="auto"/>
          <w:sz w:val="32"/>
          <w:szCs w:val="32"/>
          <w:highlight w:val="none"/>
        </w:rPr>
        <w:t>一是</w:t>
      </w:r>
      <w:r>
        <w:rPr>
          <w:rFonts w:hint="eastAsia" w:ascii="仿宋" w:hAnsi="仿宋" w:eastAsia="仿宋" w:cs="仿宋"/>
          <w:color w:val="auto"/>
          <w:sz w:val="32"/>
          <w:szCs w:val="32"/>
          <w:highlight w:val="none"/>
        </w:rPr>
        <w:t>贫困残疾人特别是兜底残疾人占未脱贫人口比重大，一定程度上影响全县高质量脱贫摘帽</w:t>
      </w:r>
      <w:r>
        <w:rPr>
          <w:rFonts w:hint="eastAsia" w:ascii="仿宋" w:hAnsi="仿宋" w:eastAsia="仿宋" w:cs="仿宋"/>
          <w:color w:val="auto"/>
          <w:sz w:val="32"/>
          <w:szCs w:val="32"/>
          <w:highlight w:val="none"/>
          <w:lang w:val="en-US" w:eastAsia="zh-CN"/>
        </w:rPr>
        <w:t>任务</w:t>
      </w:r>
      <w:r>
        <w:rPr>
          <w:rFonts w:hint="eastAsia" w:ascii="仿宋" w:hAnsi="仿宋" w:eastAsia="仿宋" w:cs="仿宋"/>
          <w:color w:val="auto"/>
          <w:sz w:val="32"/>
          <w:szCs w:val="32"/>
          <w:highlight w:val="none"/>
        </w:rPr>
        <w:t>。</w:t>
      </w:r>
      <w:r>
        <w:rPr>
          <w:rFonts w:hint="eastAsia" w:ascii="仿宋" w:hAnsi="仿宋" w:eastAsia="仿宋" w:cs="仿宋"/>
          <w:b/>
          <w:bCs/>
          <w:color w:val="auto"/>
          <w:sz w:val="32"/>
          <w:szCs w:val="32"/>
          <w:highlight w:val="none"/>
        </w:rPr>
        <w:t>二是</w:t>
      </w:r>
      <w:r>
        <w:rPr>
          <w:rFonts w:hint="eastAsia" w:ascii="仿宋" w:hAnsi="仿宋" w:eastAsia="仿宋" w:cs="仿宋"/>
          <w:color w:val="auto"/>
          <w:sz w:val="32"/>
          <w:szCs w:val="32"/>
          <w:highlight w:val="none"/>
        </w:rPr>
        <w:t>残疾人创业就业的主动性不强，相比于健全人返贫风险更高。</w:t>
      </w:r>
      <w:r>
        <w:rPr>
          <w:rFonts w:hint="eastAsia" w:ascii="仿宋" w:hAnsi="仿宋" w:eastAsia="仿宋" w:cs="仿宋"/>
          <w:b/>
          <w:bCs/>
          <w:color w:val="auto"/>
          <w:sz w:val="32"/>
          <w:szCs w:val="32"/>
          <w:highlight w:val="none"/>
        </w:rPr>
        <w:t>三是</w:t>
      </w:r>
      <w:r>
        <w:rPr>
          <w:rFonts w:hint="eastAsia" w:ascii="仿宋" w:hAnsi="仿宋" w:eastAsia="仿宋" w:cs="仿宋"/>
          <w:color w:val="auto"/>
          <w:sz w:val="32"/>
          <w:szCs w:val="32"/>
          <w:highlight w:val="none"/>
          <w:lang w:eastAsia="zh-CN"/>
        </w:rPr>
        <w:t>同心县</w:t>
      </w:r>
      <w:r>
        <w:rPr>
          <w:rFonts w:hint="eastAsia" w:ascii="仿宋" w:hAnsi="仿宋" w:eastAsia="仿宋" w:cs="仿宋"/>
          <w:color w:val="auto"/>
          <w:sz w:val="32"/>
          <w:szCs w:val="32"/>
          <w:highlight w:val="none"/>
        </w:rPr>
        <w:t>属于国家贫困县区，县财政吃紧的状况仍将长期存在，影响扶残助残特惠政策长期性、持续性</w:t>
      </w:r>
      <w:r>
        <w:rPr>
          <w:rFonts w:hint="eastAsia" w:ascii="仿宋" w:hAnsi="仿宋" w:eastAsia="仿宋" w:cs="仿宋"/>
          <w:color w:val="auto"/>
          <w:sz w:val="32"/>
          <w:szCs w:val="32"/>
          <w:highlight w:val="none"/>
          <w:lang w:val="en-US" w:eastAsia="zh-CN"/>
        </w:rPr>
        <w:t>开展</w:t>
      </w:r>
      <w:r>
        <w:rPr>
          <w:rFonts w:hint="eastAsia" w:ascii="仿宋" w:hAnsi="仿宋" w:eastAsia="仿宋" w:cs="仿宋"/>
          <w:color w:val="auto"/>
          <w:sz w:val="32"/>
          <w:szCs w:val="32"/>
          <w:highlight w:val="none"/>
        </w:rPr>
        <w:t>。</w:t>
      </w:r>
      <w:r>
        <w:rPr>
          <w:rFonts w:hint="eastAsia" w:ascii="仿宋" w:hAnsi="仿宋" w:eastAsia="仿宋" w:cs="仿宋"/>
          <w:b/>
          <w:bCs/>
          <w:color w:val="auto"/>
          <w:sz w:val="32"/>
          <w:szCs w:val="32"/>
          <w:highlight w:val="none"/>
        </w:rPr>
        <w:t>四是</w:t>
      </w:r>
      <w:r>
        <w:rPr>
          <w:rFonts w:hint="eastAsia" w:ascii="仿宋" w:hAnsi="仿宋" w:eastAsia="仿宋" w:cs="仿宋"/>
          <w:color w:val="auto"/>
          <w:sz w:val="32"/>
          <w:szCs w:val="32"/>
          <w:highlight w:val="none"/>
        </w:rPr>
        <w:t>基层特别是村级残疾人工作队伍不够稳定，业务素质亟待提升。</w:t>
      </w:r>
    </w:p>
    <w:p>
      <w:pPr>
        <w:keepNext w:val="0"/>
        <w:keepLines w:val="0"/>
        <w:pageBreakBefore w:val="0"/>
        <w:widowControl w:val="0"/>
        <w:kinsoku/>
        <w:wordWrap/>
        <w:overflowPunct/>
        <w:topLinePunct w:val="0"/>
        <w:autoSpaceDE w:val="0"/>
        <w:autoSpaceDN w:val="0"/>
        <w:bidi w:val="0"/>
        <w:adjustRightInd/>
        <w:snapToGrid/>
        <w:spacing w:before="0" w:after="0" w:line="600" w:lineRule="exact"/>
        <w:ind w:left="0" w:leftChars="0" w:right="0" w:firstLine="640" w:firstLineChars="200"/>
        <w:jc w:val="both"/>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残疾人事业是中国特色社会主义事业的重要组成部分，扶残助残是社会文明进步的重要标志。习近平总书记强调， 要“不断促进残疾人全面发展和共同富裕”。“十四五”时期是我国全面建成小康社会，实现第一个百年奋斗目标之后，乘势而上开启全面建设社会主义现代化国家新征程、向第二个百年奋斗目标进军的第一个五年。全面建设社会主义现代化国家，决不能让残疾人掉队。要继续加快发展残疾人事业，增进残疾人民生福祉，增强残疾人自我发展能力，团结带领残疾人和全</w:t>
      </w:r>
      <w:r>
        <w:rPr>
          <w:rFonts w:hint="eastAsia" w:ascii="仿宋" w:hAnsi="仿宋" w:eastAsia="仿宋" w:cs="仿宋"/>
          <w:color w:val="auto"/>
          <w:sz w:val="32"/>
          <w:szCs w:val="32"/>
          <w:highlight w:val="none"/>
          <w:lang w:val="en-US" w:eastAsia="zh-CN"/>
        </w:rPr>
        <w:t>县</w:t>
      </w:r>
      <w:r>
        <w:rPr>
          <w:rFonts w:hint="eastAsia" w:ascii="仿宋" w:hAnsi="仿宋" w:eastAsia="仿宋" w:cs="仿宋"/>
          <w:color w:val="auto"/>
          <w:sz w:val="32"/>
          <w:szCs w:val="32"/>
          <w:highlight w:val="none"/>
        </w:rPr>
        <w:t>人民一道，共建共治共享社会主义现代化国家的美好未来。</w:t>
      </w:r>
    </w:p>
    <w:p>
      <w:pPr>
        <w:pStyle w:val="3"/>
        <w:pageBreakBefore w:val="0"/>
        <w:kinsoku/>
        <w:wordWrap/>
        <w:overflowPunct/>
        <w:topLinePunct w:val="0"/>
        <w:bidi w:val="0"/>
        <w:spacing w:before="0" w:beforeLines="0" w:after="0" w:afterLines="0" w:line="600" w:lineRule="exact"/>
        <w:ind w:left="0" w:leftChars="0" w:right="0"/>
        <w:textAlignment w:val="auto"/>
        <w:rPr>
          <w:rFonts w:hint="eastAsia"/>
          <w:lang w:val="en-US" w:eastAsia="zh-CN"/>
        </w:rPr>
      </w:pPr>
      <w:bookmarkStart w:id="11" w:name="_Toc12822"/>
      <w:r>
        <w:rPr>
          <w:rFonts w:hint="eastAsia"/>
          <w:b w:val="0"/>
          <w:bCs/>
          <w:lang w:val="en-US" w:eastAsia="zh-CN"/>
        </w:rPr>
        <w:t>二、总体要求</w:t>
      </w:r>
      <w:bookmarkEnd w:id="11"/>
    </w:p>
    <w:p>
      <w:pPr>
        <w:pStyle w:val="4"/>
        <w:pageBreakBefore w:val="0"/>
        <w:kinsoku/>
        <w:wordWrap/>
        <w:overflowPunct/>
        <w:topLinePunct w:val="0"/>
        <w:bidi w:val="0"/>
        <w:spacing w:before="0" w:beforeLines="0" w:after="0" w:afterLines="0" w:line="600" w:lineRule="exact"/>
        <w:ind w:left="0" w:leftChars="0" w:right="0"/>
        <w:textAlignment w:val="auto"/>
        <w:rPr>
          <w:rFonts w:hint="eastAsia"/>
          <w:lang w:val="en-US" w:eastAsia="zh-CN"/>
        </w:rPr>
      </w:pPr>
      <w:bookmarkStart w:id="12" w:name="_Toc15177"/>
      <w:r>
        <w:rPr>
          <w:rFonts w:hint="eastAsia"/>
          <w:lang w:val="en-US" w:eastAsia="zh-CN"/>
        </w:rPr>
        <w:t>(一)指导思想</w:t>
      </w:r>
      <w:bookmarkEnd w:id="12"/>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color w:val="auto"/>
          <w:kern w:val="2"/>
          <w:sz w:val="32"/>
          <w:szCs w:val="32"/>
          <w:lang w:val="en-US" w:eastAsia="zh-CN" w:bidi="ar"/>
        </w:rPr>
      </w:pPr>
      <w:r>
        <w:rPr>
          <w:rFonts w:hint="eastAsia" w:ascii="仿宋" w:hAnsi="仿宋" w:eastAsia="仿宋" w:cs="仿宋"/>
          <w:color w:val="auto"/>
          <w:sz w:val="32"/>
          <w:szCs w:val="32"/>
          <w:highlight w:val="none"/>
          <w:lang w:val="en-US" w:eastAsia="zh-CN"/>
        </w:rPr>
        <w:t>以习近平新时代中国特色社会主义思想为指导，深入贯彻落实习近平总书记关于残疾人事业发展的重要论述，坚持党的全面领导，坚持以人民为中心的发展思想，立足新发展阶段、贯彻新发展理念、构建新发展格局，坚持弱有所扶，推动残疾人事业高质量发展为目标。围绕打造“重要窗口”主题主线，以保障残疾人基本民生、公共服务和平等权益、优化残疾人服务供给、创新创优发展环境和工作机制为重点,巩固拓展残疾人脱贫攻坚成果,健全残疾人帮扶制度,夯实发展基础和基层组织,推进残疾人事业信息化建设,激发强化残疾人主体作用,促进残疾人共享发展、融合发展，不断满足残疾人美好生活需要,着力开启残疾人事业现代化建设新征程，</w:t>
      </w:r>
      <w:r>
        <w:rPr>
          <w:rFonts w:hint="eastAsia" w:ascii="仿宋" w:hAnsi="仿宋" w:eastAsia="仿宋" w:cs="仿宋"/>
          <w:color w:val="auto"/>
          <w:kern w:val="2"/>
          <w:sz w:val="32"/>
          <w:szCs w:val="32"/>
          <w:lang w:val="en-US" w:eastAsia="zh-CN" w:bidi="ar"/>
        </w:rPr>
        <w:t>紧紧围绕“生态立县、产业富县、文化兴县、依法治县”部署，严格落实全县关于巩固拓展脱贫攻坚成果同乡村振兴有效衔接的各项部署，建体系、夯基础、强保障，多措并举推动全县残疾人事业高质量发展。</w:t>
      </w:r>
      <w:bookmarkStart w:id="13" w:name="_Toc21626"/>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ascii="楷体" w:hAnsi="楷体" w:eastAsia="楷体" w:cs="楷体"/>
          <w:b/>
          <w:bCs/>
          <w:sz w:val="32"/>
          <w:szCs w:val="32"/>
          <w:lang w:val="en-US" w:eastAsia="zh-CN"/>
        </w:rPr>
      </w:pPr>
      <w:r>
        <w:rPr>
          <w:rFonts w:hint="eastAsia" w:ascii="楷体" w:hAnsi="楷体" w:eastAsia="楷体" w:cs="楷体"/>
          <w:b/>
          <w:bCs/>
          <w:sz w:val="32"/>
          <w:szCs w:val="32"/>
          <w:lang w:val="en-US" w:eastAsia="zh-CN"/>
        </w:rPr>
        <w:t>(二)基本原则</w:t>
      </w:r>
      <w:bookmarkEnd w:id="13"/>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i w:val="0"/>
          <w:iCs w:val="0"/>
          <w:caps w:val="0"/>
          <w:color w:val="auto"/>
          <w:spacing w:val="0"/>
          <w:sz w:val="32"/>
          <w:szCs w:val="32"/>
          <w:highlight w:val="none"/>
        </w:rPr>
      </w:pPr>
      <w:r>
        <w:rPr>
          <w:rFonts w:hint="eastAsia" w:ascii="楷体" w:hAnsi="楷体" w:eastAsia="楷体" w:cs="楷体"/>
          <w:i w:val="0"/>
          <w:iCs w:val="0"/>
          <w:caps w:val="0"/>
          <w:color w:val="auto"/>
          <w:spacing w:val="0"/>
          <w:sz w:val="32"/>
          <w:szCs w:val="32"/>
          <w:highlight w:val="none"/>
          <w:shd w:val="clear" w:fill="FFFFFF"/>
        </w:rPr>
        <w:t>坚持党的全面领导。</w:t>
      </w:r>
      <w:r>
        <w:rPr>
          <w:rFonts w:hint="eastAsia" w:ascii="仿宋" w:hAnsi="仿宋" w:eastAsia="仿宋" w:cs="仿宋"/>
          <w:b w:val="0"/>
          <w:bCs w:val="0"/>
          <w:i w:val="0"/>
          <w:iCs w:val="0"/>
          <w:caps w:val="0"/>
          <w:color w:val="auto"/>
          <w:spacing w:val="0"/>
          <w:sz w:val="32"/>
          <w:szCs w:val="32"/>
          <w:highlight w:val="none"/>
          <w:shd w:val="clear" w:fill="FFFFFF"/>
          <w:lang w:val="en-US" w:eastAsia="zh-CN"/>
        </w:rPr>
        <w:t>加强</w:t>
      </w:r>
      <w:r>
        <w:rPr>
          <w:rFonts w:hint="eastAsia" w:ascii="仿宋" w:hAnsi="仿宋" w:eastAsia="仿宋" w:cs="仿宋"/>
          <w:b w:val="0"/>
          <w:bCs w:val="0"/>
          <w:i w:val="0"/>
          <w:iCs w:val="0"/>
          <w:caps w:val="0"/>
          <w:color w:val="auto"/>
          <w:spacing w:val="0"/>
          <w:sz w:val="32"/>
          <w:szCs w:val="32"/>
          <w:highlight w:val="none"/>
          <w:shd w:val="clear" w:fill="FFFFFF"/>
        </w:rPr>
        <w:t>党委</w:t>
      </w:r>
      <w:r>
        <w:rPr>
          <w:rFonts w:hint="eastAsia" w:ascii="仿宋" w:hAnsi="仿宋" w:eastAsia="仿宋" w:cs="仿宋"/>
          <w:i w:val="0"/>
          <w:iCs w:val="0"/>
          <w:caps w:val="0"/>
          <w:color w:val="auto"/>
          <w:spacing w:val="0"/>
          <w:sz w:val="32"/>
          <w:szCs w:val="32"/>
          <w:highlight w:val="none"/>
          <w:shd w:val="clear" w:fill="FFFFFF"/>
        </w:rPr>
        <w:t>领导、政府负责的残疾人工作领导体制，为残疾人保障和发展提供坚强的政治保障、组织保障。</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val="0"/>
        <w:autoSpaceDN w:val="0"/>
        <w:bidi w:val="0"/>
        <w:adjustRightInd/>
        <w:snapToGrid/>
        <w:spacing w:before="0" w:beforeAutospacing="0" w:after="0" w:afterAutospacing="0" w:line="600" w:lineRule="exact"/>
        <w:ind w:left="0" w:leftChars="0" w:right="0" w:firstLine="635"/>
        <w:jc w:val="both"/>
        <w:textAlignment w:val="auto"/>
        <w:rPr>
          <w:rFonts w:hint="eastAsia" w:ascii="仿宋" w:hAnsi="仿宋" w:eastAsia="仿宋" w:cs="仿宋"/>
          <w:i w:val="0"/>
          <w:iCs w:val="0"/>
          <w:caps w:val="0"/>
          <w:color w:val="auto"/>
          <w:spacing w:val="0"/>
          <w:sz w:val="32"/>
          <w:szCs w:val="32"/>
          <w:highlight w:val="none"/>
        </w:rPr>
      </w:pPr>
      <w:r>
        <w:rPr>
          <w:rFonts w:hint="eastAsia" w:ascii="楷体" w:hAnsi="楷体" w:eastAsia="楷体" w:cs="楷体"/>
          <w:i w:val="0"/>
          <w:iCs w:val="0"/>
          <w:caps w:val="0"/>
          <w:color w:val="auto"/>
          <w:spacing w:val="0"/>
          <w:sz w:val="32"/>
          <w:szCs w:val="32"/>
          <w:highlight w:val="none"/>
          <w:shd w:val="clear" w:fill="FFFFFF"/>
        </w:rPr>
        <w:t>坚持以人民为中心。</w:t>
      </w:r>
      <w:r>
        <w:rPr>
          <w:rFonts w:hint="eastAsia" w:ascii="仿宋" w:hAnsi="仿宋" w:eastAsia="仿宋" w:cs="仿宋"/>
          <w:i w:val="0"/>
          <w:iCs w:val="0"/>
          <w:caps w:val="0"/>
          <w:color w:val="auto"/>
          <w:spacing w:val="0"/>
          <w:sz w:val="32"/>
          <w:szCs w:val="32"/>
          <w:highlight w:val="none"/>
          <w:shd w:val="clear" w:fill="FFFFFF"/>
        </w:rPr>
        <w:t>对残疾人格外关心、格外关注，解决好残疾人最关心、最直接、最现实的利益问题，不断增强残疾人的获得感、幸福感、安全感，激发残疾人的积极性、主动性、创造性。</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val="0"/>
        <w:autoSpaceDN w:val="0"/>
        <w:bidi w:val="0"/>
        <w:adjustRightInd/>
        <w:snapToGrid/>
        <w:spacing w:before="0" w:beforeAutospacing="0" w:after="0" w:afterAutospacing="0" w:line="600" w:lineRule="exact"/>
        <w:ind w:left="0" w:leftChars="0" w:right="0" w:firstLine="635"/>
        <w:jc w:val="both"/>
        <w:textAlignment w:val="auto"/>
        <w:rPr>
          <w:rFonts w:hint="eastAsia" w:ascii="仿宋" w:hAnsi="仿宋" w:eastAsia="仿宋" w:cs="仿宋"/>
          <w:i w:val="0"/>
          <w:iCs w:val="0"/>
          <w:caps w:val="0"/>
          <w:color w:val="auto"/>
          <w:spacing w:val="0"/>
          <w:sz w:val="32"/>
          <w:szCs w:val="32"/>
          <w:highlight w:val="none"/>
        </w:rPr>
      </w:pPr>
      <w:r>
        <w:rPr>
          <w:rFonts w:hint="eastAsia" w:ascii="楷体" w:hAnsi="楷体" w:eastAsia="楷体" w:cs="楷体"/>
          <w:i w:val="0"/>
          <w:iCs w:val="0"/>
          <w:caps w:val="0"/>
          <w:color w:val="auto"/>
          <w:spacing w:val="0"/>
          <w:sz w:val="32"/>
          <w:szCs w:val="32"/>
          <w:highlight w:val="none"/>
          <w:shd w:val="clear" w:fill="FFFFFF"/>
        </w:rPr>
        <w:t>坚持保基本、兜底线。</w:t>
      </w:r>
      <w:r>
        <w:rPr>
          <w:rFonts w:hint="eastAsia" w:ascii="仿宋" w:hAnsi="仿宋" w:eastAsia="仿宋" w:cs="仿宋"/>
          <w:i w:val="0"/>
          <w:iCs w:val="0"/>
          <w:caps w:val="0"/>
          <w:color w:val="auto"/>
          <w:spacing w:val="0"/>
          <w:sz w:val="32"/>
          <w:szCs w:val="32"/>
          <w:highlight w:val="none"/>
          <w:shd w:val="clear" w:fill="FFFFFF"/>
        </w:rPr>
        <w:t>尽力而为、量力而行，不断完善残疾人社会福利制度和关爱服务体系，织密扎牢残疾人民生保障安全网，堵漏洞、补短板、强弱项、兜底线，改善残疾人生活品质，促进残疾人共享经济社会发展成果。</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val="0"/>
        <w:autoSpaceDN w:val="0"/>
        <w:bidi w:val="0"/>
        <w:adjustRightInd/>
        <w:snapToGrid/>
        <w:spacing w:before="0" w:beforeAutospacing="0" w:after="0" w:afterAutospacing="0" w:line="600" w:lineRule="exact"/>
        <w:ind w:left="0" w:leftChars="0" w:right="0" w:firstLine="635"/>
        <w:jc w:val="both"/>
        <w:textAlignment w:val="auto"/>
        <w:rPr>
          <w:rFonts w:hint="eastAsia" w:ascii="仿宋" w:hAnsi="仿宋" w:eastAsia="仿宋" w:cs="仿宋"/>
          <w:i w:val="0"/>
          <w:iCs w:val="0"/>
          <w:caps w:val="0"/>
          <w:color w:val="auto"/>
          <w:spacing w:val="0"/>
          <w:sz w:val="32"/>
          <w:szCs w:val="32"/>
          <w:highlight w:val="none"/>
        </w:rPr>
      </w:pPr>
      <w:r>
        <w:rPr>
          <w:rFonts w:hint="eastAsia" w:ascii="楷体" w:hAnsi="楷体" w:eastAsia="楷体" w:cs="楷体"/>
          <w:i w:val="0"/>
          <w:iCs w:val="0"/>
          <w:caps w:val="0"/>
          <w:color w:val="auto"/>
          <w:spacing w:val="0"/>
          <w:sz w:val="32"/>
          <w:szCs w:val="32"/>
          <w:highlight w:val="none"/>
          <w:shd w:val="clear" w:fill="FFFFFF"/>
        </w:rPr>
        <w:t>坚持固根基、提质量。</w:t>
      </w:r>
      <w:r>
        <w:rPr>
          <w:rFonts w:hint="eastAsia" w:ascii="仿宋" w:hAnsi="仿宋" w:eastAsia="仿宋" w:cs="仿宋"/>
          <w:i w:val="0"/>
          <w:iCs w:val="0"/>
          <w:caps w:val="0"/>
          <w:color w:val="auto"/>
          <w:spacing w:val="0"/>
          <w:sz w:val="32"/>
          <w:szCs w:val="32"/>
          <w:highlight w:val="none"/>
          <w:shd w:val="clear" w:fill="FFFFFF"/>
        </w:rPr>
        <w:t>深化残疾人服务供给侧改革，强化残疾人事业人才培养、科技应用、信息化、智能化等基础保障条件，推动残疾人事业高质量发展，满足残疾人多层次、多样化的发展需要。</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val="0"/>
        <w:autoSpaceDN w:val="0"/>
        <w:bidi w:val="0"/>
        <w:adjustRightInd/>
        <w:snapToGrid/>
        <w:spacing w:before="0" w:beforeAutospacing="0" w:after="0" w:afterAutospacing="0" w:line="600" w:lineRule="exact"/>
        <w:ind w:left="0" w:leftChars="0" w:right="0" w:firstLine="635"/>
        <w:jc w:val="both"/>
        <w:textAlignment w:val="auto"/>
        <w:rPr>
          <w:rFonts w:hint="eastAsia" w:ascii="仿宋" w:hAnsi="仿宋" w:eastAsia="仿宋" w:cs="仿宋"/>
          <w:i w:val="0"/>
          <w:iCs w:val="0"/>
          <w:caps w:val="0"/>
          <w:color w:val="auto"/>
          <w:spacing w:val="0"/>
          <w:sz w:val="32"/>
          <w:szCs w:val="32"/>
          <w:highlight w:val="none"/>
        </w:rPr>
      </w:pPr>
      <w:r>
        <w:rPr>
          <w:rFonts w:hint="eastAsia" w:ascii="楷体" w:hAnsi="楷体" w:eastAsia="楷体" w:cs="楷体"/>
          <w:i w:val="0"/>
          <w:iCs w:val="0"/>
          <w:caps w:val="0"/>
          <w:color w:val="auto"/>
          <w:spacing w:val="0"/>
          <w:sz w:val="32"/>
          <w:szCs w:val="32"/>
          <w:highlight w:val="none"/>
          <w:shd w:val="clear" w:fill="FFFFFF"/>
        </w:rPr>
        <w:t>坚持突出农村、下沉基层。</w:t>
      </w:r>
      <w:r>
        <w:rPr>
          <w:rFonts w:hint="eastAsia" w:ascii="仿宋" w:hAnsi="仿宋" w:eastAsia="仿宋" w:cs="仿宋"/>
          <w:i w:val="0"/>
          <w:iCs w:val="0"/>
          <w:caps w:val="0"/>
          <w:color w:val="auto"/>
          <w:spacing w:val="0"/>
          <w:sz w:val="32"/>
          <w:szCs w:val="32"/>
          <w:highlight w:val="none"/>
          <w:shd w:val="clear" w:fill="FFFFFF"/>
        </w:rPr>
        <w:t>将农村作为残疾人工作的主阵地，推动工作重心向农村下移，资源力量向基层下沉，增强农村残疾人保障服务能力，促进残疾人事业均衡发展。</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val="0"/>
        <w:autoSpaceDN w:val="0"/>
        <w:bidi w:val="0"/>
        <w:adjustRightInd/>
        <w:snapToGrid/>
        <w:spacing w:before="0" w:beforeAutospacing="0" w:after="0" w:afterAutospacing="0" w:line="600" w:lineRule="exact"/>
        <w:ind w:left="0" w:leftChars="0" w:right="0" w:firstLine="635"/>
        <w:jc w:val="both"/>
        <w:textAlignment w:val="auto"/>
        <w:rPr>
          <w:rFonts w:hint="eastAsia" w:ascii="仿宋" w:hAnsi="仿宋" w:eastAsia="仿宋" w:cs="仿宋"/>
          <w:i w:val="0"/>
          <w:iCs w:val="0"/>
          <w:caps w:val="0"/>
          <w:color w:val="auto"/>
          <w:spacing w:val="0"/>
          <w:sz w:val="32"/>
          <w:szCs w:val="32"/>
          <w:highlight w:val="none"/>
        </w:rPr>
      </w:pPr>
      <w:r>
        <w:rPr>
          <w:rFonts w:hint="eastAsia" w:ascii="楷体" w:hAnsi="楷体" w:eastAsia="楷体" w:cs="楷体"/>
          <w:i w:val="0"/>
          <w:iCs w:val="0"/>
          <w:caps w:val="0"/>
          <w:color w:val="auto"/>
          <w:spacing w:val="0"/>
          <w:sz w:val="32"/>
          <w:szCs w:val="32"/>
          <w:highlight w:val="none"/>
          <w:shd w:val="clear" w:fill="FFFFFF"/>
        </w:rPr>
        <w:t>坚持统筹协调、形成合力。</w:t>
      </w:r>
      <w:r>
        <w:rPr>
          <w:rFonts w:hint="eastAsia" w:ascii="仿宋" w:hAnsi="仿宋" w:eastAsia="仿宋" w:cs="仿宋"/>
          <w:i w:val="0"/>
          <w:iCs w:val="0"/>
          <w:caps w:val="0"/>
          <w:color w:val="auto"/>
          <w:spacing w:val="0"/>
          <w:sz w:val="32"/>
          <w:szCs w:val="32"/>
          <w:highlight w:val="none"/>
          <w:shd w:val="clear" w:fill="FFFFFF"/>
        </w:rPr>
        <w:t>发挥政府主导作用和社会力量、市场主体协同作用，发挥基层首创精神，集成政策、整合资源、优化服务，推动残疾人事业与经济社会协调发展。</w:t>
      </w:r>
    </w:p>
    <w:p>
      <w:pPr>
        <w:pStyle w:val="4"/>
        <w:pageBreakBefore w:val="0"/>
        <w:kinsoku/>
        <w:wordWrap/>
        <w:overflowPunct/>
        <w:topLinePunct w:val="0"/>
        <w:bidi w:val="0"/>
        <w:spacing w:before="0" w:beforeLines="0" w:after="0" w:afterLines="0" w:line="600" w:lineRule="exact"/>
        <w:ind w:left="0" w:leftChars="0" w:right="0"/>
        <w:textAlignment w:val="auto"/>
        <w:rPr>
          <w:rFonts w:hint="eastAsia"/>
          <w:lang w:val="en-US" w:eastAsia="zh-CN"/>
        </w:rPr>
      </w:pPr>
      <w:bookmarkStart w:id="14" w:name="_Toc9460"/>
      <w:r>
        <w:rPr>
          <w:rFonts w:hint="eastAsia"/>
          <w:lang w:val="en-US" w:eastAsia="zh-CN"/>
        </w:rPr>
        <w:t>(三)主要目标</w:t>
      </w:r>
      <w:bookmarkEnd w:id="14"/>
    </w:p>
    <w:p>
      <w:pPr>
        <w:pageBreakBefore w:val="0"/>
        <w:widowControl/>
        <w:kinsoku/>
        <w:wordWrap/>
        <w:overflowPunct/>
        <w:topLinePunct w:val="0"/>
        <w:autoSpaceDE w:val="0"/>
        <w:bidi w:val="0"/>
        <w:spacing w:before="0" w:after="0" w:line="600" w:lineRule="exact"/>
        <w:ind w:left="0" w:leftChars="0" w:right="0" w:firstLine="640" w:firstLineChars="200"/>
        <w:jc w:val="both"/>
        <w:textAlignment w:val="auto"/>
        <w:rPr>
          <w:rFonts w:hint="eastAsia" w:ascii="仿宋" w:hAnsi="仿宋" w:eastAsia="仿宋" w:cs="仿宋"/>
          <w:b w:val="0"/>
          <w:bCs w:val="0"/>
          <w:color w:val="auto"/>
          <w:kern w:val="0"/>
          <w:sz w:val="32"/>
          <w:szCs w:val="32"/>
          <w:highlight w:val="none"/>
        </w:rPr>
      </w:pPr>
      <w:r>
        <w:rPr>
          <w:rFonts w:hint="eastAsia" w:ascii="仿宋" w:hAnsi="仿宋" w:eastAsia="仿宋" w:cs="仿宋"/>
          <w:b w:val="0"/>
          <w:bCs w:val="0"/>
          <w:color w:val="auto"/>
          <w:sz w:val="32"/>
          <w:szCs w:val="32"/>
          <w:highlight w:val="none"/>
          <w:lang w:val="en-US" w:eastAsia="zh-CN"/>
        </w:rPr>
        <w:t>到2025年，同心县</w:t>
      </w:r>
      <w:r>
        <w:rPr>
          <w:rFonts w:hint="eastAsia" w:ascii="仿宋" w:hAnsi="仿宋" w:eastAsia="仿宋" w:cs="仿宋"/>
          <w:b w:val="0"/>
          <w:bCs w:val="0"/>
          <w:color w:val="auto"/>
          <w:kern w:val="0"/>
          <w:sz w:val="32"/>
          <w:szCs w:val="32"/>
          <w:highlight w:val="none"/>
        </w:rPr>
        <w:t>将在巩固和拓展脱贫攻坚成果的基础上，进一步提升残疾人</w:t>
      </w:r>
      <w:r>
        <w:rPr>
          <w:rFonts w:hint="eastAsia" w:ascii="仿宋" w:hAnsi="仿宋" w:eastAsia="仿宋" w:cs="仿宋"/>
          <w:b w:val="0"/>
          <w:bCs w:val="0"/>
          <w:color w:val="auto"/>
          <w:sz w:val="32"/>
          <w:szCs w:val="32"/>
          <w:highlight w:val="none"/>
        </w:rPr>
        <w:fldChar w:fldCharType="begin"/>
      </w:r>
      <w:r>
        <w:rPr>
          <w:rFonts w:hint="eastAsia" w:ascii="仿宋" w:hAnsi="仿宋" w:eastAsia="仿宋" w:cs="仿宋"/>
          <w:b w:val="0"/>
          <w:bCs w:val="0"/>
          <w:color w:val="auto"/>
          <w:sz w:val="32"/>
          <w:szCs w:val="32"/>
          <w:highlight w:val="none"/>
        </w:rPr>
        <w:instrText xml:space="preserve"> HYPERLINK "http://www.mswk.cn/Article/List/List_109.html" </w:instrText>
      </w:r>
      <w:r>
        <w:rPr>
          <w:rFonts w:hint="eastAsia" w:ascii="仿宋" w:hAnsi="仿宋" w:eastAsia="仿宋" w:cs="仿宋"/>
          <w:b w:val="0"/>
          <w:bCs w:val="0"/>
          <w:color w:val="auto"/>
          <w:sz w:val="32"/>
          <w:szCs w:val="32"/>
          <w:highlight w:val="none"/>
        </w:rPr>
        <w:fldChar w:fldCharType="separate"/>
      </w:r>
      <w:r>
        <w:rPr>
          <w:rStyle w:val="15"/>
          <w:rFonts w:hint="eastAsia" w:ascii="仿宋" w:hAnsi="仿宋" w:eastAsia="仿宋" w:cs="仿宋"/>
          <w:b w:val="0"/>
          <w:bCs w:val="0"/>
          <w:color w:val="auto"/>
          <w:kern w:val="0"/>
          <w:sz w:val="32"/>
          <w:szCs w:val="32"/>
          <w:highlight w:val="none"/>
          <w:u w:val="none"/>
        </w:rPr>
        <w:t>社会保障</w:t>
      </w:r>
      <w:r>
        <w:rPr>
          <w:rStyle w:val="15"/>
          <w:rFonts w:hint="eastAsia" w:ascii="仿宋" w:hAnsi="仿宋" w:eastAsia="仿宋" w:cs="仿宋"/>
          <w:b w:val="0"/>
          <w:bCs w:val="0"/>
          <w:color w:val="auto"/>
          <w:kern w:val="0"/>
          <w:sz w:val="32"/>
          <w:szCs w:val="32"/>
          <w:highlight w:val="none"/>
          <w:u w:val="none"/>
        </w:rPr>
        <w:fldChar w:fldCharType="end"/>
      </w:r>
      <w:r>
        <w:rPr>
          <w:rFonts w:hint="eastAsia" w:ascii="仿宋" w:hAnsi="仿宋" w:eastAsia="仿宋" w:cs="仿宋"/>
          <w:b w:val="0"/>
          <w:bCs w:val="0"/>
          <w:color w:val="auto"/>
          <w:kern w:val="0"/>
          <w:sz w:val="32"/>
          <w:szCs w:val="32"/>
          <w:highlight w:val="none"/>
        </w:rPr>
        <w:t>水平，建立健全全方位的残疾人服务体系，促进城乡残疾人服务融合发展，特别是要加强对重度残疾人、残疾儿童、残疾妇女、残疾老人、重度精神残疾人等特殊困难人群和一户多残等特殊困难家庭的关爱和保障服务，提高他们的生活质量和幸福指数。进一步推进</w:t>
      </w:r>
      <w:r>
        <w:rPr>
          <w:rFonts w:hint="eastAsia" w:ascii="仿宋" w:hAnsi="仿宋" w:eastAsia="仿宋" w:cs="仿宋"/>
          <w:b w:val="0"/>
          <w:bCs w:val="0"/>
          <w:color w:val="auto"/>
          <w:kern w:val="0"/>
          <w:sz w:val="32"/>
          <w:szCs w:val="32"/>
          <w:highlight w:val="none"/>
          <w:lang w:eastAsia="zh-CN"/>
        </w:rPr>
        <w:t>全</w:t>
      </w:r>
      <w:r>
        <w:rPr>
          <w:rFonts w:hint="eastAsia" w:ascii="仿宋" w:hAnsi="仿宋" w:eastAsia="仿宋" w:cs="仿宋"/>
          <w:b w:val="0"/>
          <w:bCs w:val="0"/>
          <w:color w:val="auto"/>
          <w:kern w:val="0"/>
          <w:sz w:val="32"/>
          <w:szCs w:val="32"/>
          <w:highlight w:val="none"/>
        </w:rPr>
        <w:t>县残疾人事业与经济社会协调发展，进一步改善残疾人生存和发展状况，确保残疾人与全县人民共享更高水平的小康。</w:t>
      </w:r>
    </w:p>
    <w:p>
      <w:pPr>
        <w:pageBreakBefore w:val="0"/>
        <w:kinsoku/>
        <w:wordWrap/>
        <w:overflowPunct/>
        <w:topLinePunct w:val="0"/>
        <w:bidi w:val="0"/>
        <w:spacing w:before="0" w:after="0" w:line="600" w:lineRule="exact"/>
        <w:ind w:left="0" w:leftChars="0" w:right="0" w:firstLine="645"/>
        <w:jc w:val="both"/>
        <w:textAlignment w:val="auto"/>
        <w:rPr>
          <w:rFonts w:hint="eastAsia" w:ascii="仿宋" w:hAnsi="仿宋" w:eastAsia="仿宋" w:cs="仿宋"/>
          <w:b w:val="0"/>
          <w:bCs w:val="0"/>
          <w:sz w:val="32"/>
          <w:szCs w:val="32"/>
          <w:highlight w:val="none"/>
        </w:rPr>
      </w:pPr>
      <w:r>
        <w:rPr>
          <w:rFonts w:hint="eastAsia" w:ascii="楷体" w:hAnsi="楷体" w:eastAsia="楷体" w:cs="楷体"/>
          <w:b w:val="0"/>
          <w:bCs w:val="0"/>
          <w:sz w:val="32"/>
          <w:szCs w:val="32"/>
          <w:highlight w:val="none"/>
        </w:rPr>
        <w:t>社会保障实现新提升。</w:t>
      </w:r>
      <w:r>
        <w:rPr>
          <w:rFonts w:hint="eastAsia" w:ascii="仿宋" w:hAnsi="仿宋" w:eastAsia="仿宋" w:cs="仿宋"/>
          <w:b w:val="0"/>
          <w:bCs w:val="0"/>
          <w:sz w:val="32"/>
          <w:szCs w:val="32"/>
          <w:highlight w:val="none"/>
        </w:rPr>
        <w:t>全覆盖、多层次的残疾人社会福利制度基本建立，困难和重度残疾人生活得到明显改善，残疾人生活状况与社会平均水平的差距进一步缩小，残疾人社会保障体系更加完善。</w:t>
      </w:r>
    </w:p>
    <w:p>
      <w:pPr>
        <w:pageBreakBefore w:val="0"/>
        <w:kinsoku/>
        <w:wordWrap/>
        <w:overflowPunct/>
        <w:topLinePunct w:val="0"/>
        <w:bidi w:val="0"/>
        <w:spacing w:before="0" w:after="0" w:line="600" w:lineRule="exact"/>
        <w:ind w:left="0" w:leftChars="0" w:right="0" w:firstLine="645"/>
        <w:jc w:val="both"/>
        <w:textAlignment w:val="auto"/>
        <w:rPr>
          <w:rFonts w:hint="eastAsia" w:ascii="仿宋" w:hAnsi="仿宋" w:eastAsia="仿宋" w:cs="仿宋"/>
          <w:b w:val="0"/>
          <w:bCs w:val="0"/>
          <w:sz w:val="32"/>
          <w:szCs w:val="32"/>
          <w:highlight w:val="none"/>
        </w:rPr>
      </w:pPr>
      <w:r>
        <w:rPr>
          <w:rFonts w:hint="eastAsia" w:ascii="楷体" w:hAnsi="楷体" w:eastAsia="楷体" w:cs="楷体"/>
          <w:b w:val="0"/>
          <w:bCs w:val="0"/>
          <w:sz w:val="32"/>
          <w:szCs w:val="32"/>
          <w:highlight w:val="none"/>
        </w:rPr>
        <w:t>就业创业取得新成果。</w:t>
      </w:r>
      <w:r>
        <w:rPr>
          <w:rFonts w:hint="eastAsia" w:ascii="仿宋" w:hAnsi="仿宋" w:eastAsia="仿宋" w:cs="仿宋"/>
          <w:b w:val="0"/>
          <w:bCs w:val="0"/>
          <w:sz w:val="32"/>
          <w:szCs w:val="32"/>
          <w:highlight w:val="none"/>
        </w:rPr>
        <w:t>残疾人就业扶持政策更加健全，残疾人就业规模和质量稳步提高，残疾人收入增长和经济增长基本同步，有就业意愿且有就业能力的残疾人得到充分就业，残疾人人均可支配收入逐年提高。</w:t>
      </w:r>
    </w:p>
    <w:p>
      <w:pPr>
        <w:pageBreakBefore w:val="0"/>
        <w:kinsoku/>
        <w:wordWrap/>
        <w:overflowPunct/>
        <w:topLinePunct w:val="0"/>
        <w:bidi w:val="0"/>
        <w:spacing w:before="0" w:after="0" w:line="600" w:lineRule="exact"/>
        <w:ind w:left="0" w:leftChars="0" w:right="0" w:firstLine="645"/>
        <w:jc w:val="both"/>
        <w:textAlignment w:val="auto"/>
        <w:rPr>
          <w:rFonts w:hint="eastAsia" w:ascii="仿宋" w:hAnsi="仿宋" w:eastAsia="仿宋" w:cs="仿宋"/>
          <w:b w:val="0"/>
          <w:bCs w:val="0"/>
          <w:sz w:val="32"/>
          <w:szCs w:val="32"/>
          <w:highlight w:val="none"/>
        </w:rPr>
      </w:pPr>
      <w:r>
        <w:rPr>
          <w:rFonts w:hint="eastAsia" w:ascii="楷体" w:hAnsi="楷体" w:eastAsia="楷体" w:cs="楷体"/>
          <w:b w:val="0"/>
          <w:bCs w:val="0"/>
          <w:sz w:val="32"/>
          <w:szCs w:val="32"/>
          <w:highlight w:val="none"/>
        </w:rPr>
        <w:t>康复服务取得新成效。</w:t>
      </w:r>
      <w:r>
        <w:rPr>
          <w:rFonts w:hint="eastAsia" w:ascii="仿宋" w:hAnsi="仿宋" w:eastAsia="仿宋" w:cs="仿宋"/>
          <w:b w:val="0"/>
          <w:bCs w:val="0"/>
          <w:sz w:val="32"/>
          <w:szCs w:val="32"/>
          <w:highlight w:val="none"/>
        </w:rPr>
        <w:t>以残疾人需求和精准服务为导向，以残疾儿童的康复供给为重点，围绕专业化、信息化、标准化、社会化、精细化，建立康复与预防相联动，康复与医疗相结合的全生命周期康复服务体系，实现“应康优康”。</w:t>
      </w:r>
    </w:p>
    <w:p>
      <w:pPr>
        <w:pageBreakBefore w:val="0"/>
        <w:kinsoku/>
        <w:wordWrap/>
        <w:overflowPunct/>
        <w:topLinePunct w:val="0"/>
        <w:bidi w:val="0"/>
        <w:spacing w:before="0" w:after="0" w:line="600" w:lineRule="exact"/>
        <w:ind w:left="0" w:leftChars="0" w:right="0" w:firstLine="645"/>
        <w:jc w:val="both"/>
        <w:textAlignment w:val="auto"/>
        <w:rPr>
          <w:rFonts w:hint="eastAsia" w:ascii="仿宋" w:hAnsi="仿宋" w:eastAsia="仿宋" w:cs="仿宋"/>
          <w:b w:val="0"/>
          <w:bCs w:val="0"/>
          <w:sz w:val="32"/>
          <w:szCs w:val="32"/>
          <w:highlight w:val="none"/>
        </w:rPr>
      </w:pPr>
      <w:r>
        <w:rPr>
          <w:rFonts w:hint="eastAsia" w:ascii="楷体" w:hAnsi="楷体" w:eastAsia="楷体" w:cs="楷体"/>
          <w:b w:val="0"/>
          <w:bCs w:val="0"/>
          <w:sz w:val="32"/>
          <w:szCs w:val="32"/>
          <w:highlight w:val="none"/>
        </w:rPr>
        <w:t>托养服务取得新突破。</w:t>
      </w:r>
      <w:r>
        <w:rPr>
          <w:rFonts w:hint="eastAsia" w:ascii="仿宋" w:hAnsi="仿宋" w:eastAsia="仿宋" w:cs="仿宋"/>
          <w:b w:val="0"/>
          <w:bCs w:val="0"/>
          <w:sz w:val="32"/>
          <w:szCs w:val="32"/>
          <w:highlight w:val="none"/>
        </w:rPr>
        <w:t>打造个性化居家托养照护服务品牌，全面提升托养服务有效供给水平，率先实现残疾人有需求，服务体系有供给。以“残疾人之家”为主要平台，汇聚基层各类助残服务力量，延伸服务半径、拓展服务内容、提升服务质量，实现常态化、规范化、专业化、品质化服务。</w:t>
      </w:r>
    </w:p>
    <w:p>
      <w:pPr>
        <w:pageBreakBefore w:val="0"/>
        <w:kinsoku/>
        <w:wordWrap/>
        <w:overflowPunct/>
        <w:topLinePunct w:val="0"/>
        <w:bidi w:val="0"/>
        <w:spacing w:before="0" w:after="0" w:line="600" w:lineRule="exact"/>
        <w:ind w:left="0" w:leftChars="0" w:right="0" w:firstLine="645"/>
        <w:jc w:val="both"/>
        <w:textAlignment w:val="auto"/>
        <w:rPr>
          <w:rFonts w:hint="eastAsia" w:ascii="仿宋" w:hAnsi="仿宋" w:eastAsia="仿宋" w:cs="仿宋"/>
          <w:b w:val="0"/>
          <w:bCs w:val="0"/>
          <w:sz w:val="32"/>
          <w:szCs w:val="32"/>
          <w:highlight w:val="none"/>
        </w:rPr>
      </w:pPr>
      <w:r>
        <w:rPr>
          <w:rFonts w:hint="eastAsia" w:ascii="楷体" w:hAnsi="楷体" w:eastAsia="楷体" w:cs="楷体"/>
          <w:b w:val="0"/>
          <w:bCs w:val="0"/>
          <w:sz w:val="32"/>
          <w:szCs w:val="32"/>
          <w:highlight w:val="none"/>
        </w:rPr>
        <w:t>宣传文体达到新水平。</w:t>
      </w:r>
      <w:r>
        <w:rPr>
          <w:rFonts w:hint="eastAsia" w:ascii="仿宋" w:hAnsi="仿宋" w:eastAsia="仿宋" w:cs="仿宋"/>
          <w:b w:val="0"/>
          <w:bCs w:val="0"/>
          <w:sz w:val="32"/>
          <w:szCs w:val="32"/>
          <w:highlight w:val="none"/>
        </w:rPr>
        <w:t>突出“大健康、群众性”导向，持续增加残疾人文化体育服务供给，扩大残疾人群众性文化、体育活动的覆盖面和参与率，实现残疾人公共文化体育服务项目的高质量普及与精准化保障。大力弘扬人道主义思想和现代残疾人观念，优化理解、尊重、关心、帮助残疾人的社会环境。</w:t>
      </w:r>
    </w:p>
    <w:p>
      <w:pPr>
        <w:pageBreakBefore w:val="0"/>
        <w:kinsoku/>
        <w:wordWrap/>
        <w:overflowPunct/>
        <w:topLinePunct w:val="0"/>
        <w:bidi w:val="0"/>
        <w:spacing w:before="0" w:after="0" w:line="600" w:lineRule="exact"/>
        <w:ind w:left="0" w:leftChars="0" w:right="0" w:firstLine="645"/>
        <w:jc w:val="both"/>
        <w:textAlignment w:val="auto"/>
        <w:rPr>
          <w:rFonts w:hint="eastAsia" w:ascii="仿宋" w:hAnsi="仿宋" w:eastAsia="仿宋" w:cs="仿宋"/>
          <w:b w:val="0"/>
          <w:bCs w:val="0"/>
          <w:sz w:val="32"/>
          <w:szCs w:val="32"/>
          <w:highlight w:val="none"/>
        </w:rPr>
      </w:pPr>
      <w:r>
        <w:rPr>
          <w:rFonts w:hint="eastAsia" w:ascii="楷体" w:hAnsi="楷体" w:eastAsia="楷体" w:cs="楷体"/>
          <w:b w:val="0"/>
          <w:bCs w:val="0"/>
          <w:sz w:val="32"/>
          <w:szCs w:val="32"/>
          <w:highlight w:val="none"/>
        </w:rPr>
        <w:t>权益保障达到新高度。</w:t>
      </w:r>
      <w:r>
        <w:rPr>
          <w:rFonts w:hint="eastAsia" w:ascii="仿宋" w:hAnsi="仿宋" w:eastAsia="仿宋" w:cs="仿宋"/>
          <w:b w:val="0"/>
          <w:bCs w:val="0"/>
          <w:sz w:val="32"/>
          <w:szCs w:val="32"/>
          <w:highlight w:val="none"/>
        </w:rPr>
        <w:t>前移残疾人权益保障关口，拓展诉求渠道、加强法律服务，引导残疾人依法合理表达利益诉求，着力补齐法律援助服务短板，完善残疾人法律救助工作协调机制、权益维护应急处置机制，实现“残疾群众有所呼、权益维护有所应”。</w:t>
      </w:r>
    </w:p>
    <w:p>
      <w:pPr>
        <w:pageBreakBefore w:val="0"/>
        <w:kinsoku/>
        <w:wordWrap/>
        <w:overflowPunct/>
        <w:topLinePunct w:val="0"/>
        <w:bidi w:val="0"/>
        <w:spacing w:before="0" w:after="0" w:line="600" w:lineRule="exact"/>
        <w:ind w:left="0" w:leftChars="0" w:right="0" w:firstLine="645"/>
        <w:jc w:val="both"/>
        <w:textAlignment w:val="auto"/>
        <w:rPr>
          <w:rFonts w:hint="eastAsia" w:ascii="仿宋" w:hAnsi="仿宋" w:eastAsia="仿宋" w:cs="仿宋"/>
          <w:bCs/>
          <w:sz w:val="32"/>
          <w:szCs w:val="32"/>
          <w:highlight w:val="none"/>
        </w:rPr>
      </w:pPr>
      <w:r>
        <w:rPr>
          <w:rFonts w:hint="eastAsia" w:ascii="楷体" w:hAnsi="楷体" w:eastAsia="楷体" w:cs="楷体"/>
          <w:b w:val="0"/>
          <w:bCs w:val="0"/>
          <w:sz w:val="32"/>
          <w:szCs w:val="32"/>
          <w:highlight w:val="none"/>
        </w:rPr>
        <w:t>组织建设呈现新风貌。</w:t>
      </w:r>
      <w:r>
        <w:rPr>
          <w:rFonts w:hint="eastAsia" w:ascii="仿宋" w:hAnsi="仿宋" w:eastAsia="仿宋" w:cs="仿宋"/>
          <w:b w:val="0"/>
          <w:bCs w:val="0"/>
          <w:sz w:val="32"/>
          <w:szCs w:val="32"/>
          <w:highlight w:val="none"/>
        </w:rPr>
        <w:t>充分发挥桥梁纽带作用，残疾人工作效能进一步提升，社会扶残助</w:t>
      </w:r>
      <w:r>
        <w:rPr>
          <w:rFonts w:hint="eastAsia" w:ascii="仿宋" w:hAnsi="仿宋" w:eastAsia="仿宋" w:cs="仿宋"/>
          <w:bCs/>
          <w:sz w:val="32"/>
          <w:szCs w:val="32"/>
          <w:highlight w:val="none"/>
        </w:rPr>
        <w:t>残活力充分激发，残疾人主体作用发挥更加明显。强化互联网、大数据等现代科技手段应用，提升服务便利化水平。</w:t>
      </w:r>
    </w:p>
    <w:tbl>
      <w:tblPr>
        <w:tblStyle w:val="12"/>
        <w:tblW w:w="8266" w:type="dxa"/>
        <w:jc w:val="center"/>
        <w:tblBorders>
          <w:top w:val="single" w:color="231F21" w:sz="8" w:space="0"/>
          <w:left w:val="single" w:color="231F21" w:sz="8" w:space="0"/>
          <w:bottom w:val="single" w:color="231F21" w:sz="8" w:space="0"/>
          <w:right w:val="single" w:color="231F21" w:sz="8" w:space="0"/>
          <w:insideH w:val="single" w:color="231F21" w:sz="8" w:space="0"/>
          <w:insideV w:val="single" w:color="231F21" w:sz="8" w:space="0"/>
        </w:tblBorders>
        <w:tblLayout w:type="fixed"/>
        <w:tblCellMar>
          <w:top w:w="0" w:type="dxa"/>
          <w:left w:w="0" w:type="dxa"/>
          <w:bottom w:w="0" w:type="dxa"/>
          <w:right w:w="0" w:type="dxa"/>
        </w:tblCellMar>
      </w:tblPr>
      <w:tblGrid>
        <w:gridCol w:w="1003"/>
        <w:gridCol w:w="5"/>
        <w:gridCol w:w="3910"/>
        <w:gridCol w:w="962"/>
        <w:gridCol w:w="1019"/>
        <w:gridCol w:w="1367"/>
      </w:tblGrid>
      <w:tr>
        <w:tblPrEx>
          <w:tblBorders>
            <w:top w:val="single" w:color="231F21" w:sz="8" w:space="0"/>
            <w:left w:val="single" w:color="231F21" w:sz="8" w:space="0"/>
            <w:bottom w:val="single" w:color="231F21" w:sz="8" w:space="0"/>
            <w:right w:val="single" w:color="231F21" w:sz="8" w:space="0"/>
            <w:insideH w:val="single" w:color="231F21" w:sz="8" w:space="0"/>
            <w:insideV w:val="single" w:color="231F21" w:sz="8" w:space="0"/>
          </w:tblBorders>
          <w:tblCellMar>
            <w:top w:w="0" w:type="dxa"/>
            <w:left w:w="0" w:type="dxa"/>
            <w:bottom w:w="0" w:type="dxa"/>
            <w:right w:w="0" w:type="dxa"/>
          </w:tblCellMar>
        </w:tblPrEx>
        <w:trPr>
          <w:trHeight w:val="537" w:hRule="atLeast"/>
          <w:jc w:val="center"/>
        </w:trPr>
        <w:tc>
          <w:tcPr>
            <w:tcW w:w="8266" w:type="dxa"/>
            <w:gridSpan w:val="6"/>
            <w:tcBorders>
              <w:top w:val="single" w:color="231F21" w:sz="4" w:space="0"/>
              <w:left w:val="single" w:color="231F21" w:sz="4" w:space="0"/>
              <w:bottom w:val="single" w:color="231F21" w:sz="4" w:space="0"/>
            </w:tcBorders>
            <w:vAlign w:val="center"/>
          </w:tcPr>
          <w:p>
            <w:pPr>
              <w:pageBreakBefore w:val="0"/>
              <w:kinsoku/>
              <w:wordWrap/>
              <w:overflowPunct/>
              <w:topLinePunct w:val="0"/>
              <w:bidi w:val="0"/>
              <w:spacing w:before="0" w:after="0" w:line="600" w:lineRule="exact"/>
              <w:ind w:left="0" w:leftChars="0" w:right="0"/>
              <w:jc w:val="center"/>
              <w:textAlignment w:val="auto"/>
              <w:rPr>
                <w:rFonts w:hint="eastAsia" w:ascii="仿宋" w:hAnsi="仿宋" w:eastAsia="仿宋"/>
                <w:b/>
                <w:sz w:val="28"/>
                <w:szCs w:val="28"/>
                <w:highlight w:val="none"/>
                <w:lang w:bidi="zh-CN"/>
              </w:rPr>
            </w:pPr>
            <w:r>
              <w:rPr>
                <w:rFonts w:hint="eastAsia" w:ascii="仿宋" w:hAnsi="仿宋" w:eastAsia="仿宋" w:cs="仿宋"/>
                <w:b/>
                <w:bCs/>
                <w:color w:val="auto"/>
                <w:spacing w:val="17"/>
                <w:sz w:val="28"/>
                <w:szCs w:val="28"/>
                <w:highlight w:val="none"/>
              </w:rPr>
              <w:t>专</w:t>
            </w:r>
            <w:r>
              <w:rPr>
                <w:rFonts w:hint="eastAsia" w:ascii="仿宋" w:hAnsi="仿宋" w:eastAsia="仿宋" w:cs="仿宋"/>
                <w:b/>
                <w:bCs/>
                <w:color w:val="auto"/>
                <w:sz w:val="28"/>
                <w:szCs w:val="28"/>
                <w:highlight w:val="none"/>
              </w:rPr>
              <w:t>栏</w:t>
            </w:r>
            <w:r>
              <w:rPr>
                <w:rFonts w:hint="eastAsia" w:ascii="仿宋" w:hAnsi="仿宋" w:eastAsia="仿宋" w:cs="仿宋"/>
                <w:b/>
                <w:bCs/>
                <w:color w:val="auto"/>
                <w:sz w:val="28"/>
                <w:szCs w:val="28"/>
                <w:highlight w:val="none"/>
                <w:lang w:val="en-US" w:eastAsia="zh-CN"/>
              </w:rPr>
              <w:t>1  同心县</w:t>
            </w:r>
            <w:r>
              <w:rPr>
                <w:rFonts w:hint="eastAsia" w:ascii="仿宋" w:hAnsi="仿宋" w:eastAsia="仿宋" w:cs="仿宋"/>
                <w:b/>
                <w:bCs/>
                <w:color w:val="auto"/>
                <w:sz w:val="28"/>
                <w:szCs w:val="28"/>
                <w:highlight w:val="none"/>
                <w:lang w:eastAsia="zh-CN"/>
              </w:rPr>
              <w:t>“</w:t>
            </w:r>
            <w:r>
              <w:rPr>
                <w:rFonts w:hint="eastAsia" w:ascii="仿宋" w:hAnsi="仿宋" w:eastAsia="仿宋" w:cs="仿宋"/>
                <w:b/>
                <w:bCs/>
                <w:color w:val="auto"/>
                <w:spacing w:val="17"/>
                <w:sz w:val="28"/>
                <w:szCs w:val="28"/>
                <w:highlight w:val="none"/>
              </w:rPr>
              <w:t>十四</w:t>
            </w:r>
            <w:r>
              <w:rPr>
                <w:rFonts w:hint="eastAsia" w:ascii="仿宋" w:hAnsi="仿宋" w:eastAsia="仿宋" w:cs="仿宋"/>
                <w:b/>
                <w:bCs/>
                <w:color w:val="auto"/>
                <w:sz w:val="28"/>
                <w:szCs w:val="28"/>
                <w:highlight w:val="none"/>
              </w:rPr>
              <w:t>五</w:t>
            </w:r>
            <w:r>
              <w:rPr>
                <w:rFonts w:hint="eastAsia" w:ascii="仿宋" w:hAnsi="仿宋" w:eastAsia="仿宋" w:cs="仿宋"/>
                <w:b/>
                <w:bCs/>
                <w:color w:val="auto"/>
                <w:sz w:val="28"/>
                <w:szCs w:val="28"/>
                <w:highlight w:val="none"/>
                <w:lang w:eastAsia="zh-CN"/>
              </w:rPr>
              <w:t>”</w:t>
            </w:r>
            <w:r>
              <w:rPr>
                <w:rFonts w:hint="eastAsia" w:ascii="仿宋" w:hAnsi="仿宋" w:eastAsia="仿宋" w:cs="仿宋"/>
                <w:b/>
                <w:bCs/>
                <w:color w:val="auto"/>
                <w:spacing w:val="17"/>
                <w:sz w:val="28"/>
                <w:szCs w:val="28"/>
                <w:highlight w:val="none"/>
              </w:rPr>
              <w:t>残疾人保障和发展</w:t>
            </w:r>
            <w:r>
              <w:rPr>
                <w:rFonts w:hint="eastAsia" w:ascii="仿宋" w:hAnsi="仿宋" w:eastAsia="仿宋" w:cs="仿宋"/>
                <w:b/>
                <w:bCs/>
                <w:color w:val="auto"/>
                <w:spacing w:val="17"/>
                <w:sz w:val="28"/>
                <w:szCs w:val="28"/>
                <w:highlight w:val="none"/>
                <w:lang w:eastAsia="zh-CN"/>
              </w:rPr>
              <w:t>规划</w:t>
            </w:r>
            <w:r>
              <w:rPr>
                <w:rFonts w:hint="eastAsia" w:ascii="仿宋" w:hAnsi="仿宋" w:eastAsia="仿宋" w:cs="仿宋"/>
                <w:b/>
                <w:bCs/>
                <w:color w:val="auto"/>
                <w:spacing w:val="17"/>
                <w:sz w:val="28"/>
                <w:szCs w:val="28"/>
                <w:highlight w:val="none"/>
              </w:rPr>
              <w:t>主要指</w:t>
            </w:r>
            <w:r>
              <w:rPr>
                <w:rFonts w:hint="eastAsia" w:ascii="仿宋" w:hAnsi="仿宋" w:eastAsia="仿宋" w:cs="仿宋"/>
                <w:b/>
                <w:bCs/>
                <w:color w:val="auto"/>
                <w:sz w:val="28"/>
                <w:szCs w:val="28"/>
                <w:highlight w:val="none"/>
              </w:rPr>
              <w:t>标</w:t>
            </w:r>
          </w:p>
        </w:tc>
      </w:tr>
      <w:tr>
        <w:tblPrEx>
          <w:tblBorders>
            <w:top w:val="single" w:color="231F21" w:sz="8" w:space="0"/>
            <w:left w:val="single" w:color="231F21" w:sz="8" w:space="0"/>
            <w:bottom w:val="single" w:color="231F21" w:sz="8" w:space="0"/>
            <w:right w:val="single" w:color="231F21" w:sz="8" w:space="0"/>
            <w:insideH w:val="single" w:color="231F21" w:sz="8" w:space="0"/>
            <w:insideV w:val="single" w:color="231F21" w:sz="8" w:space="0"/>
          </w:tblBorders>
          <w:tblCellMar>
            <w:top w:w="0" w:type="dxa"/>
            <w:left w:w="0" w:type="dxa"/>
            <w:bottom w:w="0" w:type="dxa"/>
            <w:right w:w="0" w:type="dxa"/>
          </w:tblCellMar>
        </w:tblPrEx>
        <w:trPr>
          <w:trHeight w:val="537" w:hRule="atLeast"/>
          <w:jc w:val="center"/>
        </w:trPr>
        <w:tc>
          <w:tcPr>
            <w:tcW w:w="4918" w:type="dxa"/>
            <w:gridSpan w:val="3"/>
            <w:tcBorders>
              <w:top w:val="single" w:color="231F21" w:sz="4" w:space="0"/>
              <w:left w:val="single" w:color="231F21" w:sz="4" w:space="0"/>
              <w:bottom w:val="single" w:color="231F21" w:sz="4" w:space="0"/>
              <w:right w:val="single" w:color="231F21" w:sz="4" w:space="0"/>
            </w:tcBorders>
            <w:vAlign w:val="center"/>
          </w:tcPr>
          <w:p>
            <w:pPr>
              <w:pageBreakBefore w:val="0"/>
              <w:kinsoku/>
              <w:wordWrap/>
              <w:overflowPunct/>
              <w:topLinePunct w:val="0"/>
              <w:bidi w:val="0"/>
              <w:spacing w:before="0" w:after="0" w:line="600" w:lineRule="exact"/>
              <w:ind w:left="0" w:leftChars="0" w:right="0"/>
              <w:jc w:val="center"/>
              <w:textAlignment w:val="auto"/>
              <w:rPr>
                <w:rFonts w:ascii="仿宋" w:hAnsi="仿宋" w:eastAsia="仿宋"/>
                <w:b/>
                <w:sz w:val="24"/>
                <w:szCs w:val="24"/>
                <w:highlight w:val="none"/>
                <w:lang w:bidi="zh-CN"/>
              </w:rPr>
            </w:pPr>
            <w:r>
              <w:rPr>
                <w:rFonts w:hint="eastAsia" w:ascii="仿宋" w:hAnsi="仿宋" w:eastAsia="仿宋"/>
                <w:b/>
                <w:sz w:val="24"/>
                <w:szCs w:val="24"/>
                <w:highlight w:val="none"/>
                <w:lang w:bidi="zh-CN"/>
              </w:rPr>
              <w:t xml:space="preserve">指 </w:t>
            </w:r>
            <w:r>
              <w:rPr>
                <w:rFonts w:ascii="仿宋" w:hAnsi="仿宋" w:eastAsia="仿宋"/>
                <w:b/>
                <w:sz w:val="24"/>
                <w:szCs w:val="24"/>
                <w:highlight w:val="none"/>
                <w:lang w:bidi="zh-CN"/>
              </w:rPr>
              <w:t xml:space="preserve">   </w:t>
            </w:r>
            <w:r>
              <w:rPr>
                <w:rFonts w:hint="eastAsia" w:ascii="仿宋" w:hAnsi="仿宋" w:eastAsia="仿宋"/>
                <w:b/>
                <w:sz w:val="24"/>
                <w:szCs w:val="24"/>
                <w:highlight w:val="none"/>
                <w:lang w:bidi="zh-CN"/>
              </w:rPr>
              <w:t>标</w:t>
            </w:r>
          </w:p>
        </w:tc>
        <w:tc>
          <w:tcPr>
            <w:tcW w:w="962" w:type="dxa"/>
            <w:tcBorders>
              <w:top w:val="single" w:color="231F21" w:sz="4" w:space="0"/>
              <w:left w:val="single" w:color="231F21" w:sz="4" w:space="0"/>
              <w:bottom w:val="single" w:color="231F21" w:sz="4" w:space="0"/>
              <w:right w:val="single" w:color="231F21" w:sz="4" w:space="0"/>
            </w:tcBorders>
            <w:vAlign w:val="center"/>
          </w:tcPr>
          <w:p>
            <w:pPr>
              <w:pageBreakBefore w:val="0"/>
              <w:kinsoku/>
              <w:wordWrap/>
              <w:overflowPunct/>
              <w:topLinePunct w:val="0"/>
              <w:bidi w:val="0"/>
              <w:spacing w:before="0" w:after="0" w:line="600" w:lineRule="exact"/>
              <w:ind w:left="0" w:leftChars="0" w:right="0"/>
              <w:jc w:val="center"/>
              <w:textAlignment w:val="auto"/>
              <w:rPr>
                <w:rFonts w:ascii="仿宋" w:hAnsi="仿宋" w:eastAsia="仿宋"/>
                <w:b/>
                <w:sz w:val="24"/>
                <w:szCs w:val="24"/>
                <w:highlight w:val="none"/>
                <w:lang w:bidi="zh-CN"/>
              </w:rPr>
            </w:pPr>
            <w:r>
              <w:rPr>
                <w:rFonts w:hint="eastAsia" w:ascii="仿宋" w:hAnsi="仿宋" w:eastAsia="仿宋"/>
                <w:b/>
                <w:sz w:val="24"/>
                <w:szCs w:val="24"/>
                <w:highlight w:val="none"/>
              </w:rPr>
              <w:t>2020</w:t>
            </w:r>
            <w:r>
              <w:rPr>
                <w:rFonts w:hint="eastAsia" w:ascii="仿宋" w:hAnsi="仿宋" w:eastAsia="仿宋"/>
                <w:b/>
                <w:sz w:val="24"/>
                <w:szCs w:val="24"/>
                <w:highlight w:val="none"/>
                <w:lang w:bidi="zh-CN"/>
              </w:rPr>
              <w:t>年</w:t>
            </w:r>
          </w:p>
        </w:tc>
        <w:tc>
          <w:tcPr>
            <w:tcW w:w="1019" w:type="dxa"/>
            <w:tcBorders>
              <w:top w:val="single" w:color="231F21" w:sz="4" w:space="0"/>
              <w:left w:val="single" w:color="231F21" w:sz="4" w:space="0"/>
              <w:bottom w:val="single" w:color="231F21" w:sz="4" w:space="0"/>
              <w:right w:val="single" w:color="231F21" w:sz="4" w:space="0"/>
            </w:tcBorders>
            <w:vAlign w:val="center"/>
          </w:tcPr>
          <w:p>
            <w:pPr>
              <w:pageBreakBefore w:val="0"/>
              <w:kinsoku/>
              <w:wordWrap/>
              <w:overflowPunct/>
              <w:topLinePunct w:val="0"/>
              <w:bidi w:val="0"/>
              <w:spacing w:before="0" w:after="0" w:line="600" w:lineRule="exact"/>
              <w:ind w:left="0" w:leftChars="0" w:right="0"/>
              <w:jc w:val="center"/>
              <w:textAlignment w:val="auto"/>
              <w:rPr>
                <w:rFonts w:ascii="仿宋" w:hAnsi="仿宋" w:eastAsia="仿宋"/>
                <w:b/>
                <w:sz w:val="24"/>
                <w:szCs w:val="24"/>
                <w:highlight w:val="none"/>
                <w:lang w:bidi="zh-CN"/>
              </w:rPr>
            </w:pPr>
            <w:r>
              <w:rPr>
                <w:rFonts w:hint="eastAsia" w:ascii="仿宋" w:hAnsi="仿宋" w:eastAsia="仿宋"/>
                <w:b/>
                <w:sz w:val="24"/>
                <w:szCs w:val="24"/>
                <w:highlight w:val="none"/>
              </w:rPr>
              <w:t>2025</w:t>
            </w:r>
            <w:r>
              <w:rPr>
                <w:rFonts w:hint="eastAsia" w:ascii="仿宋" w:hAnsi="仿宋" w:eastAsia="仿宋"/>
                <w:b/>
                <w:sz w:val="24"/>
                <w:szCs w:val="24"/>
                <w:highlight w:val="none"/>
                <w:lang w:bidi="zh-CN"/>
              </w:rPr>
              <w:t>年</w:t>
            </w:r>
          </w:p>
        </w:tc>
        <w:tc>
          <w:tcPr>
            <w:tcW w:w="1367" w:type="dxa"/>
            <w:tcBorders>
              <w:top w:val="single" w:color="231F21" w:sz="4" w:space="0"/>
              <w:left w:val="single" w:color="231F21" w:sz="4" w:space="0"/>
              <w:bottom w:val="single" w:color="231F21" w:sz="4" w:space="0"/>
            </w:tcBorders>
            <w:vAlign w:val="center"/>
          </w:tcPr>
          <w:p>
            <w:pPr>
              <w:pageBreakBefore w:val="0"/>
              <w:kinsoku/>
              <w:wordWrap/>
              <w:overflowPunct/>
              <w:topLinePunct w:val="0"/>
              <w:bidi w:val="0"/>
              <w:spacing w:before="0" w:after="0" w:line="600" w:lineRule="exact"/>
              <w:ind w:left="0" w:leftChars="0" w:right="0"/>
              <w:jc w:val="center"/>
              <w:textAlignment w:val="auto"/>
              <w:rPr>
                <w:rFonts w:ascii="仿宋" w:hAnsi="仿宋" w:eastAsia="仿宋"/>
                <w:b/>
                <w:sz w:val="24"/>
                <w:szCs w:val="24"/>
                <w:highlight w:val="none"/>
                <w:lang w:bidi="zh-CN"/>
              </w:rPr>
            </w:pPr>
            <w:r>
              <w:rPr>
                <w:rFonts w:hint="eastAsia" w:ascii="仿宋" w:hAnsi="仿宋" w:eastAsia="仿宋"/>
                <w:b/>
                <w:sz w:val="24"/>
                <w:szCs w:val="24"/>
                <w:highlight w:val="none"/>
                <w:lang w:bidi="zh-CN"/>
              </w:rPr>
              <w:t>目标属性</w:t>
            </w:r>
          </w:p>
        </w:tc>
      </w:tr>
      <w:tr>
        <w:tblPrEx>
          <w:tblBorders>
            <w:top w:val="single" w:color="231F21" w:sz="8" w:space="0"/>
            <w:left w:val="single" w:color="231F21" w:sz="8" w:space="0"/>
            <w:bottom w:val="single" w:color="231F21" w:sz="8" w:space="0"/>
            <w:right w:val="single" w:color="231F21" w:sz="8" w:space="0"/>
            <w:insideH w:val="single" w:color="231F21" w:sz="8" w:space="0"/>
            <w:insideV w:val="single" w:color="231F21" w:sz="8" w:space="0"/>
          </w:tblBorders>
          <w:tblCellMar>
            <w:top w:w="0" w:type="dxa"/>
            <w:left w:w="0" w:type="dxa"/>
            <w:bottom w:w="0" w:type="dxa"/>
            <w:right w:w="0" w:type="dxa"/>
          </w:tblCellMar>
        </w:tblPrEx>
        <w:trPr>
          <w:trHeight w:val="537" w:hRule="atLeast"/>
          <w:jc w:val="center"/>
        </w:trPr>
        <w:tc>
          <w:tcPr>
            <w:tcW w:w="8266" w:type="dxa"/>
            <w:gridSpan w:val="6"/>
            <w:tcBorders>
              <w:top w:val="single" w:color="231F21" w:sz="4" w:space="0"/>
              <w:left w:val="single" w:color="231F21" w:sz="4" w:space="0"/>
              <w:bottom w:val="single" w:color="231F21" w:sz="4" w:space="0"/>
            </w:tcBorders>
            <w:vAlign w:val="center"/>
          </w:tcPr>
          <w:p>
            <w:pPr>
              <w:pageBreakBefore w:val="0"/>
              <w:kinsoku/>
              <w:wordWrap/>
              <w:overflowPunct/>
              <w:topLinePunct w:val="0"/>
              <w:bidi w:val="0"/>
              <w:spacing w:before="0" w:after="0" w:line="600" w:lineRule="exact"/>
              <w:ind w:left="0" w:leftChars="0" w:right="0"/>
              <w:jc w:val="center"/>
              <w:textAlignment w:val="auto"/>
              <w:rPr>
                <w:rFonts w:hint="eastAsia" w:ascii="仿宋" w:hAnsi="仿宋" w:eastAsia="仿宋"/>
                <w:b/>
                <w:sz w:val="24"/>
                <w:szCs w:val="24"/>
                <w:highlight w:val="none"/>
                <w:lang w:bidi="zh-CN"/>
              </w:rPr>
            </w:pPr>
            <w:r>
              <w:rPr>
                <w:rFonts w:hint="eastAsia" w:ascii="仿宋" w:hAnsi="仿宋" w:eastAsia="仿宋"/>
                <w:b/>
                <w:sz w:val="24"/>
                <w:szCs w:val="24"/>
                <w:highlight w:val="none"/>
                <w:lang w:bidi="zh-CN"/>
              </w:rPr>
              <w:t>收入和就业</w:t>
            </w:r>
          </w:p>
        </w:tc>
      </w:tr>
      <w:tr>
        <w:tblPrEx>
          <w:tblBorders>
            <w:top w:val="single" w:color="231F21" w:sz="8" w:space="0"/>
            <w:left w:val="single" w:color="231F21" w:sz="8" w:space="0"/>
            <w:bottom w:val="single" w:color="231F21" w:sz="8" w:space="0"/>
            <w:right w:val="single" w:color="231F21" w:sz="8" w:space="0"/>
            <w:insideH w:val="single" w:color="231F21" w:sz="8" w:space="0"/>
            <w:insideV w:val="single" w:color="231F21" w:sz="8" w:space="0"/>
          </w:tblBorders>
          <w:tblCellMar>
            <w:top w:w="0" w:type="dxa"/>
            <w:left w:w="0" w:type="dxa"/>
            <w:bottom w:w="0" w:type="dxa"/>
            <w:right w:w="0" w:type="dxa"/>
          </w:tblCellMar>
        </w:tblPrEx>
        <w:trPr>
          <w:trHeight w:val="537" w:hRule="atLeast"/>
          <w:jc w:val="center"/>
        </w:trPr>
        <w:tc>
          <w:tcPr>
            <w:tcW w:w="1003" w:type="dxa"/>
            <w:tcBorders>
              <w:top w:val="single" w:color="231F21" w:sz="4" w:space="0"/>
              <w:left w:val="single" w:color="231F21" w:sz="4" w:space="0"/>
              <w:bottom w:val="single" w:color="231F21" w:sz="4" w:space="0"/>
              <w:right w:val="single" w:color="auto" w:sz="4" w:space="0"/>
            </w:tcBorders>
            <w:vAlign w:val="center"/>
          </w:tcPr>
          <w:p>
            <w:pPr>
              <w:pageBreakBefore w:val="0"/>
              <w:kinsoku/>
              <w:wordWrap/>
              <w:overflowPunct/>
              <w:topLinePunct w:val="0"/>
              <w:bidi w:val="0"/>
              <w:spacing w:before="0" w:after="0" w:line="600" w:lineRule="exact"/>
              <w:ind w:left="0" w:leftChars="0" w:right="0"/>
              <w:jc w:val="center"/>
              <w:textAlignment w:val="auto"/>
              <w:rPr>
                <w:rFonts w:hint="default" w:ascii="仿宋" w:hAnsi="仿宋" w:eastAsia="仿宋"/>
                <w:bCs/>
                <w:sz w:val="24"/>
                <w:szCs w:val="24"/>
                <w:highlight w:val="none"/>
                <w:lang w:val="en-US" w:bidi="zh-CN"/>
              </w:rPr>
            </w:pPr>
            <w:r>
              <w:rPr>
                <w:rFonts w:hint="eastAsia" w:ascii="仿宋" w:hAnsi="仿宋" w:eastAsia="仿宋"/>
                <w:bCs/>
                <w:sz w:val="24"/>
                <w:szCs w:val="24"/>
                <w:highlight w:val="none"/>
                <w:lang w:val="en-US" w:bidi="zh-CN"/>
              </w:rPr>
              <w:t>1.</w:t>
            </w:r>
          </w:p>
        </w:tc>
        <w:tc>
          <w:tcPr>
            <w:tcW w:w="3915" w:type="dxa"/>
            <w:gridSpan w:val="2"/>
            <w:tcBorders>
              <w:top w:val="single" w:color="231F21" w:sz="4" w:space="0"/>
              <w:left w:val="single" w:color="auto" w:sz="4" w:space="0"/>
              <w:bottom w:val="single" w:color="231F21" w:sz="4" w:space="0"/>
              <w:right w:val="single" w:color="231F21" w:sz="4" w:space="0"/>
            </w:tcBorders>
            <w:vAlign w:val="center"/>
          </w:tcPr>
          <w:p>
            <w:pPr>
              <w:pageBreakBefore w:val="0"/>
              <w:kinsoku/>
              <w:wordWrap/>
              <w:overflowPunct/>
              <w:topLinePunct w:val="0"/>
              <w:bidi w:val="0"/>
              <w:spacing w:before="0" w:after="0" w:line="600" w:lineRule="exact"/>
              <w:ind w:left="0" w:leftChars="0" w:right="0" w:rightChars="0"/>
              <w:textAlignment w:val="auto"/>
              <w:rPr>
                <w:rFonts w:hint="eastAsia" w:ascii="仿宋" w:hAnsi="仿宋" w:eastAsia="仿宋"/>
                <w:bCs/>
                <w:sz w:val="24"/>
                <w:szCs w:val="24"/>
                <w:highlight w:val="none"/>
                <w:lang w:bidi="zh-CN"/>
              </w:rPr>
            </w:pPr>
            <w:r>
              <w:rPr>
                <w:rFonts w:hint="eastAsia" w:ascii="仿宋" w:hAnsi="仿宋" w:eastAsia="仿宋"/>
                <w:bCs/>
                <w:sz w:val="24"/>
                <w:szCs w:val="24"/>
                <w:highlight w:val="none"/>
                <w:lang w:bidi="zh-CN"/>
              </w:rPr>
              <w:t>残疾人家庭人均收入年均增长(</w:t>
            </w:r>
            <w:r>
              <w:rPr>
                <w:rFonts w:hint="eastAsia" w:ascii="仿宋" w:hAnsi="仿宋" w:eastAsia="仿宋"/>
                <w:bCs/>
                <w:sz w:val="24"/>
                <w:szCs w:val="24"/>
                <w:highlight w:val="none"/>
              </w:rPr>
              <w:t>%)</w:t>
            </w:r>
          </w:p>
        </w:tc>
        <w:tc>
          <w:tcPr>
            <w:tcW w:w="962" w:type="dxa"/>
            <w:tcBorders>
              <w:top w:val="single" w:color="231F21" w:sz="4" w:space="0"/>
              <w:left w:val="single" w:color="231F21" w:sz="4" w:space="0"/>
              <w:bottom w:val="single" w:color="231F21" w:sz="4" w:space="0"/>
              <w:right w:val="single" w:color="231F21" w:sz="4" w:space="0"/>
            </w:tcBorders>
            <w:vAlign w:val="center"/>
          </w:tcPr>
          <w:p>
            <w:pPr>
              <w:pageBreakBefore w:val="0"/>
              <w:kinsoku/>
              <w:wordWrap/>
              <w:overflowPunct/>
              <w:topLinePunct w:val="0"/>
              <w:bidi w:val="0"/>
              <w:spacing w:before="0" w:after="0" w:line="600" w:lineRule="exact"/>
              <w:ind w:left="0" w:leftChars="0" w:right="0"/>
              <w:jc w:val="center"/>
              <w:textAlignment w:val="auto"/>
              <w:rPr>
                <w:rFonts w:ascii="仿宋" w:hAnsi="仿宋" w:eastAsia="仿宋"/>
                <w:bCs/>
                <w:sz w:val="24"/>
                <w:szCs w:val="24"/>
                <w:highlight w:val="none"/>
              </w:rPr>
            </w:pPr>
          </w:p>
        </w:tc>
        <w:tc>
          <w:tcPr>
            <w:tcW w:w="1019" w:type="dxa"/>
            <w:tcBorders>
              <w:top w:val="single" w:color="231F21" w:sz="4" w:space="0"/>
              <w:left w:val="single" w:color="231F21" w:sz="4" w:space="0"/>
              <w:bottom w:val="single" w:color="231F21" w:sz="4" w:space="0"/>
              <w:right w:val="single" w:color="231F21" w:sz="4" w:space="0"/>
            </w:tcBorders>
            <w:vAlign w:val="center"/>
          </w:tcPr>
          <w:p>
            <w:pPr>
              <w:keepNext w:val="0"/>
              <w:keepLines w:val="0"/>
              <w:pageBreakBefore w:val="0"/>
              <w:widowControl/>
              <w:suppressLineNumbers w:val="0"/>
              <w:kinsoku/>
              <w:wordWrap/>
              <w:overflowPunct/>
              <w:topLinePunct w:val="0"/>
              <w:bidi w:val="0"/>
              <w:spacing w:before="0" w:after="0" w:line="600" w:lineRule="exact"/>
              <w:ind w:left="0" w:leftChars="0" w:right="0"/>
              <w:jc w:val="left"/>
              <w:textAlignment w:val="auto"/>
              <w:rPr>
                <w:highlight w:val="none"/>
              </w:rPr>
            </w:pPr>
            <w:r>
              <w:rPr>
                <w:rFonts w:ascii="仿宋" w:hAnsi="仿宋" w:eastAsia="仿宋" w:cs="仿宋"/>
                <w:color w:val="000000"/>
                <w:kern w:val="0"/>
                <w:sz w:val="24"/>
                <w:szCs w:val="24"/>
                <w:highlight w:val="none"/>
                <w:lang w:val="en-US" w:eastAsia="zh-CN" w:bidi="ar"/>
              </w:rPr>
              <w:t>与 GDP增</w:t>
            </w:r>
            <w:r>
              <w:rPr>
                <w:rFonts w:hint="eastAsia" w:ascii="仿宋" w:hAnsi="仿宋" w:eastAsia="仿宋" w:cs="仿宋"/>
                <w:color w:val="000000"/>
                <w:kern w:val="0"/>
                <w:sz w:val="24"/>
                <w:szCs w:val="24"/>
                <w:highlight w:val="none"/>
                <w:lang w:val="en-US" w:eastAsia="zh-CN" w:bidi="ar"/>
              </w:rPr>
              <w:t xml:space="preserve">长同步 </w:t>
            </w:r>
          </w:p>
          <w:p>
            <w:pPr>
              <w:pageBreakBefore w:val="0"/>
              <w:kinsoku/>
              <w:wordWrap/>
              <w:overflowPunct/>
              <w:topLinePunct w:val="0"/>
              <w:bidi w:val="0"/>
              <w:spacing w:before="0" w:after="0" w:line="600" w:lineRule="exact"/>
              <w:ind w:left="0" w:leftChars="0" w:right="0"/>
              <w:jc w:val="center"/>
              <w:textAlignment w:val="auto"/>
              <w:rPr>
                <w:rFonts w:ascii="仿宋" w:hAnsi="仿宋" w:eastAsia="仿宋"/>
                <w:bCs/>
                <w:sz w:val="24"/>
                <w:szCs w:val="24"/>
                <w:highlight w:val="none"/>
              </w:rPr>
            </w:pPr>
          </w:p>
        </w:tc>
        <w:tc>
          <w:tcPr>
            <w:tcW w:w="1367" w:type="dxa"/>
            <w:tcBorders>
              <w:top w:val="single" w:color="231F21" w:sz="4" w:space="0"/>
              <w:left w:val="single" w:color="231F21" w:sz="4" w:space="0"/>
              <w:bottom w:val="single" w:color="231F21" w:sz="4" w:space="0"/>
            </w:tcBorders>
            <w:vAlign w:val="center"/>
          </w:tcPr>
          <w:p>
            <w:pPr>
              <w:pageBreakBefore w:val="0"/>
              <w:kinsoku/>
              <w:wordWrap/>
              <w:overflowPunct/>
              <w:topLinePunct w:val="0"/>
              <w:bidi w:val="0"/>
              <w:spacing w:before="0" w:after="0" w:line="600" w:lineRule="exact"/>
              <w:ind w:left="0" w:leftChars="0" w:right="0"/>
              <w:jc w:val="center"/>
              <w:textAlignment w:val="auto"/>
              <w:rPr>
                <w:rFonts w:ascii="仿宋" w:hAnsi="仿宋" w:eastAsia="仿宋"/>
                <w:bCs/>
                <w:sz w:val="24"/>
                <w:szCs w:val="24"/>
                <w:highlight w:val="none"/>
                <w:lang w:bidi="zh-CN"/>
              </w:rPr>
            </w:pPr>
            <w:r>
              <w:rPr>
                <w:rFonts w:hint="eastAsia" w:ascii="仿宋" w:hAnsi="仿宋" w:eastAsia="仿宋"/>
                <w:bCs/>
                <w:sz w:val="24"/>
                <w:szCs w:val="24"/>
                <w:highlight w:val="none"/>
                <w:lang w:bidi="zh-CN"/>
              </w:rPr>
              <w:t>预期性</w:t>
            </w:r>
          </w:p>
        </w:tc>
      </w:tr>
      <w:tr>
        <w:tblPrEx>
          <w:tblBorders>
            <w:top w:val="single" w:color="231F21" w:sz="8" w:space="0"/>
            <w:left w:val="single" w:color="231F21" w:sz="8" w:space="0"/>
            <w:bottom w:val="single" w:color="231F21" w:sz="8" w:space="0"/>
            <w:right w:val="single" w:color="231F21" w:sz="8" w:space="0"/>
            <w:insideH w:val="single" w:color="231F21" w:sz="8" w:space="0"/>
            <w:insideV w:val="single" w:color="231F21" w:sz="8" w:space="0"/>
          </w:tblBorders>
          <w:tblCellMar>
            <w:top w:w="0" w:type="dxa"/>
            <w:left w:w="0" w:type="dxa"/>
            <w:bottom w:w="0" w:type="dxa"/>
            <w:right w:w="0" w:type="dxa"/>
          </w:tblCellMar>
        </w:tblPrEx>
        <w:trPr>
          <w:trHeight w:val="537" w:hRule="atLeast"/>
          <w:jc w:val="center"/>
        </w:trPr>
        <w:tc>
          <w:tcPr>
            <w:tcW w:w="1003" w:type="dxa"/>
            <w:tcBorders>
              <w:top w:val="single" w:color="231F21" w:sz="4" w:space="0"/>
              <w:left w:val="single" w:color="231F21" w:sz="4" w:space="0"/>
              <w:bottom w:val="single" w:color="231F21" w:sz="4" w:space="0"/>
              <w:right w:val="single" w:color="auto" w:sz="4" w:space="0"/>
            </w:tcBorders>
            <w:vAlign w:val="center"/>
          </w:tcPr>
          <w:p>
            <w:pPr>
              <w:pageBreakBefore w:val="0"/>
              <w:kinsoku/>
              <w:wordWrap/>
              <w:overflowPunct/>
              <w:topLinePunct w:val="0"/>
              <w:bidi w:val="0"/>
              <w:spacing w:before="0" w:after="0" w:line="600" w:lineRule="exact"/>
              <w:ind w:left="0" w:leftChars="0" w:right="0"/>
              <w:jc w:val="center"/>
              <w:textAlignment w:val="auto"/>
              <w:rPr>
                <w:rFonts w:hint="eastAsia" w:ascii="仿宋" w:hAnsi="仿宋" w:eastAsia="仿宋"/>
                <w:bCs/>
                <w:sz w:val="24"/>
                <w:szCs w:val="24"/>
                <w:highlight w:val="none"/>
                <w:lang w:val="en-US" w:eastAsia="zh-CN"/>
              </w:rPr>
            </w:pPr>
            <w:r>
              <w:rPr>
                <w:rFonts w:hint="eastAsia" w:ascii="仿宋" w:hAnsi="仿宋" w:eastAsia="仿宋"/>
                <w:bCs/>
                <w:sz w:val="24"/>
                <w:szCs w:val="24"/>
                <w:highlight w:val="none"/>
                <w:lang w:val="en-US" w:eastAsia="zh-CN"/>
              </w:rPr>
              <w:t>2.</w:t>
            </w:r>
          </w:p>
        </w:tc>
        <w:tc>
          <w:tcPr>
            <w:tcW w:w="3915" w:type="dxa"/>
            <w:gridSpan w:val="2"/>
            <w:tcBorders>
              <w:top w:val="single" w:color="231F21" w:sz="4" w:space="0"/>
              <w:left w:val="single" w:color="auto" w:sz="4" w:space="0"/>
              <w:bottom w:val="single" w:color="231F21" w:sz="4" w:space="0"/>
              <w:right w:val="single" w:color="231F21" w:sz="4" w:space="0"/>
            </w:tcBorders>
            <w:vAlign w:val="center"/>
          </w:tcPr>
          <w:p>
            <w:pPr>
              <w:pageBreakBefore w:val="0"/>
              <w:kinsoku/>
              <w:wordWrap/>
              <w:overflowPunct/>
              <w:topLinePunct w:val="0"/>
              <w:bidi w:val="0"/>
              <w:spacing w:before="0" w:after="0" w:line="600" w:lineRule="exact"/>
              <w:ind w:left="0" w:leftChars="0" w:right="0" w:rightChars="0"/>
              <w:textAlignment w:val="auto"/>
              <w:rPr>
                <w:rFonts w:hint="eastAsia" w:ascii="仿宋" w:hAnsi="仿宋" w:eastAsia="仿宋"/>
                <w:bCs/>
                <w:sz w:val="24"/>
                <w:szCs w:val="24"/>
                <w:highlight w:val="none"/>
                <w:lang w:bidi="zh-CN"/>
              </w:rPr>
            </w:pPr>
            <w:r>
              <w:rPr>
                <w:rFonts w:hint="eastAsia" w:ascii="仿宋" w:hAnsi="仿宋" w:eastAsia="仿宋"/>
                <w:bCs/>
                <w:sz w:val="24"/>
                <w:szCs w:val="24"/>
                <w:highlight w:val="none"/>
                <w:lang w:bidi="zh-CN"/>
              </w:rPr>
              <w:t>城乡残疾人职业技能培训人数（人）</w:t>
            </w:r>
          </w:p>
        </w:tc>
        <w:tc>
          <w:tcPr>
            <w:tcW w:w="962" w:type="dxa"/>
            <w:tcBorders>
              <w:top w:val="single" w:color="231F21" w:sz="4" w:space="0"/>
              <w:left w:val="single" w:color="231F21" w:sz="4" w:space="0"/>
              <w:bottom w:val="single" w:color="231F21" w:sz="4" w:space="0"/>
              <w:right w:val="single" w:color="231F21" w:sz="4" w:space="0"/>
            </w:tcBorders>
            <w:vAlign w:val="center"/>
          </w:tcPr>
          <w:p>
            <w:pPr>
              <w:pageBreakBefore w:val="0"/>
              <w:kinsoku/>
              <w:wordWrap/>
              <w:overflowPunct/>
              <w:topLinePunct w:val="0"/>
              <w:bidi w:val="0"/>
              <w:spacing w:before="0" w:after="0" w:line="600" w:lineRule="exact"/>
              <w:ind w:left="0" w:leftChars="0" w:right="0"/>
              <w:jc w:val="center"/>
              <w:textAlignment w:val="auto"/>
              <w:rPr>
                <w:rFonts w:hint="eastAsia" w:ascii="仿宋" w:hAnsi="仿宋" w:eastAsia="仿宋"/>
                <w:bCs/>
                <w:sz w:val="24"/>
                <w:szCs w:val="24"/>
                <w:highlight w:val="none"/>
                <w:lang w:eastAsia="zh-CN"/>
              </w:rPr>
            </w:pPr>
            <w:r>
              <w:rPr>
                <w:rFonts w:hint="eastAsia" w:ascii="仿宋" w:hAnsi="仿宋" w:eastAsia="仿宋"/>
                <w:bCs/>
                <w:sz w:val="24"/>
                <w:szCs w:val="24"/>
                <w:highlight w:val="none"/>
                <w:lang w:eastAsia="zh-CN"/>
              </w:rPr>
              <w:t>——</w:t>
            </w:r>
          </w:p>
        </w:tc>
        <w:tc>
          <w:tcPr>
            <w:tcW w:w="1019" w:type="dxa"/>
            <w:tcBorders>
              <w:top w:val="single" w:color="231F21" w:sz="4" w:space="0"/>
              <w:left w:val="single" w:color="231F21" w:sz="4" w:space="0"/>
              <w:bottom w:val="single" w:color="231F21" w:sz="4" w:space="0"/>
              <w:right w:val="single" w:color="231F21" w:sz="4" w:space="0"/>
            </w:tcBorders>
            <w:vAlign w:val="center"/>
          </w:tcPr>
          <w:p>
            <w:pPr>
              <w:pageBreakBefore w:val="0"/>
              <w:kinsoku/>
              <w:wordWrap/>
              <w:overflowPunct/>
              <w:topLinePunct w:val="0"/>
              <w:bidi w:val="0"/>
              <w:spacing w:before="0" w:after="0" w:line="600" w:lineRule="exact"/>
              <w:ind w:left="0" w:leftChars="0" w:right="0"/>
              <w:jc w:val="center"/>
              <w:textAlignment w:val="auto"/>
              <w:rPr>
                <w:rFonts w:hint="default" w:ascii="仿宋" w:hAnsi="仿宋" w:eastAsia="仿宋"/>
                <w:bCs/>
                <w:sz w:val="24"/>
                <w:szCs w:val="24"/>
                <w:highlight w:val="none"/>
                <w:lang w:val="en-US" w:eastAsia="zh-CN"/>
              </w:rPr>
            </w:pPr>
            <w:r>
              <w:rPr>
                <w:rFonts w:hint="eastAsia" w:ascii="仿宋" w:hAnsi="仿宋" w:eastAsia="仿宋"/>
                <w:bCs/>
                <w:sz w:val="24"/>
                <w:szCs w:val="24"/>
                <w:highlight w:val="none"/>
                <w:lang w:val="en-US" w:eastAsia="zh-CN"/>
              </w:rPr>
              <w:t>1140</w:t>
            </w:r>
          </w:p>
        </w:tc>
        <w:tc>
          <w:tcPr>
            <w:tcW w:w="1367" w:type="dxa"/>
            <w:tcBorders>
              <w:top w:val="single" w:color="231F21" w:sz="4" w:space="0"/>
              <w:left w:val="single" w:color="231F21" w:sz="4" w:space="0"/>
              <w:bottom w:val="single" w:color="231F21" w:sz="4" w:space="0"/>
            </w:tcBorders>
            <w:vAlign w:val="center"/>
          </w:tcPr>
          <w:p>
            <w:pPr>
              <w:pageBreakBefore w:val="0"/>
              <w:kinsoku/>
              <w:wordWrap/>
              <w:overflowPunct/>
              <w:topLinePunct w:val="0"/>
              <w:bidi w:val="0"/>
              <w:spacing w:before="0" w:after="0" w:line="600" w:lineRule="exact"/>
              <w:ind w:left="0" w:leftChars="0" w:right="0"/>
              <w:jc w:val="center"/>
              <w:textAlignment w:val="auto"/>
              <w:rPr>
                <w:rFonts w:ascii="仿宋" w:hAnsi="仿宋" w:eastAsia="仿宋"/>
                <w:bCs/>
                <w:sz w:val="24"/>
                <w:szCs w:val="24"/>
                <w:highlight w:val="none"/>
                <w:lang w:bidi="zh-CN"/>
              </w:rPr>
            </w:pPr>
            <w:r>
              <w:rPr>
                <w:rFonts w:hint="eastAsia" w:ascii="仿宋" w:hAnsi="仿宋" w:eastAsia="仿宋"/>
                <w:bCs/>
                <w:sz w:val="24"/>
                <w:szCs w:val="24"/>
                <w:highlight w:val="none"/>
                <w:lang w:bidi="zh-CN"/>
              </w:rPr>
              <w:t>预期性</w:t>
            </w:r>
          </w:p>
        </w:tc>
      </w:tr>
      <w:tr>
        <w:tblPrEx>
          <w:tblBorders>
            <w:top w:val="single" w:color="231F21" w:sz="8" w:space="0"/>
            <w:left w:val="single" w:color="231F21" w:sz="8" w:space="0"/>
            <w:bottom w:val="single" w:color="231F21" w:sz="8" w:space="0"/>
            <w:right w:val="single" w:color="231F21" w:sz="8" w:space="0"/>
            <w:insideH w:val="single" w:color="231F21" w:sz="8" w:space="0"/>
            <w:insideV w:val="single" w:color="231F21" w:sz="8" w:space="0"/>
          </w:tblBorders>
          <w:tblCellMar>
            <w:top w:w="0" w:type="dxa"/>
            <w:left w:w="0" w:type="dxa"/>
            <w:bottom w:w="0" w:type="dxa"/>
            <w:right w:w="0" w:type="dxa"/>
          </w:tblCellMar>
        </w:tblPrEx>
        <w:trPr>
          <w:trHeight w:val="537" w:hRule="atLeast"/>
          <w:jc w:val="center"/>
        </w:trPr>
        <w:tc>
          <w:tcPr>
            <w:tcW w:w="8266" w:type="dxa"/>
            <w:gridSpan w:val="6"/>
            <w:tcBorders>
              <w:top w:val="single" w:color="231F21" w:sz="4" w:space="0"/>
              <w:left w:val="single" w:color="231F21" w:sz="4" w:space="0"/>
              <w:bottom w:val="single" w:color="231F21" w:sz="4" w:space="0"/>
            </w:tcBorders>
            <w:vAlign w:val="center"/>
          </w:tcPr>
          <w:p>
            <w:pPr>
              <w:pageBreakBefore w:val="0"/>
              <w:kinsoku/>
              <w:wordWrap/>
              <w:overflowPunct/>
              <w:topLinePunct w:val="0"/>
              <w:bidi w:val="0"/>
              <w:spacing w:before="0" w:after="0" w:line="600" w:lineRule="exact"/>
              <w:ind w:left="0" w:leftChars="0" w:right="0"/>
              <w:jc w:val="center"/>
              <w:textAlignment w:val="auto"/>
              <w:rPr>
                <w:rFonts w:hint="eastAsia" w:ascii="仿宋" w:hAnsi="仿宋" w:eastAsia="仿宋"/>
                <w:b/>
                <w:sz w:val="24"/>
                <w:szCs w:val="24"/>
                <w:highlight w:val="none"/>
                <w:lang w:bidi="zh-CN"/>
              </w:rPr>
            </w:pPr>
            <w:r>
              <w:rPr>
                <w:rFonts w:hint="eastAsia" w:ascii="仿宋" w:hAnsi="仿宋" w:eastAsia="仿宋"/>
                <w:b/>
                <w:sz w:val="24"/>
                <w:szCs w:val="24"/>
                <w:highlight w:val="none"/>
                <w:lang w:bidi="zh-CN"/>
              </w:rPr>
              <w:t>社会保障和基本公共服务</w:t>
            </w:r>
          </w:p>
        </w:tc>
      </w:tr>
      <w:tr>
        <w:tblPrEx>
          <w:tblBorders>
            <w:top w:val="single" w:color="231F21" w:sz="8" w:space="0"/>
            <w:left w:val="single" w:color="231F21" w:sz="8" w:space="0"/>
            <w:bottom w:val="single" w:color="231F21" w:sz="8" w:space="0"/>
            <w:right w:val="single" w:color="231F21" w:sz="8" w:space="0"/>
            <w:insideH w:val="single" w:color="231F21" w:sz="8" w:space="0"/>
            <w:insideV w:val="single" w:color="231F21" w:sz="8" w:space="0"/>
          </w:tblBorders>
          <w:tblCellMar>
            <w:top w:w="0" w:type="dxa"/>
            <w:left w:w="0" w:type="dxa"/>
            <w:bottom w:w="0" w:type="dxa"/>
            <w:right w:w="0" w:type="dxa"/>
          </w:tblCellMar>
        </w:tblPrEx>
        <w:trPr>
          <w:trHeight w:val="537" w:hRule="atLeast"/>
          <w:jc w:val="center"/>
        </w:trPr>
        <w:tc>
          <w:tcPr>
            <w:tcW w:w="1003" w:type="dxa"/>
            <w:tcBorders>
              <w:top w:val="single" w:color="231F21" w:sz="4" w:space="0"/>
              <w:left w:val="single" w:color="231F21" w:sz="4" w:space="0"/>
              <w:bottom w:val="single" w:color="231F21" w:sz="4" w:space="0"/>
              <w:right w:val="single" w:color="auto" w:sz="4" w:space="0"/>
            </w:tcBorders>
            <w:vAlign w:val="center"/>
          </w:tcPr>
          <w:p>
            <w:pPr>
              <w:pageBreakBefore w:val="0"/>
              <w:kinsoku/>
              <w:wordWrap/>
              <w:overflowPunct/>
              <w:topLinePunct w:val="0"/>
              <w:bidi w:val="0"/>
              <w:spacing w:before="0" w:after="0" w:line="600" w:lineRule="exact"/>
              <w:ind w:left="0" w:leftChars="0" w:right="0"/>
              <w:jc w:val="center"/>
              <w:textAlignment w:val="auto"/>
              <w:rPr>
                <w:rFonts w:hint="default" w:ascii="仿宋" w:hAnsi="仿宋" w:eastAsia="仿宋"/>
                <w:bCs/>
                <w:sz w:val="24"/>
                <w:szCs w:val="24"/>
                <w:highlight w:val="none"/>
                <w:lang w:val="en-US" w:bidi="zh-CN"/>
              </w:rPr>
            </w:pPr>
            <w:r>
              <w:rPr>
                <w:rFonts w:hint="eastAsia" w:ascii="仿宋" w:hAnsi="仿宋" w:eastAsia="仿宋"/>
                <w:bCs/>
                <w:sz w:val="24"/>
                <w:szCs w:val="24"/>
                <w:highlight w:val="none"/>
                <w:lang w:val="en-US" w:bidi="zh-CN"/>
              </w:rPr>
              <w:t>3.</w:t>
            </w:r>
          </w:p>
        </w:tc>
        <w:tc>
          <w:tcPr>
            <w:tcW w:w="3915" w:type="dxa"/>
            <w:gridSpan w:val="2"/>
            <w:tcBorders>
              <w:top w:val="single" w:color="231F21" w:sz="4" w:space="0"/>
              <w:left w:val="single" w:color="auto" w:sz="4" w:space="0"/>
              <w:bottom w:val="single" w:color="231F21" w:sz="4" w:space="0"/>
              <w:right w:val="single" w:color="231F21" w:sz="4" w:space="0"/>
            </w:tcBorders>
            <w:vAlign w:val="center"/>
          </w:tcPr>
          <w:p>
            <w:pPr>
              <w:pageBreakBefore w:val="0"/>
              <w:kinsoku/>
              <w:wordWrap/>
              <w:overflowPunct/>
              <w:topLinePunct w:val="0"/>
              <w:bidi w:val="0"/>
              <w:spacing w:before="0" w:after="0" w:line="600" w:lineRule="exact"/>
              <w:ind w:left="0" w:leftChars="0" w:right="0" w:rightChars="0"/>
              <w:textAlignment w:val="auto"/>
              <w:rPr>
                <w:rFonts w:hint="eastAsia" w:ascii="仿宋" w:hAnsi="仿宋" w:eastAsia="仿宋" w:cs="宋体"/>
                <w:bCs/>
                <w:sz w:val="24"/>
                <w:szCs w:val="24"/>
                <w:highlight w:val="none"/>
                <w:lang w:val="zh-CN" w:eastAsia="zh-CN" w:bidi="zh-CN"/>
              </w:rPr>
            </w:pPr>
            <w:r>
              <w:rPr>
                <w:rFonts w:hint="eastAsia" w:ascii="仿宋" w:hAnsi="仿宋" w:eastAsia="仿宋"/>
                <w:bCs/>
                <w:sz w:val="24"/>
                <w:szCs w:val="24"/>
                <w:highlight w:val="none"/>
                <w:lang w:bidi="zh-CN"/>
              </w:rPr>
              <w:t>符合条件的残疾人纳入最低生活保障比例(</w:t>
            </w:r>
            <w:r>
              <w:rPr>
                <w:rFonts w:hint="eastAsia" w:ascii="仿宋" w:hAnsi="仿宋" w:eastAsia="仿宋"/>
                <w:bCs/>
                <w:sz w:val="24"/>
                <w:szCs w:val="24"/>
                <w:highlight w:val="none"/>
              </w:rPr>
              <w:t>%)</w:t>
            </w:r>
          </w:p>
        </w:tc>
        <w:tc>
          <w:tcPr>
            <w:tcW w:w="962" w:type="dxa"/>
            <w:tcBorders>
              <w:top w:val="single" w:color="231F21" w:sz="4" w:space="0"/>
              <w:left w:val="single" w:color="231F21" w:sz="4" w:space="0"/>
              <w:bottom w:val="single" w:color="231F21" w:sz="4" w:space="0"/>
              <w:right w:val="single" w:color="231F21" w:sz="4" w:space="0"/>
            </w:tcBorders>
            <w:vAlign w:val="center"/>
          </w:tcPr>
          <w:p>
            <w:pPr>
              <w:pageBreakBefore w:val="0"/>
              <w:kinsoku/>
              <w:wordWrap/>
              <w:overflowPunct/>
              <w:topLinePunct w:val="0"/>
              <w:bidi w:val="0"/>
              <w:spacing w:before="0" w:after="0" w:line="600" w:lineRule="exact"/>
              <w:ind w:left="0" w:leftChars="0" w:right="0"/>
              <w:jc w:val="center"/>
              <w:textAlignment w:val="auto"/>
              <w:rPr>
                <w:rFonts w:ascii="仿宋" w:hAnsi="仿宋" w:eastAsia="仿宋"/>
                <w:bCs/>
                <w:sz w:val="24"/>
                <w:szCs w:val="24"/>
                <w:highlight w:val="none"/>
                <w:lang w:bidi="zh-CN"/>
              </w:rPr>
            </w:pPr>
            <w:r>
              <w:rPr>
                <w:rFonts w:hint="eastAsia" w:ascii="仿宋" w:hAnsi="仿宋" w:eastAsia="仿宋"/>
                <w:bCs/>
                <w:sz w:val="24"/>
                <w:szCs w:val="24"/>
                <w:highlight w:val="none"/>
                <w:lang w:bidi="zh-CN"/>
              </w:rPr>
              <w:t>——</w:t>
            </w:r>
          </w:p>
        </w:tc>
        <w:tc>
          <w:tcPr>
            <w:tcW w:w="1019" w:type="dxa"/>
            <w:tcBorders>
              <w:top w:val="single" w:color="231F21" w:sz="4" w:space="0"/>
              <w:left w:val="single" w:color="231F21" w:sz="4" w:space="0"/>
              <w:bottom w:val="single" w:color="231F21" w:sz="4" w:space="0"/>
              <w:right w:val="single" w:color="231F21" w:sz="4" w:space="0"/>
            </w:tcBorders>
            <w:vAlign w:val="center"/>
          </w:tcPr>
          <w:p>
            <w:pPr>
              <w:pageBreakBefore w:val="0"/>
              <w:kinsoku/>
              <w:wordWrap/>
              <w:overflowPunct/>
              <w:topLinePunct w:val="0"/>
              <w:bidi w:val="0"/>
              <w:spacing w:before="0" w:after="0" w:line="600" w:lineRule="exact"/>
              <w:ind w:left="0" w:leftChars="0" w:right="0" w:rightChars="0"/>
              <w:jc w:val="center"/>
              <w:textAlignment w:val="auto"/>
              <w:rPr>
                <w:rFonts w:ascii="仿宋" w:hAnsi="仿宋" w:eastAsia="仿宋"/>
                <w:bCs/>
                <w:sz w:val="24"/>
                <w:szCs w:val="24"/>
                <w:highlight w:val="none"/>
              </w:rPr>
            </w:pPr>
            <w:r>
              <w:rPr>
                <w:rFonts w:hint="eastAsia" w:ascii="仿宋" w:hAnsi="仿宋" w:eastAsia="仿宋" w:cs="Times New Roman"/>
                <w:bCs/>
                <w:sz w:val="24"/>
                <w:szCs w:val="24"/>
              </w:rPr>
              <w:t>100%</w:t>
            </w:r>
          </w:p>
        </w:tc>
        <w:tc>
          <w:tcPr>
            <w:tcW w:w="1367" w:type="dxa"/>
            <w:tcBorders>
              <w:top w:val="single" w:color="231F21" w:sz="4" w:space="0"/>
              <w:left w:val="single" w:color="231F21" w:sz="4" w:space="0"/>
              <w:bottom w:val="single" w:color="231F21" w:sz="4" w:space="0"/>
            </w:tcBorders>
            <w:vAlign w:val="center"/>
          </w:tcPr>
          <w:p>
            <w:pPr>
              <w:pageBreakBefore w:val="0"/>
              <w:kinsoku/>
              <w:wordWrap/>
              <w:overflowPunct/>
              <w:topLinePunct w:val="0"/>
              <w:bidi w:val="0"/>
              <w:spacing w:before="0" w:after="0" w:line="600" w:lineRule="exact"/>
              <w:ind w:left="0" w:leftChars="0" w:right="0"/>
              <w:jc w:val="center"/>
              <w:textAlignment w:val="auto"/>
              <w:rPr>
                <w:rFonts w:ascii="仿宋" w:hAnsi="仿宋" w:eastAsia="仿宋"/>
                <w:bCs/>
                <w:sz w:val="24"/>
                <w:szCs w:val="24"/>
                <w:highlight w:val="none"/>
                <w:lang w:bidi="zh-CN"/>
              </w:rPr>
            </w:pPr>
            <w:r>
              <w:rPr>
                <w:rFonts w:hint="eastAsia" w:ascii="仿宋" w:hAnsi="仿宋" w:eastAsia="仿宋"/>
                <w:bCs/>
                <w:sz w:val="24"/>
                <w:szCs w:val="24"/>
                <w:highlight w:val="none"/>
                <w:lang w:bidi="zh-CN"/>
              </w:rPr>
              <w:t>约束性</w:t>
            </w:r>
          </w:p>
        </w:tc>
      </w:tr>
      <w:tr>
        <w:tblPrEx>
          <w:tblBorders>
            <w:top w:val="single" w:color="231F21" w:sz="8" w:space="0"/>
            <w:left w:val="single" w:color="231F21" w:sz="8" w:space="0"/>
            <w:bottom w:val="single" w:color="231F21" w:sz="8" w:space="0"/>
            <w:right w:val="single" w:color="231F21" w:sz="8" w:space="0"/>
            <w:insideH w:val="single" w:color="231F21" w:sz="8" w:space="0"/>
            <w:insideV w:val="single" w:color="231F21" w:sz="8" w:space="0"/>
          </w:tblBorders>
          <w:tblCellMar>
            <w:top w:w="0" w:type="dxa"/>
            <w:left w:w="0" w:type="dxa"/>
            <w:bottom w:w="0" w:type="dxa"/>
            <w:right w:w="0" w:type="dxa"/>
          </w:tblCellMar>
        </w:tblPrEx>
        <w:trPr>
          <w:trHeight w:val="537" w:hRule="atLeast"/>
          <w:jc w:val="center"/>
        </w:trPr>
        <w:tc>
          <w:tcPr>
            <w:tcW w:w="1003" w:type="dxa"/>
            <w:tcBorders>
              <w:top w:val="single" w:color="231F21" w:sz="4" w:space="0"/>
              <w:left w:val="single" w:color="231F21" w:sz="4" w:space="0"/>
              <w:bottom w:val="single" w:color="231F21" w:sz="4" w:space="0"/>
              <w:right w:val="single" w:color="auto" w:sz="4" w:space="0"/>
            </w:tcBorders>
            <w:vAlign w:val="center"/>
          </w:tcPr>
          <w:p>
            <w:pPr>
              <w:pageBreakBefore w:val="0"/>
              <w:kinsoku/>
              <w:wordWrap/>
              <w:overflowPunct/>
              <w:topLinePunct w:val="0"/>
              <w:bidi w:val="0"/>
              <w:spacing w:before="0" w:after="0" w:line="600" w:lineRule="exact"/>
              <w:ind w:left="0" w:leftChars="0" w:right="0"/>
              <w:jc w:val="center"/>
              <w:textAlignment w:val="auto"/>
              <w:rPr>
                <w:rFonts w:hint="default" w:ascii="仿宋" w:hAnsi="仿宋" w:eastAsia="仿宋"/>
                <w:bCs/>
                <w:sz w:val="24"/>
                <w:szCs w:val="24"/>
                <w:highlight w:val="none"/>
                <w:lang w:val="en-US" w:bidi="zh-CN"/>
              </w:rPr>
            </w:pPr>
            <w:r>
              <w:rPr>
                <w:rFonts w:hint="eastAsia" w:ascii="仿宋" w:hAnsi="仿宋" w:eastAsia="仿宋"/>
                <w:bCs/>
                <w:sz w:val="24"/>
                <w:szCs w:val="24"/>
                <w:highlight w:val="none"/>
                <w:lang w:val="en-US" w:bidi="zh-CN"/>
              </w:rPr>
              <w:t>4.</w:t>
            </w:r>
          </w:p>
        </w:tc>
        <w:tc>
          <w:tcPr>
            <w:tcW w:w="3915" w:type="dxa"/>
            <w:gridSpan w:val="2"/>
            <w:tcBorders>
              <w:top w:val="single" w:color="231F21" w:sz="4" w:space="0"/>
              <w:left w:val="single" w:color="auto" w:sz="4" w:space="0"/>
              <w:bottom w:val="single" w:color="231F21" w:sz="4" w:space="0"/>
              <w:right w:val="single" w:color="231F21" w:sz="4" w:space="0"/>
            </w:tcBorders>
            <w:vAlign w:val="center"/>
          </w:tcPr>
          <w:p>
            <w:pPr>
              <w:pageBreakBefore w:val="0"/>
              <w:kinsoku/>
              <w:wordWrap/>
              <w:overflowPunct/>
              <w:topLinePunct w:val="0"/>
              <w:bidi w:val="0"/>
              <w:spacing w:before="0" w:after="0" w:line="600" w:lineRule="exact"/>
              <w:ind w:left="0" w:leftChars="0" w:right="0" w:rightChars="0"/>
              <w:textAlignment w:val="auto"/>
              <w:rPr>
                <w:rFonts w:hint="eastAsia" w:ascii="仿宋" w:hAnsi="仿宋" w:eastAsia="仿宋" w:cs="宋体"/>
                <w:bCs/>
                <w:sz w:val="24"/>
                <w:szCs w:val="24"/>
                <w:highlight w:val="none"/>
                <w:lang w:val="zh-CN" w:eastAsia="zh-CN" w:bidi="zh-CN"/>
              </w:rPr>
            </w:pPr>
            <w:r>
              <w:rPr>
                <w:rFonts w:hint="eastAsia" w:ascii="仿宋" w:hAnsi="仿宋" w:eastAsia="仿宋"/>
                <w:bCs/>
                <w:sz w:val="24"/>
                <w:szCs w:val="24"/>
                <w:highlight w:val="none"/>
                <w:lang w:bidi="zh-CN"/>
              </w:rPr>
              <w:t>困难残疾人生活补贴覆盖率(</w:t>
            </w:r>
            <w:r>
              <w:rPr>
                <w:rFonts w:hint="eastAsia" w:ascii="仿宋" w:hAnsi="仿宋" w:eastAsia="仿宋"/>
                <w:bCs/>
                <w:sz w:val="24"/>
                <w:szCs w:val="24"/>
                <w:highlight w:val="none"/>
              </w:rPr>
              <w:t>%)</w:t>
            </w:r>
          </w:p>
        </w:tc>
        <w:tc>
          <w:tcPr>
            <w:tcW w:w="962" w:type="dxa"/>
            <w:tcBorders>
              <w:top w:val="single" w:color="231F21" w:sz="4" w:space="0"/>
              <w:left w:val="single" w:color="231F21" w:sz="4" w:space="0"/>
              <w:bottom w:val="single" w:color="231F21" w:sz="4" w:space="0"/>
              <w:right w:val="single" w:color="231F21" w:sz="4" w:space="0"/>
            </w:tcBorders>
            <w:vAlign w:val="top"/>
          </w:tcPr>
          <w:p>
            <w:pPr>
              <w:pStyle w:val="16"/>
              <w:keepNext w:val="0"/>
              <w:keepLines w:val="0"/>
              <w:pageBreakBefore w:val="0"/>
              <w:widowControl w:val="0"/>
              <w:kinsoku/>
              <w:wordWrap/>
              <w:overflowPunct/>
              <w:topLinePunct w:val="0"/>
              <w:autoSpaceDE w:val="0"/>
              <w:autoSpaceDN w:val="0"/>
              <w:bidi w:val="0"/>
              <w:adjustRightInd/>
              <w:snapToGrid/>
              <w:spacing w:before="0" w:after="0" w:line="600" w:lineRule="exact"/>
              <w:ind w:left="0" w:leftChars="0" w:right="0" w:rightChars="0"/>
              <w:jc w:val="both"/>
              <w:textAlignment w:val="auto"/>
              <w:rPr>
                <w:rFonts w:hint="eastAsia" w:ascii="仿宋" w:hAnsi="仿宋" w:eastAsia="仿宋" w:cs="仿宋"/>
                <w:color w:val="auto"/>
                <w:sz w:val="24"/>
                <w:szCs w:val="24"/>
                <w:highlight w:val="none"/>
                <w:lang w:val="en-US" w:eastAsia="zh-CN" w:bidi="zh-CN"/>
              </w:rPr>
            </w:pPr>
          </w:p>
        </w:tc>
        <w:tc>
          <w:tcPr>
            <w:tcW w:w="1019" w:type="dxa"/>
            <w:tcBorders>
              <w:top w:val="single" w:color="231F21" w:sz="4" w:space="0"/>
              <w:left w:val="single" w:color="231F21" w:sz="4" w:space="0"/>
              <w:bottom w:val="single" w:color="231F21" w:sz="4" w:space="0"/>
              <w:right w:val="single" w:color="231F21" w:sz="4" w:space="0"/>
            </w:tcBorders>
            <w:vAlign w:val="center"/>
          </w:tcPr>
          <w:p>
            <w:pPr>
              <w:pageBreakBefore w:val="0"/>
              <w:kinsoku/>
              <w:wordWrap/>
              <w:overflowPunct/>
              <w:topLinePunct w:val="0"/>
              <w:bidi w:val="0"/>
              <w:spacing w:before="0" w:after="0" w:line="600" w:lineRule="exact"/>
              <w:ind w:left="0" w:leftChars="0" w:right="0" w:rightChars="0"/>
              <w:jc w:val="center"/>
              <w:textAlignment w:val="auto"/>
              <w:rPr>
                <w:rFonts w:hint="eastAsia" w:ascii="仿宋" w:hAnsi="仿宋" w:eastAsia="仿宋" w:cs="仿宋"/>
                <w:color w:val="auto"/>
                <w:sz w:val="24"/>
                <w:szCs w:val="24"/>
                <w:highlight w:val="none"/>
                <w:lang w:val="en-US" w:eastAsia="zh-CN" w:bidi="zh-CN"/>
              </w:rPr>
            </w:pPr>
            <w:r>
              <w:rPr>
                <w:rFonts w:hint="eastAsia" w:ascii="仿宋" w:hAnsi="仿宋" w:eastAsia="仿宋" w:cs="Times New Roman"/>
                <w:bCs/>
                <w:sz w:val="24"/>
                <w:szCs w:val="24"/>
              </w:rPr>
              <w:t>100％</w:t>
            </w:r>
          </w:p>
        </w:tc>
        <w:tc>
          <w:tcPr>
            <w:tcW w:w="1367" w:type="dxa"/>
            <w:tcBorders>
              <w:top w:val="single" w:color="231F21" w:sz="4" w:space="0"/>
              <w:left w:val="single" w:color="231F21" w:sz="4" w:space="0"/>
              <w:bottom w:val="single" w:color="231F21" w:sz="4" w:space="0"/>
            </w:tcBorders>
            <w:vAlign w:val="center"/>
          </w:tcPr>
          <w:p>
            <w:pPr>
              <w:pageBreakBefore w:val="0"/>
              <w:kinsoku/>
              <w:wordWrap/>
              <w:overflowPunct/>
              <w:topLinePunct w:val="0"/>
              <w:bidi w:val="0"/>
              <w:spacing w:before="0" w:after="0" w:line="600" w:lineRule="exact"/>
              <w:ind w:left="0" w:leftChars="0" w:right="0"/>
              <w:jc w:val="center"/>
              <w:textAlignment w:val="auto"/>
              <w:rPr>
                <w:rFonts w:ascii="仿宋" w:hAnsi="仿宋" w:eastAsia="仿宋"/>
                <w:bCs/>
                <w:sz w:val="24"/>
                <w:szCs w:val="24"/>
                <w:highlight w:val="none"/>
                <w:lang w:bidi="zh-CN"/>
              </w:rPr>
            </w:pPr>
            <w:r>
              <w:rPr>
                <w:rFonts w:hint="eastAsia" w:ascii="仿宋" w:hAnsi="仿宋" w:eastAsia="仿宋"/>
                <w:bCs/>
                <w:sz w:val="24"/>
                <w:szCs w:val="24"/>
                <w:highlight w:val="none"/>
                <w:lang w:bidi="zh-CN"/>
              </w:rPr>
              <w:t>约束性</w:t>
            </w:r>
          </w:p>
        </w:tc>
      </w:tr>
      <w:tr>
        <w:tblPrEx>
          <w:tblBorders>
            <w:top w:val="single" w:color="231F21" w:sz="8" w:space="0"/>
            <w:left w:val="single" w:color="231F21" w:sz="8" w:space="0"/>
            <w:bottom w:val="single" w:color="231F21" w:sz="8" w:space="0"/>
            <w:right w:val="single" w:color="231F21" w:sz="8" w:space="0"/>
            <w:insideH w:val="single" w:color="231F21" w:sz="8" w:space="0"/>
            <w:insideV w:val="single" w:color="231F21" w:sz="8" w:space="0"/>
          </w:tblBorders>
          <w:tblCellMar>
            <w:top w:w="0" w:type="dxa"/>
            <w:left w:w="0" w:type="dxa"/>
            <w:bottom w:w="0" w:type="dxa"/>
            <w:right w:w="0" w:type="dxa"/>
          </w:tblCellMar>
        </w:tblPrEx>
        <w:trPr>
          <w:trHeight w:val="537" w:hRule="atLeast"/>
          <w:jc w:val="center"/>
        </w:trPr>
        <w:tc>
          <w:tcPr>
            <w:tcW w:w="1003" w:type="dxa"/>
            <w:tcBorders>
              <w:top w:val="single" w:color="231F21" w:sz="4" w:space="0"/>
              <w:left w:val="single" w:color="231F21" w:sz="4" w:space="0"/>
              <w:bottom w:val="single" w:color="231F21" w:sz="4" w:space="0"/>
              <w:right w:val="single" w:color="auto" w:sz="4" w:space="0"/>
            </w:tcBorders>
            <w:vAlign w:val="center"/>
          </w:tcPr>
          <w:p>
            <w:pPr>
              <w:pageBreakBefore w:val="0"/>
              <w:kinsoku/>
              <w:wordWrap/>
              <w:overflowPunct/>
              <w:topLinePunct w:val="0"/>
              <w:bidi w:val="0"/>
              <w:spacing w:before="0" w:after="0" w:line="600" w:lineRule="exact"/>
              <w:ind w:left="0" w:leftChars="0" w:right="0"/>
              <w:jc w:val="center"/>
              <w:textAlignment w:val="auto"/>
              <w:rPr>
                <w:rFonts w:hint="default" w:ascii="仿宋" w:hAnsi="仿宋" w:eastAsia="仿宋"/>
                <w:bCs/>
                <w:sz w:val="24"/>
                <w:szCs w:val="24"/>
                <w:highlight w:val="none"/>
                <w:lang w:val="en-US" w:bidi="zh-CN"/>
              </w:rPr>
            </w:pPr>
            <w:r>
              <w:rPr>
                <w:rFonts w:hint="eastAsia" w:ascii="仿宋" w:hAnsi="仿宋" w:eastAsia="仿宋"/>
                <w:bCs/>
                <w:sz w:val="24"/>
                <w:szCs w:val="24"/>
                <w:highlight w:val="none"/>
                <w:lang w:val="en-US" w:bidi="zh-CN"/>
              </w:rPr>
              <w:t>5.</w:t>
            </w:r>
          </w:p>
        </w:tc>
        <w:tc>
          <w:tcPr>
            <w:tcW w:w="3915" w:type="dxa"/>
            <w:gridSpan w:val="2"/>
            <w:tcBorders>
              <w:top w:val="single" w:color="231F21" w:sz="4" w:space="0"/>
              <w:left w:val="single" w:color="auto" w:sz="4" w:space="0"/>
              <w:bottom w:val="single" w:color="231F21" w:sz="4" w:space="0"/>
              <w:right w:val="single" w:color="231F21" w:sz="4" w:space="0"/>
            </w:tcBorders>
            <w:vAlign w:val="center"/>
          </w:tcPr>
          <w:p>
            <w:pPr>
              <w:pageBreakBefore w:val="0"/>
              <w:kinsoku/>
              <w:wordWrap/>
              <w:overflowPunct/>
              <w:topLinePunct w:val="0"/>
              <w:bidi w:val="0"/>
              <w:spacing w:before="0" w:after="0" w:line="600" w:lineRule="exact"/>
              <w:ind w:left="0" w:leftChars="0" w:right="0" w:rightChars="0"/>
              <w:textAlignment w:val="auto"/>
              <w:rPr>
                <w:rFonts w:hint="eastAsia" w:ascii="仿宋" w:hAnsi="仿宋" w:eastAsia="仿宋" w:cs="宋体"/>
                <w:bCs/>
                <w:sz w:val="24"/>
                <w:szCs w:val="24"/>
                <w:highlight w:val="none"/>
                <w:lang w:val="zh-CN" w:eastAsia="zh-CN" w:bidi="zh-CN"/>
              </w:rPr>
            </w:pPr>
            <w:r>
              <w:rPr>
                <w:rFonts w:hint="eastAsia" w:ascii="仿宋" w:hAnsi="仿宋" w:eastAsia="仿宋"/>
                <w:bCs/>
                <w:sz w:val="24"/>
                <w:szCs w:val="24"/>
                <w:highlight w:val="none"/>
                <w:lang w:bidi="zh-CN"/>
              </w:rPr>
              <w:t>重度残疾人护理补贴覆盖率(</w:t>
            </w:r>
            <w:r>
              <w:rPr>
                <w:rFonts w:hint="eastAsia" w:ascii="仿宋" w:hAnsi="仿宋" w:eastAsia="仿宋"/>
                <w:bCs/>
                <w:sz w:val="24"/>
                <w:szCs w:val="24"/>
                <w:highlight w:val="none"/>
              </w:rPr>
              <w:t>%)</w:t>
            </w:r>
          </w:p>
        </w:tc>
        <w:tc>
          <w:tcPr>
            <w:tcW w:w="962" w:type="dxa"/>
            <w:tcBorders>
              <w:top w:val="single" w:color="231F21" w:sz="4" w:space="0"/>
              <w:left w:val="single" w:color="231F21" w:sz="4" w:space="0"/>
              <w:bottom w:val="single" w:color="231F21" w:sz="4" w:space="0"/>
              <w:right w:val="single" w:color="231F21" w:sz="4" w:space="0"/>
            </w:tcBorders>
            <w:vAlign w:val="top"/>
          </w:tcPr>
          <w:p>
            <w:pPr>
              <w:pStyle w:val="16"/>
              <w:keepNext w:val="0"/>
              <w:keepLines w:val="0"/>
              <w:pageBreakBefore w:val="0"/>
              <w:widowControl w:val="0"/>
              <w:kinsoku/>
              <w:wordWrap/>
              <w:overflowPunct/>
              <w:topLinePunct w:val="0"/>
              <w:autoSpaceDE w:val="0"/>
              <w:autoSpaceDN w:val="0"/>
              <w:bidi w:val="0"/>
              <w:adjustRightInd/>
              <w:snapToGrid/>
              <w:spacing w:before="0" w:after="0" w:line="600" w:lineRule="exact"/>
              <w:ind w:left="0" w:leftChars="0" w:right="0" w:rightChars="0"/>
              <w:jc w:val="both"/>
              <w:textAlignment w:val="auto"/>
              <w:rPr>
                <w:rFonts w:hint="eastAsia" w:ascii="仿宋" w:hAnsi="仿宋" w:eastAsia="仿宋" w:cs="仿宋"/>
                <w:color w:val="auto"/>
                <w:sz w:val="24"/>
                <w:szCs w:val="24"/>
                <w:highlight w:val="none"/>
                <w:lang w:val="en-US" w:eastAsia="zh-CN" w:bidi="zh-CN"/>
              </w:rPr>
            </w:pPr>
          </w:p>
        </w:tc>
        <w:tc>
          <w:tcPr>
            <w:tcW w:w="1019" w:type="dxa"/>
            <w:tcBorders>
              <w:top w:val="single" w:color="231F21" w:sz="4" w:space="0"/>
              <w:left w:val="single" w:color="231F21" w:sz="4" w:space="0"/>
              <w:bottom w:val="single" w:color="231F21" w:sz="4" w:space="0"/>
              <w:right w:val="single" w:color="231F21" w:sz="4" w:space="0"/>
            </w:tcBorders>
            <w:vAlign w:val="center"/>
          </w:tcPr>
          <w:p>
            <w:pPr>
              <w:pageBreakBefore w:val="0"/>
              <w:kinsoku/>
              <w:wordWrap/>
              <w:overflowPunct/>
              <w:topLinePunct w:val="0"/>
              <w:bidi w:val="0"/>
              <w:spacing w:before="0" w:after="0" w:line="600" w:lineRule="exact"/>
              <w:ind w:left="0" w:leftChars="0" w:right="0" w:rightChars="0"/>
              <w:jc w:val="center"/>
              <w:textAlignment w:val="auto"/>
              <w:rPr>
                <w:rFonts w:hint="eastAsia" w:ascii="仿宋" w:hAnsi="仿宋" w:eastAsia="仿宋" w:cs="仿宋"/>
                <w:color w:val="auto"/>
                <w:sz w:val="24"/>
                <w:szCs w:val="24"/>
                <w:highlight w:val="none"/>
                <w:lang w:val="en-US" w:eastAsia="zh-CN" w:bidi="zh-CN"/>
              </w:rPr>
            </w:pPr>
            <w:r>
              <w:rPr>
                <w:rFonts w:hint="eastAsia" w:ascii="仿宋" w:hAnsi="仿宋" w:eastAsia="仿宋" w:cs="Times New Roman"/>
                <w:bCs/>
                <w:sz w:val="24"/>
                <w:szCs w:val="24"/>
              </w:rPr>
              <w:t>100％</w:t>
            </w:r>
          </w:p>
        </w:tc>
        <w:tc>
          <w:tcPr>
            <w:tcW w:w="1367" w:type="dxa"/>
            <w:tcBorders>
              <w:top w:val="single" w:color="231F21" w:sz="4" w:space="0"/>
              <w:left w:val="single" w:color="231F21" w:sz="4" w:space="0"/>
              <w:bottom w:val="single" w:color="231F21" w:sz="4" w:space="0"/>
            </w:tcBorders>
            <w:vAlign w:val="center"/>
          </w:tcPr>
          <w:p>
            <w:pPr>
              <w:pageBreakBefore w:val="0"/>
              <w:kinsoku/>
              <w:wordWrap/>
              <w:overflowPunct/>
              <w:topLinePunct w:val="0"/>
              <w:bidi w:val="0"/>
              <w:spacing w:before="0" w:after="0" w:line="600" w:lineRule="exact"/>
              <w:ind w:left="0" w:leftChars="0" w:right="0"/>
              <w:jc w:val="center"/>
              <w:textAlignment w:val="auto"/>
              <w:rPr>
                <w:rFonts w:ascii="仿宋" w:hAnsi="仿宋" w:eastAsia="仿宋"/>
                <w:bCs/>
                <w:sz w:val="24"/>
                <w:szCs w:val="24"/>
                <w:highlight w:val="none"/>
                <w:lang w:bidi="zh-CN"/>
              </w:rPr>
            </w:pPr>
            <w:r>
              <w:rPr>
                <w:rFonts w:hint="eastAsia" w:ascii="仿宋" w:hAnsi="仿宋" w:eastAsia="仿宋"/>
                <w:bCs/>
                <w:sz w:val="24"/>
                <w:szCs w:val="24"/>
                <w:highlight w:val="none"/>
                <w:lang w:bidi="zh-CN"/>
              </w:rPr>
              <w:t>约束性</w:t>
            </w:r>
          </w:p>
        </w:tc>
      </w:tr>
      <w:tr>
        <w:tblPrEx>
          <w:tblBorders>
            <w:top w:val="single" w:color="231F21" w:sz="8" w:space="0"/>
            <w:left w:val="single" w:color="231F21" w:sz="8" w:space="0"/>
            <w:bottom w:val="single" w:color="231F21" w:sz="8" w:space="0"/>
            <w:right w:val="single" w:color="231F21" w:sz="8" w:space="0"/>
            <w:insideH w:val="single" w:color="231F21" w:sz="8" w:space="0"/>
            <w:insideV w:val="single" w:color="231F21" w:sz="8" w:space="0"/>
          </w:tblBorders>
          <w:tblCellMar>
            <w:top w:w="0" w:type="dxa"/>
            <w:left w:w="0" w:type="dxa"/>
            <w:bottom w:w="0" w:type="dxa"/>
            <w:right w:w="0" w:type="dxa"/>
          </w:tblCellMar>
        </w:tblPrEx>
        <w:trPr>
          <w:trHeight w:val="537" w:hRule="atLeast"/>
          <w:jc w:val="center"/>
        </w:trPr>
        <w:tc>
          <w:tcPr>
            <w:tcW w:w="1003" w:type="dxa"/>
            <w:tcBorders>
              <w:top w:val="single" w:color="231F21" w:sz="4" w:space="0"/>
              <w:left w:val="single" w:color="231F21" w:sz="4" w:space="0"/>
              <w:bottom w:val="single" w:color="231F21" w:sz="4" w:space="0"/>
              <w:right w:val="single" w:color="auto" w:sz="4" w:space="0"/>
            </w:tcBorders>
            <w:vAlign w:val="center"/>
          </w:tcPr>
          <w:p>
            <w:pPr>
              <w:pageBreakBefore w:val="0"/>
              <w:kinsoku/>
              <w:wordWrap/>
              <w:overflowPunct/>
              <w:topLinePunct w:val="0"/>
              <w:bidi w:val="0"/>
              <w:spacing w:before="0" w:after="0" w:line="600" w:lineRule="exact"/>
              <w:ind w:left="0" w:leftChars="0" w:right="0"/>
              <w:jc w:val="center"/>
              <w:textAlignment w:val="auto"/>
              <w:rPr>
                <w:rFonts w:hint="default" w:ascii="仿宋" w:hAnsi="仿宋" w:eastAsia="仿宋"/>
                <w:bCs/>
                <w:sz w:val="24"/>
                <w:szCs w:val="24"/>
                <w:highlight w:val="none"/>
                <w:lang w:val="en-US" w:bidi="zh-CN"/>
              </w:rPr>
            </w:pPr>
            <w:r>
              <w:rPr>
                <w:rFonts w:hint="eastAsia" w:ascii="仿宋" w:hAnsi="仿宋" w:eastAsia="仿宋"/>
                <w:bCs/>
                <w:sz w:val="24"/>
                <w:szCs w:val="24"/>
                <w:highlight w:val="none"/>
                <w:lang w:val="en-US" w:bidi="zh-CN"/>
              </w:rPr>
              <w:t>6.</w:t>
            </w:r>
          </w:p>
        </w:tc>
        <w:tc>
          <w:tcPr>
            <w:tcW w:w="3915" w:type="dxa"/>
            <w:gridSpan w:val="2"/>
            <w:tcBorders>
              <w:top w:val="single" w:color="231F21" w:sz="4" w:space="0"/>
              <w:left w:val="single" w:color="auto" w:sz="4" w:space="0"/>
              <w:bottom w:val="single" w:color="231F21" w:sz="4" w:space="0"/>
              <w:right w:val="single" w:color="231F21" w:sz="4" w:space="0"/>
            </w:tcBorders>
            <w:vAlign w:val="center"/>
          </w:tcPr>
          <w:p>
            <w:pPr>
              <w:pageBreakBefore w:val="0"/>
              <w:kinsoku/>
              <w:wordWrap/>
              <w:overflowPunct/>
              <w:topLinePunct w:val="0"/>
              <w:bidi w:val="0"/>
              <w:spacing w:before="0" w:after="0" w:line="600" w:lineRule="exact"/>
              <w:ind w:left="0" w:leftChars="0" w:right="0" w:rightChars="0"/>
              <w:textAlignment w:val="auto"/>
              <w:rPr>
                <w:rFonts w:hint="eastAsia" w:ascii="仿宋" w:hAnsi="仿宋" w:eastAsia="仿宋" w:cs="宋体"/>
                <w:bCs/>
                <w:sz w:val="24"/>
                <w:szCs w:val="24"/>
                <w:highlight w:val="none"/>
                <w:lang w:val="zh-CN" w:eastAsia="zh-CN" w:bidi="zh-CN"/>
              </w:rPr>
            </w:pPr>
            <w:r>
              <w:rPr>
                <w:rFonts w:hint="eastAsia" w:ascii="仿宋" w:hAnsi="仿宋" w:eastAsia="仿宋"/>
                <w:bCs/>
                <w:sz w:val="24"/>
                <w:szCs w:val="24"/>
                <w:highlight w:val="none"/>
                <w:lang w:bidi="zh-CN"/>
              </w:rPr>
              <w:t>残疾人城乡居民基本养老保险参保率(</w:t>
            </w:r>
            <w:r>
              <w:rPr>
                <w:rFonts w:hint="eastAsia" w:ascii="仿宋" w:hAnsi="仿宋" w:eastAsia="仿宋"/>
                <w:bCs/>
                <w:sz w:val="24"/>
                <w:szCs w:val="24"/>
                <w:highlight w:val="none"/>
              </w:rPr>
              <w:t>%)</w:t>
            </w:r>
          </w:p>
        </w:tc>
        <w:tc>
          <w:tcPr>
            <w:tcW w:w="962" w:type="dxa"/>
            <w:tcBorders>
              <w:top w:val="single" w:color="231F21" w:sz="4" w:space="0"/>
              <w:left w:val="single" w:color="231F21" w:sz="4" w:space="0"/>
              <w:bottom w:val="single" w:color="231F21" w:sz="4" w:space="0"/>
              <w:right w:val="single" w:color="231F21" w:sz="4" w:space="0"/>
            </w:tcBorders>
            <w:vAlign w:val="top"/>
          </w:tcPr>
          <w:p>
            <w:pPr>
              <w:pStyle w:val="16"/>
              <w:keepNext w:val="0"/>
              <w:keepLines w:val="0"/>
              <w:pageBreakBefore w:val="0"/>
              <w:widowControl w:val="0"/>
              <w:kinsoku/>
              <w:wordWrap/>
              <w:overflowPunct/>
              <w:topLinePunct w:val="0"/>
              <w:autoSpaceDE w:val="0"/>
              <w:autoSpaceDN w:val="0"/>
              <w:bidi w:val="0"/>
              <w:adjustRightInd/>
              <w:snapToGrid/>
              <w:spacing w:before="0" w:after="0" w:line="600" w:lineRule="exact"/>
              <w:ind w:left="0" w:leftChars="0" w:right="0" w:rightChars="0"/>
              <w:jc w:val="both"/>
              <w:textAlignment w:val="auto"/>
              <w:rPr>
                <w:rFonts w:ascii="仿宋" w:hAnsi="仿宋" w:eastAsia="仿宋"/>
                <w:bCs/>
                <w:sz w:val="24"/>
                <w:szCs w:val="24"/>
                <w:highlight w:val="none"/>
              </w:rPr>
            </w:pPr>
          </w:p>
        </w:tc>
        <w:tc>
          <w:tcPr>
            <w:tcW w:w="1019" w:type="dxa"/>
            <w:tcBorders>
              <w:top w:val="single" w:color="231F21" w:sz="4" w:space="0"/>
              <w:left w:val="single" w:color="231F21" w:sz="4" w:space="0"/>
              <w:bottom w:val="single" w:color="231F21" w:sz="4" w:space="0"/>
              <w:right w:val="single" w:color="231F21" w:sz="4" w:space="0"/>
            </w:tcBorders>
            <w:vAlign w:val="center"/>
          </w:tcPr>
          <w:p>
            <w:pPr>
              <w:pageBreakBefore w:val="0"/>
              <w:kinsoku/>
              <w:wordWrap/>
              <w:overflowPunct/>
              <w:topLinePunct w:val="0"/>
              <w:bidi w:val="0"/>
              <w:spacing w:before="0" w:after="0" w:line="600" w:lineRule="exact"/>
              <w:ind w:left="0" w:leftChars="0" w:right="0" w:rightChars="0"/>
              <w:jc w:val="center"/>
              <w:textAlignment w:val="auto"/>
              <w:rPr>
                <w:rFonts w:ascii="仿宋" w:hAnsi="仿宋" w:eastAsia="仿宋"/>
                <w:bCs/>
                <w:sz w:val="24"/>
                <w:szCs w:val="24"/>
                <w:highlight w:val="none"/>
              </w:rPr>
            </w:pPr>
            <w:r>
              <w:rPr>
                <w:rFonts w:hint="eastAsia" w:ascii="仿宋" w:hAnsi="仿宋" w:eastAsia="仿宋" w:cs="Times New Roman"/>
                <w:bCs/>
                <w:sz w:val="24"/>
                <w:szCs w:val="24"/>
              </w:rPr>
              <w:t>＞92％</w:t>
            </w:r>
          </w:p>
        </w:tc>
        <w:tc>
          <w:tcPr>
            <w:tcW w:w="1367" w:type="dxa"/>
            <w:tcBorders>
              <w:top w:val="single" w:color="231F21" w:sz="4" w:space="0"/>
              <w:left w:val="single" w:color="231F21" w:sz="4" w:space="0"/>
              <w:bottom w:val="single" w:color="231F21" w:sz="4" w:space="0"/>
            </w:tcBorders>
            <w:vAlign w:val="center"/>
          </w:tcPr>
          <w:p>
            <w:pPr>
              <w:pageBreakBefore w:val="0"/>
              <w:kinsoku/>
              <w:wordWrap/>
              <w:overflowPunct/>
              <w:topLinePunct w:val="0"/>
              <w:bidi w:val="0"/>
              <w:spacing w:before="0" w:after="0" w:line="600" w:lineRule="exact"/>
              <w:ind w:left="0" w:leftChars="0" w:right="0"/>
              <w:jc w:val="center"/>
              <w:textAlignment w:val="auto"/>
              <w:rPr>
                <w:rFonts w:ascii="仿宋" w:hAnsi="仿宋" w:eastAsia="仿宋"/>
                <w:bCs/>
                <w:sz w:val="24"/>
                <w:szCs w:val="24"/>
                <w:highlight w:val="none"/>
                <w:lang w:bidi="zh-CN"/>
              </w:rPr>
            </w:pPr>
            <w:r>
              <w:rPr>
                <w:rFonts w:hint="eastAsia" w:ascii="仿宋" w:hAnsi="仿宋" w:eastAsia="仿宋"/>
                <w:bCs/>
                <w:sz w:val="24"/>
                <w:szCs w:val="24"/>
                <w:highlight w:val="none"/>
                <w:lang w:bidi="zh-CN"/>
              </w:rPr>
              <w:t>预期性</w:t>
            </w:r>
          </w:p>
        </w:tc>
      </w:tr>
      <w:tr>
        <w:tblPrEx>
          <w:tblBorders>
            <w:top w:val="single" w:color="231F21" w:sz="8" w:space="0"/>
            <w:left w:val="single" w:color="231F21" w:sz="8" w:space="0"/>
            <w:bottom w:val="single" w:color="231F21" w:sz="8" w:space="0"/>
            <w:right w:val="single" w:color="231F21" w:sz="8" w:space="0"/>
            <w:insideH w:val="single" w:color="231F21" w:sz="8" w:space="0"/>
            <w:insideV w:val="single" w:color="231F21" w:sz="8" w:space="0"/>
          </w:tblBorders>
          <w:tblCellMar>
            <w:top w:w="0" w:type="dxa"/>
            <w:left w:w="0" w:type="dxa"/>
            <w:bottom w:w="0" w:type="dxa"/>
            <w:right w:w="0" w:type="dxa"/>
          </w:tblCellMar>
        </w:tblPrEx>
        <w:trPr>
          <w:trHeight w:val="537" w:hRule="atLeast"/>
          <w:jc w:val="center"/>
        </w:trPr>
        <w:tc>
          <w:tcPr>
            <w:tcW w:w="1003" w:type="dxa"/>
            <w:tcBorders>
              <w:top w:val="single" w:color="231F21" w:sz="4" w:space="0"/>
              <w:left w:val="single" w:color="231F21" w:sz="4" w:space="0"/>
              <w:bottom w:val="single" w:color="231F21" w:sz="4" w:space="0"/>
              <w:right w:val="single" w:color="auto" w:sz="4" w:space="0"/>
            </w:tcBorders>
            <w:vAlign w:val="center"/>
          </w:tcPr>
          <w:p>
            <w:pPr>
              <w:pageBreakBefore w:val="0"/>
              <w:kinsoku/>
              <w:wordWrap/>
              <w:overflowPunct/>
              <w:topLinePunct w:val="0"/>
              <w:bidi w:val="0"/>
              <w:spacing w:before="0" w:after="0" w:line="600" w:lineRule="exact"/>
              <w:ind w:left="0" w:leftChars="0" w:right="0"/>
              <w:jc w:val="center"/>
              <w:textAlignment w:val="auto"/>
              <w:rPr>
                <w:rFonts w:hint="default" w:ascii="仿宋" w:hAnsi="仿宋" w:eastAsia="仿宋"/>
                <w:bCs/>
                <w:sz w:val="24"/>
                <w:szCs w:val="24"/>
                <w:highlight w:val="none"/>
                <w:lang w:val="en-US" w:bidi="zh-CN"/>
              </w:rPr>
            </w:pPr>
            <w:r>
              <w:rPr>
                <w:rFonts w:hint="eastAsia" w:ascii="仿宋" w:hAnsi="仿宋" w:eastAsia="仿宋"/>
                <w:bCs/>
                <w:sz w:val="24"/>
                <w:szCs w:val="24"/>
                <w:highlight w:val="none"/>
                <w:lang w:val="en-US" w:bidi="zh-CN"/>
              </w:rPr>
              <w:t>7.</w:t>
            </w:r>
          </w:p>
        </w:tc>
        <w:tc>
          <w:tcPr>
            <w:tcW w:w="3915" w:type="dxa"/>
            <w:gridSpan w:val="2"/>
            <w:tcBorders>
              <w:top w:val="single" w:color="231F21" w:sz="4" w:space="0"/>
              <w:left w:val="single" w:color="auto" w:sz="4" w:space="0"/>
              <w:bottom w:val="single" w:color="231F21" w:sz="4" w:space="0"/>
              <w:right w:val="single" w:color="231F21" w:sz="4" w:space="0"/>
            </w:tcBorders>
            <w:vAlign w:val="center"/>
          </w:tcPr>
          <w:p>
            <w:pPr>
              <w:pageBreakBefore w:val="0"/>
              <w:kinsoku/>
              <w:wordWrap/>
              <w:overflowPunct/>
              <w:topLinePunct w:val="0"/>
              <w:bidi w:val="0"/>
              <w:spacing w:before="0" w:after="0" w:line="600" w:lineRule="exact"/>
              <w:ind w:left="0" w:leftChars="0" w:right="0" w:rightChars="0"/>
              <w:textAlignment w:val="auto"/>
              <w:rPr>
                <w:rFonts w:hint="eastAsia" w:ascii="仿宋" w:hAnsi="仿宋" w:eastAsia="仿宋" w:cs="宋体"/>
                <w:bCs/>
                <w:sz w:val="24"/>
                <w:szCs w:val="24"/>
                <w:highlight w:val="none"/>
                <w:lang w:val="zh-CN" w:eastAsia="zh-CN" w:bidi="zh-CN"/>
              </w:rPr>
            </w:pPr>
            <w:r>
              <w:rPr>
                <w:rFonts w:hint="eastAsia" w:ascii="仿宋" w:hAnsi="仿宋" w:eastAsia="仿宋"/>
                <w:bCs/>
                <w:sz w:val="24"/>
                <w:szCs w:val="24"/>
                <w:highlight w:val="none"/>
                <w:lang w:bidi="zh-CN"/>
              </w:rPr>
              <w:t>残疾人城乡居民基本医疗保险参保率(</w:t>
            </w:r>
            <w:r>
              <w:rPr>
                <w:rFonts w:hint="eastAsia" w:ascii="仿宋" w:hAnsi="仿宋" w:eastAsia="仿宋"/>
                <w:bCs/>
                <w:sz w:val="24"/>
                <w:szCs w:val="24"/>
                <w:highlight w:val="none"/>
              </w:rPr>
              <w:t>%)</w:t>
            </w:r>
          </w:p>
        </w:tc>
        <w:tc>
          <w:tcPr>
            <w:tcW w:w="962" w:type="dxa"/>
            <w:tcBorders>
              <w:top w:val="single" w:color="231F21" w:sz="4" w:space="0"/>
              <w:left w:val="single" w:color="231F21" w:sz="4" w:space="0"/>
              <w:bottom w:val="single" w:color="231F21" w:sz="4" w:space="0"/>
              <w:right w:val="single" w:color="231F21" w:sz="4" w:space="0"/>
            </w:tcBorders>
            <w:vAlign w:val="top"/>
          </w:tcPr>
          <w:p>
            <w:pPr>
              <w:pStyle w:val="16"/>
              <w:keepNext w:val="0"/>
              <w:keepLines w:val="0"/>
              <w:pageBreakBefore w:val="0"/>
              <w:widowControl w:val="0"/>
              <w:kinsoku/>
              <w:wordWrap/>
              <w:overflowPunct/>
              <w:topLinePunct w:val="0"/>
              <w:autoSpaceDE w:val="0"/>
              <w:autoSpaceDN w:val="0"/>
              <w:bidi w:val="0"/>
              <w:adjustRightInd/>
              <w:snapToGrid/>
              <w:spacing w:before="0" w:after="0" w:line="600" w:lineRule="exact"/>
              <w:ind w:left="0" w:leftChars="0" w:right="0" w:rightChars="0"/>
              <w:jc w:val="both"/>
              <w:textAlignment w:val="auto"/>
              <w:rPr>
                <w:rFonts w:ascii="仿宋" w:hAnsi="仿宋" w:eastAsia="仿宋"/>
                <w:bCs/>
                <w:sz w:val="24"/>
                <w:szCs w:val="24"/>
                <w:highlight w:val="none"/>
              </w:rPr>
            </w:pPr>
          </w:p>
        </w:tc>
        <w:tc>
          <w:tcPr>
            <w:tcW w:w="1019" w:type="dxa"/>
            <w:tcBorders>
              <w:top w:val="single" w:color="231F21" w:sz="4" w:space="0"/>
              <w:left w:val="single" w:color="231F21" w:sz="4" w:space="0"/>
              <w:bottom w:val="single" w:color="231F21" w:sz="4" w:space="0"/>
              <w:right w:val="single" w:color="231F21" w:sz="4" w:space="0"/>
            </w:tcBorders>
            <w:vAlign w:val="center"/>
          </w:tcPr>
          <w:p>
            <w:pPr>
              <w:pageBreakBefore w:val="0"/>
              <w:kinsoku/>
              <w:wordWrap/>
              <w:overflowPunct/>
              <w:topLinePunct w:val="0"/>
              <w:bidi w:val="0"/>
              <w:spacing w:before="0" w:after="0" w:line="600" w:lineRule="exact"/>
              <w:ind w:left="0" w:leftChars="0" w:right="0" w:rightChars="0"/>
              <w:jc w:val="center"/>
              <w:textAlignment w:val="auto"/>
              <w:rPr>
                <w:rFonts w:ascii="仿宋" w:hAnsi="仿宋" w:eastAsia="仿宋"/>
                <w:bCs/>
                <w:sz w:val="24"/>
                <w:szCs w:val="24"/>
                <w:highlight w:val="none"/>
              </w:rPr>
            </w:pPr>
            <w:r>
              <w:rPr>
                <w:rFonts w:hint="eastAsia" w:ascii="仿宋" w:hAnsi="仿宋" w:eastAsia="仿宋" w:cs="Times New Roman"/>
                <w:bCs/>
                <w:sz w:val="24"/>
                <w:szCs w:val="24"/>
              </w:rPr>
              <w:t>＞96％</w:t>
            </w:r>
          </w:p>
        </w:tc>
        <w:tc>
          <w:tcPr>
            <w:tcW w:w="1367" w:type="dxa"/>
            <w:tcBorders>
              <w:top w:val="single" w:color="231F21" w:sz="4" w:space="0"/>
              <w:left w:val="single" w:color="231F21" w:sz="4" w:space="0"/>
              <w:bottom w:val="single" w:color="231F21" w:sz="4" w:space="0"/>
            </w:tcBorders>
            <w:vAlign w:val="center"/>
          </w:tcPr>
          <w:p>
            <w:pPr>
              <w:pageBreakBefore w:val="0"/>
              <w:kinsoku/>
              <w:wordWrap/>
              <w:overflowPunct/>
              <w:topLinePunct w:val="0"/>
              <w:bidi w:val="0"/>
              <w:spacing w:before="0" w:after="0" w:line="600" w:lineRule="exact"/>
              <w:ind w:left="0" w:leftChars="0" w:right="0"/>
              <w:jc w:val="center"/>
              <w:textAlignment w:val="auto"/>
              <w:rPr>
                <w:rFonts w:ascii="仿宋" w:hAnsi="仿宋" w:eastAsia="仿宋"/>
                <w:bCs/>
                <w:sz w:val="24"/>
                <w:szCs w:val="24"/>
                <w:highlight w:val="none"/>
                <w:lang w:bidi="zh-CN"/>
              </w:rPr>
            </w:pPr>
            <w:r>
              <w:rPr>
                <w:rFonts w:hint="eastAsia" w:ascii="仿宋" w:hAnsi="仿宋" w:eastAsia="仿宋"/>
                <w:bCs/>
                <w:sz w:val="24"/>
                <w:szCs w:val="24"/>
                <w:highlight w:val="none"/>
                <w:lang w:bidi="zh-CN"/>
              </w:rPr>
              <w:t>预期性</w:t>
            </w:r>
          </w:p>
        </w:tc>
      </w:tr>
      <w:tr>
        <w:tblPrEx>
          <w:tblBorders>
            <w:top w:val="single" w:color="231F21" w:sz="8" w:space="0"/>
            <w:left w:val="single" w:color="231F21" w:sz="8" w:space="0"/>
            <w:bottom w:val="single" w:color="231F21" w:sz="8" w:space="0"/>
            <w:right w:val="single" w:color="231F21" w:sz="8" w:space="0"/>
            <w:insideH w:val="single" w:color="231F21" w:sz="8" w:space="0"/>
            <w:insideV w:val="single" w:color="231F21" w:sz="8" w:space="0"/>
          </w:tblBorders>
          <w:tblCellMar>
            <w:top w:w="0" w:type="dxa"/>
            <w:left w:w="0" w:type="dxa"/>
            <w:bottom w:w="0" w:type="dxa"/>
            <w:right w:w="0" w:type="dxa"/>
          </w:tblCellMar>
        </w:tblPrEx>
        <w:trPr>
          <w:trHeight w:val="537" w:hRule="atLeast"/>
          <w:jc w:val="center"/>
        </w:trPr>
        <w:tc>
          <w:tcPr>
            <w:tcW w:w="1003" w:type="dxa"/>
            <w:tcBorders>
              <w:top w:val="single" w:color="231F21" w:sz="4" w:space="0"/>
              <w:left w:val="single" w:color="231F21" w:sz="4" w:space="0"/>
              <w:bottom w:val="single" w:color="231F21" w:sz="4" w:space="0"/>
              <w:right w:val="single" w:color="auto" w:sz="4" w:space="0"/>
            </w:tcBorders>
            <w:vAlign w:val="center"/>
          </w:tcPr>
          <w:p>
            <w:pPr>
              <w:pageBreakBefore w:val="0"/>
              <w:kinsoku/>
              <w:wordWrap/>
              <w:overflowPunct/>
              <w:topLinePunct w:val="0"/>
              <w:bidi w:val="0"/>
              <w:spacing w:before="0" w:after="0" w:line="600" w:lineRule="exact"/>
              <w:ind w:left="0" w:leftChars="0" w:right="0"/>
              <w:jc w:val="center"/>
              <w:textAlignment w:val="auto"/>
              <w:rPr>
                <w:rFonts w:hint="default" w:ascii="仿宋" w:hAnsi="仿宋" w:eastAsia="仿宋"/>
                <w:bCs/>
                <w:sz w:val="24"/>
                <w:szCs w:val="24"/>
                <w:highlight w:val="none"/>
                <w:lang w:val="en-US" w:bidi="zh-CN"/>
              </w:rPr>
            </w:pPr>
            <w:r>
              <w:rPr>
                <w:rFonts w:hint="eastAsia" w:ascii="仿宋" w:hAnsi="仿宋" w:eastAsia="仿宋"/>
                <w:bCs/>
                <w:sz w:val="24"/>
                <w:szCs w:val="24"/>
                <w:highlight w:val="none"/>
                <w:lang w:val="en-US" w:bidi="zh-CN"/>
              </w:rPr>
              <w:t>8.</w:t>
            </w:r>
          </w:p>
        </w:tc>
        <w:tc>
          <w:tcPr>
            <w:tcW w:w="3915" w:type="dxa"/>
            <w:gridSpan w:val="2"/>
            <w:tcBorders>
              <w:top w:val="single" w:color="231F21" w:sz="4" w:space="0"/>
              <w:left w:val="single" w:color="auto" w:sz="4" w:space="0"/>
              <w:bottom w:val="single" w:color="231F21" w:sz="4" w:space="0"/>
              <w:right w:val="single" w:color="231F21" w:sz="4" w:space="0"/>
            </w:tcBorders>
            <w:vAlign w:val="center"/>
          </w:tcPr>
          <w:p>
            <w:pPr>
              <w:pageBreakBefore w:val="0"/>
              <w:kinsoku/>
              <w:wordWrap/>
              <w:overflowPunct/>
              <w:topLinePunct w:val="0"/>
              <w:bidi w:val="0"/>
              <w:spacing w:before="0" w:after="0" w:line="600" w:lineRule="exact"/>
              <w:ind w:left="0" w:leftChars="0" w:right="0" w:rightChars="0"/>
              <w:textAlignment w:val="auto"/>
              <w:rPr>
                <w:rFonts w:hint="eastAsia" w:ascii="仿宋" w:hAnsi="仿宋" w:eastAsia="仿宋" w:cs="宋体"/>
                <w:bCs/>
                <w:sz w:val="24"/>
                <w:szCs w:val="24"/>
                <w:highlight w:val="none"/>
                <w:lang w:val="zh-CN" w:eastAsia="zh-CN" w:bidi="zh-CN"/>
              </w:rPr>
            </w:pPr>
            <w:r>
              <w:rPr>
                <w:rFonts w:hint="eastAsia" w:ascii="仿宋" w:hAnsi="仿宋" w:eastAsia="仿宋"/>
                <w:bCs/>
                <w:sz w:val="24"/>
                <w:szCs w:val="24"/>
                <w:highlight w:val="none"/>
                <w:lang w:bidi="zh-CN"/>
              </w:rPr>
              <w:t>残疾儿童少年义务教育入学率(</w:t>
            </w:r>
            <w:r>
              <w:rPr>
                <w:rFonts w:hint="eastAsia" w:ascii="仿宋" w:hAnsi="仿宋" w:eastAsia="仿宋"/>
                <w:bCs/>
                <w:sz w:val="24"/>
                <w:szCs w:val="24"/>
                <w:highlight w:val="none"/>
              </w:rPr>
              <w:t>%)</w:t>
            </w:r>
          </w:p>
        </w:tc>
        <w:tc>
          <w:tcPr>
            <w:tcW w:w="962" w:type="dxa"/>
            <w:tcBorders>
              <w:top w:val="single" w:color="231F21" w:sz="4" w:space="0"/>
              <w:left w:val="single" w:color="231F21" w:sz="4" w:space="0"/>
              <w:bottom w:val="single" w:color="231F21" w:sz="4" w:space="0"/>
              <w:right w:val="single" w:color="231F21" w:sz="4" w:space="0"/>
            </w:tcBorders>
            <w:vAlign w:val="top"/>
          </w:tcPr>
          <w:p>
            <w:pPr>
              <w:pStyle w:val="16"/>
              <w:keepNext w:val="0"/>
              <w:keepLines w:val="0"/>
              <w:pageBreakBefore w:val="0"/>
              <w:widowControl w:val="0"/>
              <w:kinsoku/>
              <w:wordWrap/>
              <w:overflowPunct/>
              <w:topLinePunct w:val="0"/>
              <w:autoSpaceDE w:val="0"/>
              <w:autoSpaceDN w:val="0"/>
              <w:bidi w:val="0"/>
              <w:adjustRightInd/>
              <w:snapToGrid/>
              <w:spacing w:before="0" w:after="0" w:line="600" w:lineRule="exact"/>
              <w:ind w:left="0" w:leftChars="0" w:right="0" w:rightChars="0"/>
              <w:jc w:val="both"/>
              <w:textAlignment w:val="auto"/>
              <w:rPr>
                <w:rFonts w:hint="default" w:ascii="仿宋" w:hAnsi="仿宋" w:eastAsia="仿宋"/>
                <w:bCs/>
                <w:sz w:val="24"/>
                <w:szCs w:val="24"/>
                <w:highlight w:val="none"/>
                <w:lang w:val="en-US" w:eastAsia="zh-CN"/>
              </w:rPr>
            </w:pPr>
          </w:p>
        </w:tc>
        <w:tc>
          <w:tcPr>
            <w:tcW w:w="1019" w:type="dxa"/>
            <w:tcBorders>
              <w:top w:val="single" w:color="231F21" w:sz="4" w:space="0"/>
              <w:left w:val="single" w:color="231F21" w:sz="4" w:space="0"/>
              <w:bottom w:val="single" w:color="231F21" w:sz="4" w:space="0"/>
              <w:right w:val="single" w:color="231F21" w:sz="4" w:space="0"/>
            </w:tcBorders>
            <w:vAlign w:val="center"/>
          </w:tcPr>
          <w:p>
            <w:pPr>
              <w:pageBreakBefore w:val="0"/>
              <w:kinsoku/>
              <w:wordWrap/>
              <w:overflowPunct/>
              <w:topLinePunct w:val="0"/>
              <w:bidi w:val="0"/>
              <w:spacing w:before="0" w:after="0" w:line="600" w:lineRule="exact"/>
              <w:ind w:left="0" w:leftChars="0" w:right="0" w:rightChars="0"/>
              <w:jc w:val="center"/>
              <w:textAlignment w:val="auto"/>
              <w:rPr>
                <w:rFonts w:ascii="仿宋" w:hAnsi="仿宋" w:eastAsia="仿宋"/>
                <w:bCs/>
                <w:sz w:val="24"/>
                <w:szCs w:val="24"/>
                <w:highlight w:val="none"/>
              </w:rPr>
            </w:pPr>
            <w:r>
              <w:rPr>
                <w:rFonts w:hint="eastAsia" w:ascii="仿宋" w:hAnsi="仿宋" w:eastAsia="仿宋" w:cs="Times New Roman"/>
                <w:bCs/>
                <w:sz w:val="24"/>
                <w:szCs w:val="24"/>
              </w:rPr>
              <w:t>＞98％</w:t>
            </w:r>
          </w:p>
        </w:tc>
        <w:tc>
          <w:tcPr>
            <w:tcW w:w="1367" w:type="dxa"/>
            <w:tcBorders>
              <w:top w:val="single" w:color="231F21" w:sz="4" w:space="0"/>
              <w:left w:val="single" w:color="231F21" w:sz="4" w:space="0"/>
              <w:bottom w:val="single" w:color="231F21" w:sz="4" w:space="0"/>
            </w:tcBorders>
            <w:vAlign w:val="center"/>
          </w:tcPr>
          <w:p>
            <w:pPr>
              <w:pageBreakBefore w:val="0"/>
              <w:kinsoku/>
              <w:wordWrap/>
              <w:overflowPunct/>
              <w:topLinePunct w:val="0"/>
              <w:bidi w:val="0"/>
              <w:spacing w:before="0" w:after="0" w:line="600" w:lineRule="exact"/>
              <w:ind w:left="0" w:leftChars="0" w:right="0"/>
              <w:jc w:val="center"/>
              <w:textAlignment w:val="auto"/>
              <w:rPr>
                <w:rFonts w:ascii="仿宋" w:hAnsi="仿宋" w:eastAsia="仿宋"/>
                <w:bCs/>
                <w:sz w:val="24"/>
                <w:szCs w:val="24"/>
                <w:highlight w:val="none"/>
                <w:lang w:bidi="zh-CN"/>
              </w:rPr>
            </w:pPr>
            <w:r>
              <w:rPr>
                <w:rFonts w:hint="eastAsia" w:ascii="仿宋" w:hAnsi="仿宋" w:eastAsia="仿宋"/>
                <w:bCs/>
                <w:sz w:val="24"/>
                <w:szCs w:val="24"/>
                <w:highlight w:val="none"/>
                <w:lang w:bidi="zh-CN"/>
              </w:rPr>
              <w:t>预期性</w:t>
            </w:r>
          </w:p>
        </w:tc>
      </w:tr>
      <w:tr>
        <w:tblPrEx>
          <w:tblBorders>
            <w:top w:val="single" w:color="231F21" w:sz="8" w:space="0"/>
            <w:left w:val="single" w:color="231F21" w:sz="8" w:space="0"/>
            <w:bottom w:val="single" w:color="231F21" w:sz="8" w:space="0"/>
            <w:right w:val="single" w:color="231F21" w:sz="8" w:space="0"/>
            <w:insideH w:val="single" w:color="231F21" w:sz="8" w:space="0"/>
            <w:insideV w:val="single" w:color="231F21" w:sz="8" w:space="0"/>
          </w:tblBorders>
          <w:tblCellMar>
            <w:top w:w="0" w:type="dxa"/>
            <w:left w:w="0" w:type="dxa"/>
            <w:bottom w:w="0" w:type="dxa"/>
            <w:right w:w="0" w:type="dxa"/>
          </w:tblCellMar>
        </w:tblPrEx>
        <w:trPr>
          <w:trHeight w:val="537" w:hRule="atLeast"/>
          <w:jc w:val="center"/>
        </w:trPr>
        <w:tc>
          <w:tcPr>
            <w:tcW w:w="1008" w:type="dxa"/>
            <w:gridSpan w:val="2"/>
            <w:tcBorders>
              <w:top w:val="single" w:color="231F21" w:sz="4" w:space="0"/>
              <w:left w:val="single" w:color="231F21" w:sz="4" w:space="0"/>
              <w:bottom w:val="single" w:color="231F21" w:sz="4" w:space="0"/>
              <w:right w:val="single" w:color="auto" w:sz="4" w:space="0"/>
            </w:tcBorders>
            <w:vAlign w:val="center"/>
          </w:tcPr>
          <w:p>
            <w:pPr>
              <w:pageBreakBefore w:val="0"/>
              <w:kinsoku/>
              <w:wordWrap/>
              <w:overflowPunct/>
              <w:topLinePunct w:val="0"/>
              <w:bidi w:val="0"/>
              <w:spacing w:before="0" w:after="0" w:line="600" w:lineRule="exact"/>
              <w:ind w:left="0" w:leftChars="0" w:right="0"/>
              <w:jc w:val="center"/>
              <w:textAlignment w:val="auto"/>
              <w:rPr>
                <w:rFonts w:hint="default" w:ascii="仿宋" w:hAnsi="仿宋" w:eastAsia="仿宋"/>
                <w:bCs/>
                <w:sz w:val="24"/>
                <w:szCs w:val="24"/>
                <w:highlight w:val="none"/>
                <w:lang w:val="en-US" w:bidi="zh-CN"/>
              </w:rPr>
            </w:pPr>
            <w:r>
              <w:rPr>
                <w:rFonts w:hint="eastAsia" w:ascii="仿宋" w:hAnsi="仿宋" w:eastAsia="仿宋"/>
                <w:bCs/>
                <w:sz w:val="24"/>
                <w:szCs w:val="24"/>
                <w:highlight w:val="none"/>
                <w:lang w:val="en-US" w:bidi="zh-CN"/>
              </w:rPr>
              <w:t>9.</w:t>
            </w:r>
          </w:p>
        </w:tc>
        <w:tc>
          <w:tcPr>
            <w:tcW w:w="3910" w:type="dxa"/>
            <w:tcBorders>
              <w:top w:val="single" w:color="231F21" w:sz="4" w:space="0"/>
              <w:left w:val="single" w:color="auto" w:sz="4" w:space="0"/>
              <w:bottom w:val="single" w:color="231F21" w:sz="4" w:space="0"/>
              <w:right w:val="single" w:color="231F21" w:sz="4" w:space="0"/>
            </w:tcBorders>
            <w:vAlign w:val="center"/>
          </w:tcPr>
          <w:p>
            <w:pPr>
              <w:pageBreakBefore w:val="0"/>
              <w:kinsoku/>
              <w:wordWrap/>
              <w:overflowPunct/>
              <w:topLinePunct w:val="0"/>
              <w:bidi w:val="0"/>
              <w:spacing w:before="0" w:after="0" w:line="600" w:lineRule="exact"/>
              <w:ind w:left="0" w:leftChars="0" w:right="0" w:rightChars="0"/>
              <w:textAlignment w:val="auto"/>
              <w:rPr>
                <w:rFonts w:hint="eastAsia" w:ascii="仿宋" w:hAnsi="仿宋" w:eastAsia="仿宋" w:cs="宋体"/>
                <w:bCs/>
                <w:sz w:val="24"/>
                <w:szCs w:val="24"/>
                <w:highlight w:val="none"/>
                <w:lang w:val="zh-CN" w:eastAsia="zh-CN" w:bidi="zh-CN"/>
              </w:rPr>
            </w:pPr>
            <w:r>
              <w:rPr>
                <w:rFonts w:hint="eastAsia" w:ascii="仿宋" w:hAnsi="仿宋" w:eastAsia="仿宋"/>
                <w:bCs/>
                <w:sz w:val="24"/>
                <w:szCs w:val="24"/>
                <w:highlight w:val="none"/>
                <w:lang w:bidi="zh-CN"/>
              </w:rPr>
              <w:t>残疾人基本康复服务覆盖率(</w:t>
            </w:r>
            <w:r>
              <w:rPr>
                <w:rFonts w:hint="eastAsia" w:ascii="仿宋" w:hAnsi="仿宋" w:eastAsia="仿宋"/>
                <w:bCs/>
                <w:sz w:val="24"/>
                <w:szCs w:val="24"/>
                <w:highlight w:val="none"/>
              </w:rPr>
              <w:t>%)</w:t>
            </w:r>
          </w:p>
        </w:tc>
        <w:tc>
          <w:tcPr>
            <w:tcW w:w="962" w:type="dxa"/>
            <w:tcBorders>
              <w:top w:val="single" w:color="231F21" w:sz="4" w:space="0"/>
              <w:left w:val="single" w:color="231F21" w:sz="4" w:space="0"/>
              <w:bottom w:val="single" w:color="231F21" w:sz="4" w:space="0"/>
              <w:right w:val="single" w:color="231F21" w:sz="4" w:space="0"/>
            </w:tcBorders>
            <w:vAlign w:val="center"/>
          </w:tcPr>
          <w:p>
            <w:pPr>
              <w:pageBreakBefore w:val="0"/>
              <w:kinsoku/>
              <w:wordWrap/>
              <w:overflowPunct/>
              <w:topLinePunct w:val="0"/>
              <w:bidi w:val="0"/>
              <w:spacing w:before="0" w:after="0" w:line="600" w:lineRule="exact"/>
              <w:ind w:left="0" w:leftChars="0" w:right="0"/>
              <w:jc w:val="center"/>
              <w:textAlignment w:val="auto"/>
              <w:rPr>
                <w:rFonts w:hint="default" w:ascii="仿宋" w:hAnsi="仿宋" w:eastAsia="仿宋"/>
                <w:bCs/>
                <w:sz w:val="24"/>
                <w:szCs w:val="24"/>
                <w:highlight w:val="none"/>
                <w:lang w:val="en-US" w:eastAsia="zh-CN"/>
              </w:rPr>
            </w:pPr>
          </w:p>
        </w:tc>
        <w:tc>
          <w:tcPr>
            <w:tcW w:w="1019" w:type="dxa"/>
            <w:tcBorders>
              <w:top w:val="single" w:color="231F21" w:sz="4" w:space="0"/>
              <w:left w:val="single" w:color="231F21" w:sz="4" w:space="0"/>
              <w:bottom w:val="single" w:color="231F21" w:sz="4" w:space="0"/>
              <w:right w:val="single" w:color="231F21" w:sz="4" w:space="0"/>
            </w:tcBorders>
            <w:vAlign w:val="center"/>
          </w:tcPr>
          <w:p>
            <w:pPr>
              <w:pageBreakBefore w:val="0"/>
              <w:kinsoku/>
              <w:wordWrap/>
              <w:overflowPunct/>
              <w:topLinePunct w:val="0"/>
              <w:bidi w:val="0"/>
              <w:spacing w:before="0" w:after="0" w:line="600" w:lineRule="exact"/>
              <w:ind w:left="0" w:leftChars="0" w:right="0" w:rightChars="0"/>
              <w:jc w:val="center"/>
              <w:textAlignment w:val="auto"/>
              <w:rPr>
                <w:rFonts w:ascii="仿宋" w:hAnsi="仿宋" w:eastAsia="仿宋"/>
                <w:bCs/>
                <w:sz w:val="24"/>
                <w:szCs w:val="24"/>
                <w:highlight w:val="none"/>
              </w:rPr>
            </w:pPr>
            <w:r>
              <w:rPr>
                <w:rFonts w:hint="eastAsia" w:ascii="仿宋" w:hAnsi="仿宋" w:eastAsia="仿宋" w:cs="Times New Roman"/>
                <w:bCs/>
                <w:sz w:val="24"/>
                <w:szCs w:val="24"/>
              </w:rPr>
              <w:t>＞95％</w:t>
            </w:r>
          </w:p>
        </w:tc>
        <w:tc>
          <w:tcPr>
            <w:tcW w:w="1367" w:type="dxa"/>
            <w:tcBorders>
              <w:top w:val="single" w:color="231F21" w:sz="4" w:space="0"/>
              <w:left w:val="single" w:color="231F21" w:sz="4" w:space="0"/>
              <w:bottom w:val="single" w:color="231F21" w:sz="4" w:space="0"/>
            </w:tcBorders>
            <w:vAlign w:val="center"/>
          </w:tcPr>
          <w:p>
            <w:pPr>
              <w:pageBreakBefore w:val="0"/>
              <w:kinsoku/>
              <w:wordWrap/>
              <w:overflowPunct/>
              <w:topLinePunct w:val="0"/>
              <w:bidi w:val="0"/>
              <w:spacing w:before="0" w:after="0" w:line="600" w:lineRule="exact"/>
              <w:ind w:left="0" w:leftChars="0" w:right="0"/>
              <w:jc w:val="center"/>
              <w:textAlignment w:val="auto"/>
              <w:rPr>
                <w:rFonts w:ascii="仿宋" w:hAnsi="仿宋" w:eastAsia="仿宋"/>
                <w:bCs/>
                <w:sz w:val="24"/>
                <w:szCs w:val="24"/>
                <w:highlight w:val="none"/>
                <w:lang w:bidi="zh-CN"/>
              </w:rPr>
            </w:pPr>
            <w:r>
              <w:rPr>
                <w:rFonts w:hint="eastAsia" w:ascii="仿宋" w:hAnsi="仿宋" w:eastAsia="仿宋"/>
                <w:bCs/>
                <w:sz w:val="24"/>
                <w:szCs w:val="24"/>
                <w:highlight w:val="none"/>
                <w:lang w:bidi="zh-CN"/>
              </w:rPr>
              <w:t>约束性</w:t>
            </w:r>
          </w:p>
        </w:tc>
      </w:tr>
      <w:tr>
        <w:tblPrEx>
          <w:tblBorders>
            <w:top w:val="single" w:color="231F21" w:sz="8" w:space="0"/>
            <w:left w:val="single" w:color="231F21" w:sz="8" w:space="0"/>
            <w:bottom w:val="single" w:color="231F21" w:sz="8" w:space="0"/>
            <w:right w:val="single" w:color="231F21" w:sz="8" w:space="0"/>
            <w:insideH w:val="single" w:color="231F21" w:sz="8" w:space="0"/>
            <w:insideV w:val="single" w:color="231F21" w:sz="8" w:space="0"/>
          </w:tblBorders>
          <w:tblCellMar>
            <w:top w:w="0" w:type="dxa"/>
            <w:left w:w="0" w:type="dxa"/>
            <w:bottom w:w="0" w:type="dxa"/>
            <w:right w:w="0" w:type="dxa"/>
          </w:tblCellMar>
        </w:tblPrEx>
        <w:trPr>
          <w:trHeight w:val="537" w:hRule="atLeast"/>
          <w:jc w:val="center"/>
        </w:trPr>
        <w:tc>
          <w:tcPr>
            <w:tcW w:w="1008" w:type="dxa"/>
            <w:gridSpan w:val="2"/>
            <w:tcBorders>
              <w:top w:val="single" w:color="231F21" w:sz="4" w:space="0"/>
              <w:left w:val="single" w:color="231F21" w:sz="4" w:space="0"/>
              <w:bottom w:val="single" w:color="231F21" w:sz="4" w:space="0"/>
              <w:right w:val="single" w:color="auto" w:sz="4" w:space="0"/>
            </w:tcBorders>
            <w:vAlign w:val="center"/>
          </w:tcPr>
          <w:p>
            <w:pPr>
              <w:pageBreakBefore w:val="0"/>
              <w:kinsoku/>
              <w:wordWrap/>
              <w:overflowPunct/>
              <w:topLinePunct w:val="0"/>
              <w:bidi w:val="0"/>
              <w:spacing w:before="0" w:after="0" w:line="600" w:lineRule="exact"/>
              <w:ind w:left="0" w:leftChars="0" w:right="0"/>
              <w:jc w:val="center"/>
              <w:textAlignment w:val="auto"/>
              <w:rPr>
                <w:rFonts w:hint="default" w:ascii="仿宋" w:hAnsi="仿宋" w:eastAsia="仿宋"/>
                <w:bCs/>
                <w:sz w:val="24"/>
                <w:szCs w:val="24"/>
                <w:highlight w:val="none"/>
                <w:lang w:val="en-US" w:bidi="zh-CN"/>
              </w:rPr>
            </w:pPr>
            <w:r>
              <w:rPr>
                <w:rFonts w:hint="eastAsia" w:ascii="仿宋" w:hAnsi="仿宋" w:eastAsia="仿宋"/>
                <w:bCs/>
                <w:sz w:val="24"/>
                <w:szCs w:val="24"/>
                <w:highlight w:val="none"/>
                <w:lang w:val="en-US" w:bidi="zh-CN"/>
              </w:rPr>
              <w:t>10.</w:t>
            </w:r>
          </w:p>
        </w:tc>
        <w:tc>
          <w:tcPr>
            <w:tcW w:w="3910" w:type="dxa"/>
            <w:tcBorders>
              <w:top w:val="single" w:color="231F21" w:sz="4" w:space="0"/>
              <w:left w:val="single" w:color="auto" w:sz="4" w:space="0"/>
              <w:bottom w:val="single" w:color="231F21" w:sz="4" w:space="0"/>
              <w:right w:val="single" w:color="231F21" w:sz="4" w:space="0"/>
            </w:tcBorders>
            <w:vAlign w:val="center"/>
          </w:tcPr>
          <w:p>
            <w:pPr>
              <w:pageBreakBefore w:val="0"/>
              <w:kinsoku/>
              <w:wordWrap/>
              <w:overflowPunct/>
              <w:topLinePunct w:val="0"/>
              <w:bidi w:val="0"/>
              <w:spacing w:before="0" w:after="0" w:line="600" w:lineRule="exact"/>
              <w:ind w:left="0" w:leftChars="0" w:right="0" w:rightChars="0"/>
              <w:textAlignment w:val="auto"/>
              <w:rPr>
                <w:rFonts w:hint="eastAsia" w:ascii="仿宋" w:hAnsi="仿宋" w:eastAsia="仿宋" w:cs="宋体"/>
                <w:bCs/>
                <w:sz w:val="24"/>
                <w:szCs w:val="24"/>
                <w:highlight w:val="none"/>
                <w:lang w:val="zh-CN" w:eastAsia="zh-CN" w:bidi="zh-CN"/>
              </w:rPr>
            </w:pPr>
            <w:r>
              <w:rPr>
                <w:rFonts w:hint="eastAsia" w:ascii="仿宋" w:hAnsi="仿宋" w:eastAsia="仿宋"/>
                <w:bCs/>
                <w:sz w:val="24"/>
                <w:szCs w:val="24"/>
                <w:highlight w:val="none"/>
                <w:lang w:bidi="zh-CN"/>
              </w:rPr>
              <w:t>残疾人辅助器具适配率(</w:t>
            </w:r>
            <w:r>
              <w:rPr>
                <w:rFonts w:hint="eastAsia" w:ascii="仿宋" w:hAnsi="仿宋" w:eastAsia="仿宋"/>
                <w:bCs/>
                <w:sz w:val="24"/>
                <w:szCs w:val="24"/>
                <w:highlight w:val="none"/>
              </w:rPr>
              <w:t>%)</w:t>
            </w:r>
          </w:p>
        </w:tc>
        <w:tc>
          <w:tcPr>
            <w:tcW w:w="962" w:type="dxa"/>
            <w:tcBorders>
              <w:top w:val="single" w:color="231F21" w:sz="4" w:space="0"/>
              <w:left w:val="single" w:color="231F21" w:sz="4" w:space="0"/>
              <w:bottom w:val="single" w:color="231F21" w:sz="4" w:space="0"/>
              <w:right w:val="single" w:color="231F21" w:sz="4" w:space="0"/>
            </w:tcBorders>
            <w:vAlign w:val="center"/>
          </w:tcPr>
          <w:p>
            <w:pPr>
              <w:pageBreakBefore w:val="0"/>
              <w:kinsoku/>
              <w:wordWrap/>
              <w:overflowPunct/>
              <w:topLinePunct w:val="0"/>
              <w:bidi w:val="0"/>
              <w:spacing w:before="0" w:after="0" w:line="600" w:lineRule="exact"/>
              <w:ind w:left="0" w:leftChars="0" w:right="0"/>
              <w:jc w:val="center"/>
              <w:textAlignment w:val="auto"/>
              <w:rPr>
                <w:rFonts w:ascii="仿宋" w:hAnsi="仿宋" w:eastAsia="仿宋"/>
                <w:bCs/>
                <w:sz w:val="24"/>
                <w:szCs w:val="24"/>
                <w:highlight w:val="none"/>
              </w:rPr>
            </w:pPr>
          </w:p>
        </w:tc>
        <w:tc>
          <w:tcPr>
            <w:tcW w:w="1019" w:type="dxa"/>
            <w:tcBorders>
              <w:top w:val="single" w:color="231F21" w:sz="4" w:space="0"/>
              <w:left w:val="single" w:color="231F21" w:sz="4" w:space="0"/>
              <w:bottom w:val="single" w:color="231F21" w:sz="4" w:space="0"/>
              <w:right w:val="single" w:color="231F21" w:sz="4" w:space="0"/>
            </w:tcBorders>
            <w:vAlign w:val="center"/>
          </w:tcPr>
          <w:p>
            <w:pPr>
              <w:pageBreakBefore w:val="0"/>
              <w:kinsoku/>
              <w:wordWrap/>
              <w:overflowPunct/>
              <w:topLinePunct w:val="0"/>
              <w:bidi w:val="0"/>
              <w:spacing w:before="0" w:after="0" w:line="600" w:lineRule="exact"/>
              <w:ind w:left="0" w:leftChars="0" w:right="0" w:rightChars="0"/>
              <w:jc w:val="center"/>
              <w:textAlignment w:val="auto"/>
              <w:rPr>
                <w:rFonts w:ascii="仿宋" w:hAnsi="仿宋" w:eastAsia="仿宋"/>
                <w:bCs/>
                <w:sz w:val="24"/>
                <w:szCs w:val="24"/>
                <w:highlight w:val="none"/>
              </w:rPr>
            </w:pPr>
            <w:r>
              <w:rPr>
                <w:rFonts w:hint="eastAsia" w:ascii="仿宋" w:hAnsi="仿宋" w:eastAsia="仿宋" w:cs="Times New Roman"/>
                <w:bCs/>
                <w:sz w:val="24"/>
                <w:szCs w:val="24"/>
              </w:rPr>
              <w:t>＞95％</w:t>
            </w:r>
          </w:p>
        </w:tc>
        <w:tc>
          <w:tcPr>
            <w:tcW w:w="1367" w:type="dxa"/>
            <w:tcBorders>
              <w:top w:val="single" w:color="231F21" w:sz="4" w:space="0"/>
              <w:left w:val="single" w:color="231F21" w:sz="4" w:space="0"/>
              <w:bottom w:val="single" w:color="231F21" w:sz="4" w:space="0"/>
            </w:tcBorders>
            <w:vAlign w:val="center"/>
          </w:tcPr>
          <w:p>
            <w:pPr>
              <w:pageBreakBefore w:val="0"/>
              <w:kinsoku/>
              <w:wordWrap/>
              <w:overflowPunct/>
              <w:topLinePunct w:val="0"/>
              <w:bidi w:val="0"/>
              <w:spacing w:before="0" w:after="0" w:line="600" w:lineRule="exact"/>
              <w:ind w:left="0" w:leftChars="0" w:right="0"/>
              <w:jc w:val="center"/>
              <w:textAlignment w:val="auto"/>
              <w:rPr>
                <w:rFonts w:ascii="仿宋" w:hAnsi="仿宋" w:eastAsia="仿宋"/>
                <w:bCs/>
                <w:sz w:val="24"/>
                <w:szCs w:val="24"/>
                <w:highlight w:val="none"/>
                <w:lang w:bidi="zh-CN"/>
              </w:rPr>
            </w:pPr>
            <w:r>
              <w:rPr>
                <w:rFonts w:hint="eastAsia" w:ascii="仿宋" w:hAnsi="仿宋" w:eastAsia="仿宋"/>
                <w:bCs/>
                <w:sz w:val="24"/>
                <w:szCs w:val="24"/>
                <w:highlight w:val="none"/>
                <w:lang w:bidi="zh-CN"/>
              </w:rPr>
              <w:t>约束性</w:t>
            </w:r>
          </w:p>
        </w:tc>
      </w:tr>
      <w:tr>
        <w:tblPrEx>
          <w:tblBorders>
            <w:top w:val="single" w:color="231F21" w:sz="8" w:space="0"/>
            <w:left w:val="single" w:color="231F21" w:sz="8" w:space="0"/>
            <w:bottom w:val="single" w:color="231F21" w:sz="8" w:space="0"/>
            <w:right w:val="single" w:color="231F21" w:sz="8" w:space="0"/>
            <w:insideH w:val="single" w:color="231F21" w:sz="8" w:space="0"/>
            <w:insideV w:val="single" w:color="231F21" w:sz="8" w:space="0"/>
          </w:tblBorders>
          <w:tblCellMar>
            <w:top w:w="0" w:type="dxa"/>
            <w:left w:w="0" w:type="dxa"/>
            <w:bottom w:w="0" w:type="dxa"/>
            <w:right w:w="0" w:type="dxa"/>
          </w:tblCellMar>
        </w:tblPrEx>
        <w:trPr>
          <w:trHeight w:val="537" w:hRule="atLeast"/>
          <w:jc w:val="center"/>
        </w:trPr>
        <w:tc>
          <w:tcPr>
            <w:tcW w:w="1008" w:type="dxa"/>
            <w:gridSpan w:val="2"/>
            <w:tcBorders>
              <w:top w:val="single" w:color="231F21" w:sz="4" w:space="0"/>
              <w:left w:val="single" w:color="231F21" w:sz="4" w:space="0"/>
              <w:right w:val="single" w:color="auto" w:sz="4" w:space="0"/>
            </w:tcBorders>
            <w:vAlign w:val="center"/>
          </w:tcPr>
          <w:p>
            <w:pPr>
              <w:pageBreakBefore w:val="0"/>
              <w:kinsoku/>
              <w:wordWrap/>
              <w:overflowPunct/>
              <w:topLinePunct w:val="0"/>
              <w:bidi w:val="0"/>
              <w:spacing w:before="0" w:after="0" w:line="600" w:lineRule="exact"/>
              <w:ind w:left="0" w:leftChars="0" w:right="0"/>
              <w:jc w:val="center"/>
              <w:textAlignment w:val="auto"/>
              <w:rPr>
                <w:rFonts w:hint="default" w:ascii="仿宋" w:hAnsi="仿宋" w:eastAsia="仿宋"/>
                <w:bCs/>
                <w:sz w:val="24"/>
                <w:szCs w:val="24"/>
                <w:highlight w:val="none"/>
                <w:lang w:val="en-US" w:bidi="zh-CN"/>
              </w:rPr>
            </w:pPr>
            <w:r>
              <w:rPr>
                <w:rFonts w:hint="eastAsia" w:ascii="仿宋" w:hAnsi="仿宋" w:eastAsia="仿宋"/>
                <w:bCs/>
                <w:sz w:val="24"/>
                <w:szCs w:val="24"/>
                <w:highlight w:val="none"/>
                <w:lang w:val="en-US" w:bidi="zh-CN"/>
              </w:rPr>
              <w:t>11.</w:t>
            </w:r>
          </w:p>
        </w:tc>
        <w:tc>
          <w:tcPr>
            <w:tcW w:w="3910" w:type="dxa"/>
            <w:tcBorders>
              <w:top w:val="single" w:color="231F21" w:sz="4" w:space="0"/>
              <w:left w:val="single" w:color="auto" w:sz="4" w:space="0"/>
              <w:right w:val="single" w:color="231F21" w:sz="4" w:space="0"/>
            </w:tcBorders>
            <w:vAlign w:val="center"/>
          </w:tcPr>
          <w:p>
            <w:pPr>
              <w:pageBreakBefore w:val="0"/>
              <w:kinsoku/>
              <w:wordWrap/>
              <w:overflowPunct/>
              <w:topLinePunct w:val="0"/>
              <w:bidi w:val="0"/>
              <w:spacing w:before="0" w:after="0" w:line="600" w:lineRule="exact"/>
              <w:ind w:left="0" w:leftChars="0" w:right="0" w:rightChars="0"/>
              <w:textAlignment w:val="auto"/>
              <w:rPr>
                <w:rFonts w:hint="eastAsia" w:ascii="仿宋" w:hAnsi="仿宋" w:eastAsia="仿宋" w:cs="宋体"/>
                <w:bCs/>
                <w:sz w:val="24"/>
                <w:szCs w:val="24"/>
                <w:highlight w:val="none"/>
                <w:lang w:val="zh-CN" w:eastAsia="zh-CN" w:bidi="zh-CN"/>
              </w:rPr>
            </w:pPr>
            <w:r>
              <w:rPr>
                <w:rFonts w:hint="eastAsia" w:ascii="仿宋" w:hAnsi="仿宋" w:eastAsia="仿宋"/>
                <w:bCs/>
                <w:sz w:val="24"/>
                <w:szCs w:val="24"/>
                <w:highlight w:val="none"/>
                <w:lang w:bidi="zh-CN"/>
              </w:rPr>
              <w:t>困难重度残疾人家庭无障碍改造累计数（户）</w:t>
            </w:r>
          </w:p>
        </w:tc>
        <w:tc>
          <w:tcPr>
            <w:tcW w:w="962" w:type="dxa"/>
            <w:tcBorders>
              <w:top w:val="single" w:color="231F21" w:sz="4" w:space="0"/>
              <w:left w:val="single" w:color="231F21" w:sz="4" w:space="0"/>
              <w:right w:val="single" w:color="231F21" w:sz="4" w:space="0"/>
            </w:tcBorders>
            <w:vAlign w:val="center"/>
          </w:tcPr>
          <w:p>
            <w:pPr>
              <w:pageBreakBefore w:val="0"/>
              <w:kinsoku/>
              <w:wordWrap/>
              <w:overflowPunct/>
              <w:topLinePunct w:val="0"/>
              <w:bidi w:val="0"/>
              <w:spacing w:before="0" w:after="0" w:line="600" w:lineRule="exact"/>
              <w:ind w:left="0" w:leftChars="0" w:right="0"/>
              <w:jc w:val="center"/>
              <w:textAlignment w:val="auto"/>
              <w:rPr>
                <w:rFonts w:hint="eastAsia" w:ascii="仿宋" w:hAnsi="仿宋" w:eastAsia="仿宋"/>
                <w:bCs/>
                <w:sz w:val="24"/>
                <w:szCs w:val="24"/>
                <w:highlight w:val="none"/>
                <w:lang w:val="en-US" w:eastAsia="zh-CN"/>
              </w:rPr>
            </w:pPr>
            <w:r>
              <w:rPr>
                <w:rFonts w:hint="eastAsia" w:ascii="仿宋" w:hAnsi="仿宋" w:eastAsia="仿宋"/>
                <w:bCs/>
                <w:sz w:val="24"/>
                <w:szCs w:val="24"/>
                <w:highlight w:val="none"/>
                <w:lang w:val="en-US" w:eastAsia="zh-CN"/>
              </w:rPr>
              <w:t>——</w:t>
            </w:r>
          </w:p>
        </w:tc>
        <w:tc>
          <w:tcPr>
            <w:tcW w:w="1019" w:type="dxa"/>
            <w:tcBorders>
              <w:top w:val="single" w:color="231F21" w:sz="4" w:space="0"/>
              <w:left w:val="single" w:color="231F21" w:sz="4" w:space="0"/>
              <w:right w:val="single" w:color="231F21" w:sz="4" w:space="0"/>
            </w:tcBorders>
            <w:vAlign w:val="center"/>
          </w:tcPr>
          <w:p>
            <w:pPr>
              <w:pageBreakBefore w:val="0"/>
              <w:kinsoku/>
              <w:wordWrap/>
              <w:overflowPunct/>
              <w:topLinePunct w:val="0"/>
              <w:bidi w:val="0"/>
              <w:spacing w:before="0" w:after="0" w:line="600" w:lineRule="exact"/>
              <w:ind w:left="0" w:leftChars="0" w:right="0"/>
              <w:jc w:val="center"/>
              <w:textAlignment w:val="auto"/>
              <w:rPr>
                <w:rFonts w:hint="default" w:ascii="仿宋" w:hAnsi="仿宋" w:eastAsia="仿宋"/>
                <w:bCs/>
                <w:sz w:val="24"/>
                <w:szCs w:val="24"/>
                <w:highlight w:val="none"/>
                <w:lang w:val="en-US" w:eastAsia="zh-CN"/>
              </w:rPr>
            </w:pPr>
            <w:r>
              <w:rPr>
                <w:rFonts w:hint="eastAsia" w:ascii="仿宋" w:hAnsi="仿宋" w:eastAsia="仿宋"/>
                <w:bCs/>
                <w:sz w:val="24"/>
                <w:szCs w:val="24"/>
                <w:highlight w:val="none"/>
                <w:lang w:val="en-US" w:eastAsia="zh-CN"/>
              </w:rPr>
              <w:t>1500</w:t>
            </w:r>
            <w:bookmarkStart w:id="29" w:name="_GoBack"/>
            <w:bookmarkEnd w:id="29"/>
          </w:p>
        </w:tc>
        <w:tc>
          <w:tcPr>
            <w:tcW w:w="1367" w:type="dxa"/>
            <w:tcBorders>
              <w:top w:val="single" w:color="231F21" w:sz="4" w:space="0"/>
              <w:left w:val="single" w:color="231F21" w:sz="4" w:space="0"/>
            </w:tcBorders>
            <w:vAlign w:val="center"/>
          </w:tcPr>
          <w:p>
            <w:pPr>
              <w:pageBreakBefore w:val="0"/>
              <w:kinsoku/>
              <w:wordWrap/>
              <w:overflowPunct/>
              <w:topLinePunct w:val="0"/>
              <w:bidi w:val="0"/>
              <w:spacing w:before="0" w:after="0" w:line="600" w:lineRule="exact"/>
              <w:ind w:left="0" w:leftChars="0" w:right="0"/>
              <w:jc w:val="center"/>
              <w:textAlignment w:val="auto"/>
              <w:rPr>
                <w:rFonts w:ascii="仿宋" w:hAnsi="仿宋" w:eastAsia="仿宋"/>
                <w:bCs/>
                <w:sz w:val="24"/>
                <w:szCs w:val="24"/>
                <w:highlight w:val="none"/>
                <w:lang w:bidi="zh-CN"/>
              </w:rPr>
            </w:pPr>
            <w:r>
              <w:rPr>
                <w:rFonts w:hint="eastAsia" w:ascii="仿宋" w:hAnsi="仿宋" w:eastAsia="仿宋"/>
                <w:bCs/>
                <w:sz w:val="24"/>
                <w:szCs w:val="24"/>
                <w:highlight w:val="none"/>
                <w:lang w:bidi="zh-CN"/>
              </w:rPr>
              <w:t>约束性</w:t>
            </w:r>
          </w:p>
        </w:tc>
      </w:tr>
    </w:tbl>
    <w:p>
      <w:pPr>
        <w:pStyle w:val="3"/>
        <w:pageBreakBefore w:val="0"/>
        <w:numPr>
          <w:numId w:val="0"/>
        </w:numPr>
        <w:kinsoku/>
        <w:wordWrap/>
        <w:overflowPunct/>
        <w:topLinePunct w:val="0"/>
        <w:bidi w:val="0"/>
        <w:spacing w:before="0" w:beforeLines="0" w:after="0" w:afterLines="0" w:line="600" w:lineRule="exact"/>
        <w:ind w:left="660" w:leftChars="0" w:right="0" w:rightChars="0"/>
        <w:textAlignment w:val="auto"/>
        <w:rPr>
          <w:rFonts w:hint="eastAsia"/>
          <w:b w:val="0"/>
          <w:bCs/>
          <w:lang w:val="en-US" w:eastAsia="zh-CN"/>
        </w:rPr>
      </w:pPr>
      <w:bookmarkStart w:id="15" w:name="_Toc28689"/>
      <w:r>
        <w:rPr>
          <w:rFonts w:hint="eastAsia"/>
          <w:b w:val="0"/>
          <w:bCs/>
          <w:lang w:val="en-US" w:eastAsia="zh-CN"/>
        </w:rPr>
        <w:t>三、重点任务</w:t>
      </w:r>
      <w:bookmarkEnd w:id="15"/>
    </w:p>
    <w:p>
      <w:pPr>
        <w:pStyle w:val="4"/>
        <w:pageBreakBefore w:val="0"/>
        <w:kinsoku/>
        <w:wordWrap/>
        <w:overflowPunct/>
        <w:topLinePunct w:val="0"/>
        <w:bidi w:val="0"/>
        <w:spacing w:before="0" w:beforeLines="0" w:after="0" w:afterLines="0" w:line="600" w:lineRule="exact"/>
        <w:ind w:left="0" w:leftChars="0" w:right="0"/>
        <w:textAlignment w:val="auto"/>
        <w:rPr>
          <w:rFonts w:hint="eastAsia"/>
        </w:rPr>
      </w:pPr>
      <w:bookmarkStart w:id="16" w:name="_Toc26377"/>
      <w:r>
        <w:rPr>
          <w:rFonts w:hint="eastAsia"/>
        </w:rPr>
        <w:t>（一）巩固拓展残疾人脱贫攻坚成果，增强农村残疾人保障和</w:t>
      </w:r>
      <w:r>
        <w:rPr>
          <w:rFonts w:hint="eastAsia"/>
          <w:lang w:val="en-US" w:eastAsia="zh-CN"/>
        </w:rPr>
        <w:t>发展</w:t>
      </w:r>
      <w:r>
        <w:rPr>
          <w:rFonts w:hint="eastAsia"/>
        </w:rPr>
        <w:t>能力</w:t>
      </w:r>
      <w:bookmarkEnd w:id="16"/>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val="0"/>
        <w:autoSpaceDN w:val="0"/>
        <w:bidi w:val="0"/>
        <w:adjustRightInd/>
        <w:snapToGrid/>
        <w:spacing w:before="0" w:beforeAutospacing="0" w:after="0" w:afterAutospacing="0" w:line="600" w:lineRule="exact"/>
        <w:ind w:left="0" w:leftChars="0" w:right="0" w:firstLine="643" w:firstLineChars="200"/>
        <w:jc w:val="both"/>
        <w:textAlignment w:val="auto"/>
        <w:rPr>
          <w:rFonts w:hint="eastAsia" w:ascii="仿宋" w:hAnsi="仿宋" w:eastAsia="仿宋" w:cs="仿宋"/>
          <w:i w:val="0"/>
          <w:iCs w:val="0"/>
          <w:caps w:val="0"/>
          <w:color w:val="auto"/>
          <w:spacing w:val="0"/>
          <w:sz w:val="32"/>
          <w:szCs w:val="32"/>
          <w:highlight w:val="none"/>
          <w:shd w:val="clear" w:fill="FFFFFF"/>
        </w:rPr>
      </w:pPr>
      <w:r>
        <w:rPr>
          <w:rFonts w:hint="eastAsia" w:ascii="楷体" w:hAnsi="楷体" w:eastAsia="楷体" w:cs="楷体"/>
          <w:b/>
          <w:bCs w:val="0"/>
          <w:kern w:val="0"/>
          <w:sz w:val="32"/>
          <w:szCs w:val="32"/>
          <w:highlight w:val="none"/>
          <w:lang w:val="zh-CN" w:eastAsia="zh-CN" w:bidi="zh-CN"/>
        </w:rPr>
        <w:t>1．</w:t>
      </w:r>
      <w:r>
        <w:rPr>
          <w:rFonts w:hint="eastAsia" w:ascii="楷体" w:hAnsi="楷体" w:eastAsia="楷体" w:cs="楷体"/>
          <w:b/>
          <w:bCs/>
          <w:i w:val="0"/>
          <w:iCs w:val="0"/>
          <w:caps w:val="0"/>
          <w:color w:val="auto"/>
          <w:spacing w:val="0"/>
          <w:sz w:val="32"/>
          <w:szCs w:val="32"/>
          <w:highlight w:val="none"/>
          <w:shd w:val="clear" w:fill="FFFFFF"/>
        </w:rPr>
        <w:t>优化残疾人帮扶政策。</w:t>
      </w:r>
      <w:r>
        <w:rPr>
          <w:rFonts w:hint="eastAsia" w:ascii="仿宋" w:hAnsi="仿宋" w:eastAsia="仿宋" w:cs="仿宋"/>
          <w:b w:val="0"/>
          <w:bCs w:val="0"/>
          <w:i w:val="0"/>
          <w:iCs w:val="0"/>
          <w:caps w:val="0"/>
          <w:color w:val="auto"/>
          <w:spacing w:val="0"/>
          <w:sz w:val="32"/>
          <w:szCs w:val="32"/>
          <w:highlight w:val="none"/>
          <w:shd w:val="clear" w:fill="FFFFFF"/>
        </w:rPr>
        <w:t>按照</w:t>
      </w:r>
      <w:r>
        <w:rPr>
          <w:rFonts w:hint="eastAsia" w:ascii="仿宋" w:hAnsi="仿宋" w:eastAsia="仿宋" w:cs="仿宋"/>
          <w:i w:val="0"/>
          <w:iCs w:val="0"/>
          <w:caps w:val="0"/>
          <w:color w:val="auto"/>
          <w:spacing w:val="0"/>
          <w:sz w:val="32"/>
          <w:szCs w:val="32"/>
          <w:highlight w:val="none"/>
          <w:shd w:val="clear" w:fill="FFFFFF"/>
        </w:rPr>
        <w:t>巩固拓展脱贫攻坚成果同乡村振兴有效衔接要求，持续做好农村低收入残疾人家庭帮扶工作，进一步</w:t>
      </w:r>
      <w:r>
        <w:rPr>
          <w:rFonts w:hint="eastAsia" w:ascii="仿宋" w:hAnsi="仿宋" w:eastAsia="仿宋" w:cs="仿宋"/>
          <w:i w:val="0"/>
          <w:iCs w:val="0"/>
          <w:caps w:val="0"/>
          <w:color w:val="auto"/>
          <w:spacing w:val="0"/>
          <w:sz w:val="32"/>
          <w:szCs w:val="32"/>
          <w:highlight w:val="none"/>
          <w:shd w:val="clear" w:fill="FFFFFF"/>
          <w:lang w:eastAsia="zh-CN"/>
        </w:rPr>
        <w:t>落实</w:t>
      </w:r>
      <w:r>
        <w:rPr>
          <w:rFonts w:hint="eastAsia" w:ascii="仿宋" w:hAnsi="仿宋" w:eastAsia="仿宋" w:cs="仿宋"/>
          <w:i w:val="0"/>
          <w:iCs w:val="0"/>
          <w:caps w:val="0"/>
          <w:color w:val="auto"/>
          <w:spacing w:val="0"/>
          <w:sz w:val="32"/>
          <w:szCs w:val="32"/>
          <w:highlight w:val="none"/>
          <w:shd w:val="clear" w:fill="FFFFFF"/>
        </w:rPr>
        <w:t>残疾人教育、医疗、住房、饮水安全等帮扶政策。做好易地搬迁残疾人后续帮扶工作，加强对残疾人搬迁户社会保障兜底、稳岗就业、公共服务供给等方面的帮扶</w:t>
      </w:r>
      <w:r>
        <w:rPr>
          <w:rFonts w:hint="eastAsia" w:ascii="仿宋" w:hAnsi="仿宋" w:eastAsia="仿宋" w:cs="仿宋"/>
          <w:i w:val="0"/>
          <w:iCs w:val="0"/>
          <w:caps w:val="0"/>
          <w:color w:val="auto"/>
          <w:spacing w:val="0"/>
          <w:sz w:val="32"/>
          <w:szCs w:val="32"/>
          <w:highlight w:val="none"/>
          <w:shd w:val="clear" w:fill="FFFFFF"/>
          <w:lang w:val="en-US" w:eastAsia="zh-CN"/>
        </w:rPr>
        <w:t>,</w:t>
      </w:r>
      <w:r>
        <w:rPr>
          <w:rFonts w:hint="eastAsia" w:ascii="仿宋" w:hAnsi="仿宋" w:eastAsia="仿宋" w:cs="仿宋"/>
          <w:i w:val="0"/>
          <w:iCs w:val="0"/>
          <w:caps w:val="0"/>
          <w:color w:val="auto"/>
          <w:spacing w:val="0"/>
          <w:sz w:val="32"/>
          <w:szCs w:val="32"/>
          <w:highlight w:val="none"/>
          <w:shd w:val="clear" w:fill="FFFFFF"/>
        </w:rPr>
        <w:t>继续把残疾人帮扶作为</w:t>
      </w:r>
      <w:r>
        <w:rPr>
          <w:rFonts w:hint="eastAsia" w:ascii="仿宋" w:hAnsi="仿宋" w:eastAsia="仿宋" w:cs="仿宋"/>
          <w:i w:val="0"/>
          <w:iCs w:val="0"/>
          <w:caps w:val="0"/>
          <w:color w:val="auto"/>
          <w:spacing w:val="0"/>
          <w:sz w:val="32"/>
          <w:szCs w:val="32"/>
          <w:highlight w:val="none"/>
          <w:shd w:val="clear" w:fill="FFFFFF"/>
          <w:lang w:eastAsia="zh-CN"/>
        </w:rPr>
        <w:t>县</w:t>
      </w:r>
      <w:r>
        <w:rPr>
          <w:rFonts w:hint="eastAsia" w:ascii="仿宋" w:hAnsi="仿宋" w:eastAsia="仿宋" w:cs="仿宋"/>
          <w:i w:val="0"/>
          <w:iCs w:val="0"/>
          <w:caps w:val="0"/>
          <w:color w:val="auto"/>
          <w:spacing w:val="0"/>
          <w:sz w:val="32"/>
          <w:szCs w:val="32"/>
          <w:highlight w:val="none"/>
          <w:shd w:val="clear" w:fill="FFFFFF"/>
        </w:rPr>
        <w:t>内对口帮扶工作的重要内容。强化乡村振兴项目对残疾人的就业带动作用，鼓励乡镇、村继续将现有和新开发的公益性岗位优先安排符合条件的残疾人及其家庭成员。支持村级乡村振兴项目优先让无劳动力或弱劳动力残疾人家庭</w:t>
      </w:r>
      <w:r>
        <w:rPr>
          <w:rFonts w:hint="eastAsia" w:ascii="仿宋" w:hAnsi="仿宋" w:eastAsia="仿宋" w:cs="仿宋"/>
          <w:i w:val="0"/>
          <w:iCs w:val="0"/>
          <w:caps w:val="0"/>
          <w:color w:val="auto"/>
          <w:spacing w:val="0"/>
          <w:sz w:val="32"/>
          <w:szCs w:val="32"/>
          <w:highlight w:val="none"/>
          <w:shd w:val="clear" w:fill="FFFFFF"/>
          <w:lang w:val="en-US" w:eastAsia="zh-CN"/>
        </w:rPr>
        <w:t>参与和</w:t>
      </w:r>
      <w:r>
        <w:rPr>
          <w:rFonts w:hint="eastAsia" w:ascii="仿宋" w:hAnsi="仿宋" w:eastAsia="仿宋" w:cs="仿宋"/>
          <w:i w:val="0"/>
          <w:iCs w:val="0"/>
          <w:caps w:val="0"/>
          <w:color w:val="auto"/>
          <w:spacing w:val="0"/>
          <w:sz w:val="32"/>
          <w:szCs w:val="32"/>
          <w:highlight w:val="none"/>
          <w:shd w:val="clear" w:fill="FFFFFF"/>
        </w:rPr>
        <w:t>受益。</w:t>
      </w:r>
      <w:r>
        <w:rPr>
          <w:rFonts w:hint="eastAsia" w:ascii="仿宋" w:hAnsi="仿宋" w:eastAsia="仿宋" w:cs="仿宋"/>
          <w:i w:val="0"/>
          <w:iCs w:val="0"/>
          <w:caps w:val="0"/>
          <w:color w:val="auto"/>
          <w:spacing w:val="0"/>
          <w:sz w:val="32"/>
          <w:szCs w:val="32"/>
          <w:highlight w:val="none"/>
          <w:shd w:val="clear" w:fill="FFFFFF"/>
          <w:lang w:eastAsia="zh-CN"/>
        </w:rPr>
        <w:t>残疾人联合</w:t>
      </w:r>
      <w:r>
        <w:rPr>
          <w:rFonts w:hint="eastAsia" w:ascii="仿宋" w:hAnsi="仿宋" w:eastAsia="仿宋" w:cs="仿宋"/>
          <w:i w:val="0"/>
          <w:iCs w:val="0"/>
          <w:caps w:val="0"/>
          <w:color w:val="auto"/>
          <w:spacing w:val="0"/>
          <w:sz w:val="32"/>
          <w:szCs w:val="32"/>
          <w:highlight w:val="none"/>
          <w:shd w:val="clear" w:fill="FFFFFF"/>
        </w:rPr>
        <w:t>会成员单位带头在乡村振兴驻点村内开展扶残助残活动</w:t>
      </w:r>
      <w:r>
        <w:rPr>
          <w:rFonts w:hint="eastAsia" w:ascii="仿宋" w:hAnsi="仿宋" w:eastAsia="仿宋" w:cs="仿宋"/>
          <w:i w:val="0"/>
          <w:iCs w:val="0"/>
          <w:caps w:val="0"/>
          <w:color w:val="auto"/>
          <w:spacing w:val="0"/>
          <w:sz w:val="32"/>
          <w:szCs w:val="32"/>
          <w:highlight w:val="none"/>
          <w:shd w:val="clear" w:fill="FFFFFF"/>
          <w:lang w:eastAsia="zh-CN"/>
        </w:rPr>
        <w:t>，</w:t>
      </w:r>
      <w:r>
        <w:rPr>
          <w:rFonts w:hint="eastAsia" w:ascii="仿宋" w:hAnsi="仿宋" w:eastAsia="仿宋" w:cs="仿宋"/>
          <w:i w:val="0"/>
          <w:iCs w:val="0"/>
          <w:caps w:val="0"/>
          <w:color w:val="auto"/>
          <w:spacing w:val="0"/>
          <w:sz w:val="32"/>
          <w:szCs w:val="32"/>
          <w:highlight w:val="none"/>
          <w:shd w:val="clear" w:fill="FFFFFF"/>
        </w:rPr>
        <w:t>充分发挥基层党组织、驻村第一书记和工作队在扶残助残中的重要作用。</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val="0"/>
        <w:autoSpaceDN w:val="0"/>
        <w:bidi w:val="0"/>
        <w:adjustRightInd/>
        <w:snapToGrid/>
        <w:spacing w:before="0" w:beforeAutospacing="0" w:after="0" w:afterAutospacing="0" w:line="600" w:lineRule="exact"/>
        <w:ind w:left="0" w:leftChars="0" w:right="0" w:firstLine="643" w:firstLineChars="200"/>
        <w:jc w:val="both"/>
        <w:textAlignment w:val="auto"/>
        <w:rPr>
          <w:rFonts w:hint="eastAsia" w:ascii="仿宋" w:hAnsi="仿宋" w:eastAsia="仿宋" w:cs="仿宋"/>
          <w:i w:val="0"/>
          <w:iCs w:val="0"/>
          <w:caps w:val="0"/>
          <w:color w:val="auto"/>
          <w:spacing w:val="0"/>
          <w:sz w:val="32"/>
          <w:szCs w:val="32"/>
          <w:highlight w:val="none"/>
        </w:rPr>
      </w:pPr>
      <w:r>
        <w:rPr>
          <w:rFonts w:hint="eastAsia" w:ascii="楷体" w:hAnsi="楷体" w:eastAsia="楷体" w:cs="楷体"/>
          <w:b/>
          <w:bCs/>
          <w:i w:val="0"/>
          <w:iCs w:val="0"/>
          <w:caps w:val="0"/>
          <w:color w:val="auto"/>
          <w:spacing w:val="0"/>
          <w:sz w:val="32"/>
          <w:szCs w:val="32"/>
          <w:highlight w:val="none"/>
          <w:shd w:val="clear" w:fill="FFFFFF"/>
        </w:rPr>
        <w:t>2．</w:t>
      </w:r>
      <w:r>
        <w:rPr>
          <w:rFonts w:hint="eastAsia" w:ascii="楷体" w:hAnsi="楷体" w:eastAsia="楷体" w:cs="楷体"/>
          <w:b/>
          <w:bCs w:val="0"/>
          <w:kern w:val="0"/>
          <w:sz w:val="32"/>
          <w:szCs w:val="32"/>
          <w:highlight w:val="none"/>
          <w:lang w:val="zh-CN" w:eastAsia="zh-CN" w:bidi="zh-CN"/>
        </w:rPr>
        <w:t>加强农村残疾人防返贫监测。</w:t>
      </w:r>
      <w:r>
        <w:rPr>
          <w:rFonts w:hint="eastAsia" w:ascii="仿宋" w:hAnsi="仿宋" w:eastAsia="仿宋" w:cs="仿宋"/>
          <w:b w:val="0"/>
          <w:bCs w:val="0"/>
          <w:i w:val="0"/>
          <w:iCs w:val="0"/>
          <w:caps w:val="0"/>
          <w:color w:val="auto"/>
          <w:spacing w:val="0"/>
          <w:sz w:val="32"/>
          <w:szCs w:val="32"/>
          <w:highlight w:val="none"/>
          <w:shd w:val="clear" w:fill="FFFFFF"/>
          <w:lang w:eastAsia="zh-CN"/>
        </w:rPr>
        <w:t>落</w:t>
      </w:r>
      <w:r>
        <w:rPr>
          <w:rFonts w:hint="eastAsia" w:ascii="仿宋" w:hAnsi="仿宋" w:eastAsia="仿宋" w:cs="仿宋"/>
          <w:i w:val="0"/>
          <w:iCs w:val="0"/>
          <w:caps w:val="0"/>
          <w:color w:val="auto"/>
          <w:spacing w:val="0"/>
          <w:sz w:val="32"/>
          <w:szCs w:val="32"/>
          <w:highlight w:val="none"/>
          <w:shd w:val="clear" w:fill="FFFFFF"/>
          <w:lang w:eastAsia="zh-CN"/>
        </w:rPr>
        <w:t>实</w:t>
      </w:r>
      <w:r>
        <w:rPr>
          <w:rFonts w:hint="eastAsia" w:ascii="仿宋" w:hAnsi="仿宋" w:eastAsia="仿宋" w:cs="仿宋"/>
          <w:i w:val="0"/>
          <w:iCs w:val="0"/>
          <w:caps w:val="0"/>
          <w:color w:val="auto"/>
          <w:spacing w:val="0"/>
          <w:sz w:val="32"/>
          <w:szCs w:val="32"/>
          <w:highlight w:val="none"/>
          <w:shd w:val="clear" w:fill="FFFFFF"/>
        </w:rPr>
        <w:t>健全防返贫动态监测和帮扶机制，将符合条件的残疾人纳入监测范围，予以重点关注、重点帮扶，并实行动态管理。建立残疾人状况监测点，及时预警返贫致贫风险情况。常态化开展数据比对，实时掌握残疾人“两项补贴”、城乡居民基本医疗保险、城乡居民基本养老保险、社会救助、危房改造等保障政策落实情况。</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val="0"/>
        <w:autoSpaceDN w:val="0"/>
        <w:bidi w:val="0"/>
        <w:adjustRightInd/>
        <w:snapToGrid/>
        <w:spacing w:before="0" w:beforeAutospacing="0" w:after="0" w:afterAutospacing="0" w:line="600" w:lineRule="exact"/>
        <w:ind w:left="0" w:leftChars="0" w:right="0" w:firstLine="643" w:firstLineChars="200"/>
        <w:jc w:val="both"/>
        <w:textAlignment w:val="auto"/>
        <w:rPr>
          <w:rFonts w:hint="eastAsia" w:ascii="仿宋" w:hAnsi="仿宋" w:eastAsia="仿宋" w:cs="仿宋"/>
          <w:i w:val="0"/>
          <w:iCs w:val="0"/>
          <w:caps w:val="0"/>
          <w:color w:val="auto"/>
          <w:spacing w:val="0"/>
          <w:sz w:val="32"/>
          <w:szCs w:val="32"/>
          <w:highlight w:val="none"/>
          <w:shd w:val="clear" w:fill="FFFFFF"/>
        </w:rPr>
      </w:pPr>
      <w:r>
        <w:rPr>
          <w:rFonts w:hint="eastAsia" w:ascii="楷体" w:hAnsi="楷体" w:eastAsia="楷体" w:cs="楷体"/>
          <w:b/>
          <w:bCs/>
          <w:i w:val="0"/>
          <w:iCs w:val="0"/>
          <w:caps w:val="0"/>
          <w:color w:val="auto"/>
          <w:spacing w:val="0"/>
          <w:sz w:val="32"/>
          <w:szCs w:val="32"/>
          <w:highlight w:val="none"/>
          <w:shd w:val="clear" w:fill="FFFFFF"/>
        </w:rPr>
        <w:t>3．增强农村残疾人内生发展能力。</w:t>
      </w:r>
      <w:r>
        <w:rPr>
          <w:rFonts w:hint="eastAsia" w:ascii="仿宋" w:hAnsi="仿宋" w:eastAsia="仿宋" w:cs="仿宋"/>
          <w:b w:val="0"/>
          <w:bCs w:val="0"/>
          <w:i w:val="0"/>
          <w:iCs w:val="0"/>
          <w:caps w:val="0"/>
          <w:color w:val="auto"/>
          <w:spacing w:val="0"/>
          <w:sz w:val="32"/>
          <w:szCs w:val="32"/>
          <w:highlight w:val="none"/>
          <w:shd w:val="clear" w:fill="FFFFFF"/>
        </w:rPr>
        <w:t>加</w:t>
      </w:r>
      <w:r>
        <w:rPr>
          <w:rFonts w:hint="eastAsia" w:ascii="仿宋" w:hAnsi="仿宋" w:eastAsia="仿宋" w:cs="仿宋"/>
          <w:i w:val="0"/>
          <w:iCs w:val="0"/>
          <w:caps w:val="0"/>
          <w:color w:val="auto"/>
          <w:spacing w:val="0"/>
          <w:sz w:val="32"/>
          <w:szCs w:val="32"/>
          <w:highlight w:val="none"/>
          <w:shd w:val="clear" w:fill="FFFFFF"/>
        </w:rPr>
        <w:t>快培养以现代农民、家庭农场经营者、农民合作社带头人、农村创业创新带头人和乡村工匠为主的残疾人乡村振兴人才。实施农村残疾人“阳光增收计划”，组织实用技术培训和扶持发展生产并举，培养一批残疾人阳光增收带头人。开展“阳光助残基地”建设，培育一批农村助残经济组织和服务组织，扶持残疾人专业合作社、家庭农场和农业龙头企业发展，带动残疾人就业增收。对符合条件的残疾人家庭、阳光助残基地提供贷款贴息支持，对符合条件的残疾人种养殖项目给予农业保险保费补贴。助力扶残助农产品上行</w:t>
      </w:r>
      <w:r>
        <w:rPr>
          <w:rFonts w:hint="eastAsia" w:ascii="仿宋" w:hAnsi="仿宋" w:eastAsia="仿宋" w:cs="仿宋"/>
          <w:i w:val="0"/>
          <w:iCs w:val="0"/>
          <w:caps w:val="0"/>
          <w:color w:val="auto"/>
          <w:spacing w:val="0"/>
          <w:sz w:val="32"/>
          <w:szCs w:val="32"/>
          <w:highlight w:val="none"/>
          <w:shd w:val="clear" w:fill="FFFFFF"/>
          <w:lang w:eastAsia="zh-CN"/>
        </w:rPr>
        <w:t>，</w:t>
      </w:r>
      <w:r>
        <w:rPr>
          <w:rFonts w:hint="eastAsia" w:ascii="仿宋" w:hAnsi="仿宋" w:eastAsia="仿宋" w:cs="仿宋"/>
          <w:i w:val="0"/>
          <w:iCs w:val="0"/>
          <w:caps w:val="0"/>
          <w:color w:val="auto"/>
          <w:spacing w:val="0"/>
          <w:sz w:val="32"/>
          <w:szCs w:val="32"/>
          <w:highlight w:val="none"/>
          <w:shd w:val="clear" w:fill="FFFFFF"/>
        </w:rPr>
        <w:t>实施电子商务助残专项活动。</w:t>
      </w:r>
    </w:p>
    <w:p>
      <w:pPr>
        <w:pStyle w:val="4"/>
        <w:pageBreakBefore w:val="0"/>
        <w:kinsoku/>
        <w:wordWrap/>
        <w:overflowPunct/>
        <w:topLinePunct w:val="0"/>
        <w:bidi w:val="0"/>
        <w:spacing w:before="0" w:beforeLines="0" w:after="0" w:afterLines="0" w:line="600" w:lineRule="exact"/>
        <w:ind w:left="0" w:leftChars="0" w:right="0"/>
        <w:textAlignment w:val="auto"/>
        <w:rPr>
          <w:rFonts w:hint="eastAsia"/>
        </w:rPr>
      </w:pPr>
      <w:bookmarkStart w:id="17" w:name="_Toc3939"/>
      <w:r>
        <w:rPr>
          <w:rFonts w:hint="eastAsia"/>
        </w:rPr>
        <w:t>（二）完善残疾人社会保障制度，提高残疾人民生保障水平</w:t>
      </w:r>
      <w:bookmarkEnd w:id="17"/>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val="0"/>
        <w:autoSpaceDN w:val="0"/>
        <w:bidi w:val="0"/>
        <w:adjustRightInd/>
        <w:snapToGrid/>
        <w:spacing w:before="0" w:beforeAutospacing="0" w:after="0" w:afterAutospacing="0" w:line="600" w:lineRule="exact"/>
        <w:ind w:left="0" w:leftChars="0" w:right="0" w:firstLine="643" w:firstLineChars="200"/>
        <w:jc w:val="both"/>
        <w:textAlignment w:val="auto"/>
        <w:rPr>
          <w:rFonts w:hint="eastAsia" w:ascii="仿宋" w:hAnsi="仿宋" w:eastAsia="仿宋" w:cs="仿宋"/>
          <w:b w:val="0"/>
          <w:bCs w:val="0"/>
          <w:i w:val="0"/>
          <w:iCs w:val="0"/>
          <w:caps w:val="0"/>
          <w:color w:val="auto"/>
          <w:spacing w:val="0"/>
          <w:sz w:val="32"/>
          <w:szCs w:val="32"/>
          <w:highlight w:val="none"/>
        </w:rPr>
      </w:pPr>
      <w:r>
        <w:rPr>
          <w:rFonts w:hint="eastAsia" w:ascii="楷体" w:hAnsi="楷体" w:eastAsia="楷体" w:cs="楷体"/>
          <w:b/>
          <w:bCs/>
          <w:i w:val="0"/>
          <w:iCs w:val="0"/>
          <w:caps w:val="0"/>
          <w:color w:val="auto"/>
          <w:spacing w:val="0"/>
          <w:sz w:val="32"/>
          <w:szCs w:val="32"/>
          <w:highlight w:val="none"/>
          <w:shd w:val="clear" w:fill="FFFFFF"/>
        </w:rPr>
        <w:t>1．落实残疾人社会福利政策。</w:t>
      </w:r>
      <w:r>
        <w:rPr>
          <w:rFonts w:hint="eastAsia" w:ascii="仿宋" w:hAnsi="仿宋" w:eastAsia="仿宋" w:cs="仿宋"/>
          <w:i w:val="0"/>
          <w:iCs w:val="0"/>
          <w:caps w:val="0"/>
          <w:color w:val="auto"/>
          <w:spacing w:val="0"/>
          <w:sz w:val="32"/>
          <w:szCs w:val="32"/>
          <w:highlight w:val="none"/>
          <w:shd w:val="clear" w:fill="FFFFFF"/>
        </w:rPr>
        <w:t>全面落实困难残疾人生活补贴和重度残疾人护理补贴制度，完善补贴标准动态调整机制，可将困难残疾人生活补贴覆盖至低保边缘家庭中的残疾人和其他困难残疾人，重度残疾人护理补贴覆盖至非重度智力、精神残疾人或其他残疾人。完善低收入残疾人家庭生活用水、电、气、有线电视和宽带网络优惠政策。做好残疾人乘坐</w:t>
      </w:r>
      <w:r>
        <w:rPr>
          <w:rFonts w:hint="eastAsia" w:ascii="仿宋" w:hAnsi="仿宋" w:eastAsia="仿宋" w:cs="仿宋"/>
          <w:i w:val="0"/>
          <w:iCs w:val="0"/>
          <w:caps w:val="0"/>
          <w:color w:val="auto"/>
          <w:spacing w:val="0"/>
          <w:sz w:val="32"/>
          <w:szCs w:val="32"/>
          <w:highlight w:val="none"/>
          <w:shd w:val="clear" w:fill="FFFFFF"/>
          <w:lang w:eastAsia="zh-CN"/>
        </w:rPr>
        <w:t>县</w:t>
      </w:r>
      <w:r>
        <w:rPr>
          <w:rFonts w:hint="eastAsia" w:ascii="仿宋" w:hAnsi="仿宋" w:eastAsia="仿宋" w:cs="仿宋"/>
          <w:i w:val="0"/>
          <w:iCs w:val="0"/>
          <w:caps w:val="0"/>
          <w:color w:val="auto"/>
          <w:spacing w:val="0"/>
          <w:sz w:val="32"/>
          <w:szCs w:val="32"/>
          <w:highlight w:val="none"/>
          <w:shd w:val="clear" w:fill="FFFFFF"/>
        </w:rPr>
        <w:t>内公共汽车优惠与便利工作。落实残疾人机动轮椅车燃油补贴政策。做好军人、民警残疾评定标准残疾分类</w:t>
      </w:r>
      <w:r>
        <w:rPr>
          <w:rFonts w:hint="eastAsia" w:ascii="仿宋" w:hAnsi="仿宋" w:eastAsia="仿宋" w:cs="仿宋"/>
          <w:i w:val="0"/>
          <w:iCs w:val="0"/>
          <w:caps w:val="0"/>
          <w:color w:val="auto"/>
          <w:spacing w:val="0"/>
          <w:sz w:val="32"/>
          <w:szCs w:val="32"/>
          <w:highlight w:val="none"/>
          <w:shd w:val="clear" w:fill="FFFFFF"/>
          <w:lang w:val="en-US" w:eastAsia="zh-CN"/>
        </w:rPr>
        <w:t>、</w:t>
      </w:r>
      <w:r>
        <w:rPr>
          <w:rFonts w:hint="eastAsia" w:ascii="仿宋" w:hAnsi="仿宋" w:eastAsia="仿宋" w:cs="仿宋"/>
          <w:i w:val="0"/>
          <w:iCs w:val="0"/>
          <w:caps w:val="0"/>
          <w:color w:val="auto"/>
          <w:spacing w:val="0"/>
          <w:sz w:val="32"/>
          <w:szCs w:val="32"/>
          <w:highlight w:val="none"/>
          <w:shd w:val="clear" w:fill="FFFFFF"/>
        </w:rPr>
        <w:t>分级标准的</w:t>
      </w:r>
      <w:r>
        <w:rPr>
          <w:rFonts w:hint="eastAsia" w:ascii="仿宋" w:hAnsi="仿宋" w:eastAsia="仿宋" w:cs="仿宋"/>
          <w:i w:val="0"/>
          <w:iCs w:val="0"/>
          <w:caps w:val="0"/>
          <w:color w:val="auto"/>
          <w:spacing w:val="0"/>
          <w:sz w:val="32"/>
          <w:szCs w:val="32"/>
          <w:highlight w:val="none"/>
          <w:shd w:val="clear" w:fill="FFFFFF"/>
          <w:lang w:val="en-US" w:eastAsia="zh-CN"/>
        </w:rPr>
        <w:t>配合工作</w:t>
      </w:r>
      <w:r>
        <w:rPr>
          <w:rFonts w:hint="eastAsia" w:ascii="仿宋" w:hAnsi="仿宋" w:eastAsia="仿宋" w:cs="仿宋"/>
          <w:i w:val="0"/>
          <w:iCs w:val="0"/>
          <w:caps w:val="0"/>
          <w:color w:val="auto"/>
          <w:spacing w:val="0"/>
          <w:sz w:val="32"/>
          <w:szCs w:val="32"/>
          <w:highlight w:val="none"/>
          <w:shd w:val="clear" w:fill="FFFFFF"/>
        </w:rPr>
        <w:t>，保证</w:t>
      </w:r>
      <w:r>
        <w:rPr>
          <w:rFonts w:hint="eastAsia" w:ascii="仿宋" w:hAnsi="仿宋" w:eastAsia="仿宋" w:cs="仿宋"/>
          <w:i w:val="0"/>
          <w:iCs w:val="0"/>
          <w:caps w:val="0"/>
          <w:color w:val="auto"/>
          <w:spacing w:val="0"/>
          <w:sz w:val="32"/>
          <w:szCs w:val="32"/>
          <w:highlight w:val="none"/>
          <w:shd w:val="clear" w:fill="FFFFFF"/>
          <w:lang w:val="en-US" w:eastAsia="zh-CN"/>
        </w:rPr>
        <w:t>县区内</w:t>
      </w:r>
      <w:r>
        <w:rPr>
          <w:rFonts w:hint="eastAsia" w:ascii="仿宋" w:hAnsi="仿宋" w:eastAsia="仿宋" w:cs="仿宋"/>
          <w:i w:val="0"/>
          <w:iCs w:val="0"/>
          <w:caps w:val="0"/>
          <w:color w:val="auto"/>
          <w:spacing w:val="0"/>
          <w:sz w:val="32"/>
          <w:szCs w:val="32"/>
          <w:highlight w:val="none"/>
          <w:shd w:val="clear" w:fill="FFFFFF"/>
        </w:rPr>
        <w:t>残疾军人、伤残民警优先享受扶残助残政策待遇、普惠性社会保障和公共服务。加强残疾孤儿、事实无人抚养残疾儿童医疗、康复、教育等服务</w:t>
      </w:r>
      <w:r>
        <w:rPr>
          <w:rFonts w:hint="eastAsia" w:ascii="仿宋" w:hAnsi="仿宋" w:eastAsia="仿宋" w:cs="仿宋"/>
          <w:i w:val="0"/>
          <w:iCs w:val="0"/>
          <w:caps w:val="0"/>
          <w:color w:val="auto"/>
          <w:spacing w:val="0"/>
          <w:sz w:val="32"/>
          <w:szCs w:val="32"/>
          <w:highlight w:val="none"/>
          <w:shd w:val="clear" w:fill="FFFFFF"/>
          <w:lang w:eastAsia="zh-CN"/>
        </w:rPr>
        <w:t>，</w:t>
      </w:r>
      <w:r>
        <w:rPr>
          <w:rFonts w:hint="eastAsia" w:ascii="仿宋" w:hAnsi="仿宋" w:eastAsia="仿宋" w:cs="仿宋"/>
          <w:i w:val="0"/>
          <w:iCs w:val="0"/>
          <w:caps w:val="0"/>
          <w:color w:val="auto"/>
          <w:spacing w:val="0"/>
          <w:sz w:val="32"/>
          <w:szCs w:val="32"/>
          <w:highlight w:val="none"/>
          <w:shd w:val="clear" w:fill="FFFFFF"/>
          <w:lang w:val="en-US" w:eastAsia="zh-CN"/>
        </w:rPr>
        <w:t>落实</w:t>
      </w:r>
      <w:r>
        <w:rPr>
          <w:rFonts w:hint="eastAsia" w:ascii="仿宋" w:hAnsi="仿宋" w:eastAsia="仿宋" w:cs="仿宋"/>
          <w:i w:val="0"/>
          <w:iCs w:val="0"/>
          <w:caps w:val="0"/>
          <w:color w:val="auto"/>
          <w:spacing w:val="0"/>
          <w:sz w:val="32"/>
          <w:szCs w:val="32"/>
          <w:highlight w:val="none"/>
          <w:shd w:val="clear" w:fill="FFFFFF"/>
        </w:rPr>
        <w:t>基本生活费政策，提升儿童福利机构安全管理水平和服务质量。加快建设精神卫生福利服务体系，为特</w:t>
      </w:r>
      <w:r>
        <w:rPr>
          <w:rFonts w:hint="eastAsia" w:ascii="仿宋" w:hAnsi="仿宋" w:eastAsia="仿宋" w:cs="仿宋"/>
          <w:b w:val="0"/>
          <w:bCs w:val="0"/>
          <w:i w:val="0"/>
          <w:iCs w:val="0"/>
          <w:caps w:val="0"/>
          <w:color w:val="auto"/>
          <w:spacing w:val="0"/>
          <w:sz w:val="32"/>
          <w:szCs w:val="32"/>
          <w:highlight w:val="none"/>
          <w:shd w:val="clear" w:fill="FFFFFF"/>
        </w:rPr>
        <w:t>殊困难精神残疾人提供康复、照护等服务。</w:t>
      </w:r>
    </w:p>
    <w:p>
      <w:pPr>
        <w:keepNext w:val="0"/>
        <w:keepLines w:val="0"/>
        <w:pageBreakBefore w:val="0"/>
        <w:widowControl/>
        <w:kinsoku/>
        <w:wordWrap/>
        <w:overflowPunct/>
        <w:topLinePunct w:val="0"/>
        <w:autoSpaceDE w:val="0"/>
        <w:autoSpaceDN w:val="0"/>
        <w:bidi w:val="0"/>
        <w:adjustRightInd/>
        <w:snapToGrid/>
        <w:spacing w:before="0" w:after="0" w:line="600" w:lineRule="exact"/>
        <w:ind w:left="0" w:leftChars="0" w:right="0" w:firstLine="643" w:firstLineChars="200"/>
        <w:jc w:val="both"/>
        <w:textAlignment w:val="auto"/>
        <w:rPr>
          <w:rFonts w:hint="eastAsia" w:ascii="仿宋" w:hAnsi="仿宋" w:eastAsia="仿宋" w:cs="仿宋"/>
          <w:color w:val="auto"/>
          <w:kern w:val="0"/>
          <w:sz w:val="32"/>
          <w:szCs w:val="32"/>
          <w:highlight w:val="none"/>
        </w:rPr>
      </w:pPr>
      <w:r>
        <w:rPr>
          <w:rFonts w:hint="eastAsia" w:ascii="楷体" w:hAnsi="楷体" w:eastAsia="楷体" w:cs="楷体"/>
          <w:b/>
          <w:bCs/>
          <w:i w:val="0"/>
          <w:iCs w:val="0"/>
          <w:caps w:val="0"/>
          <w:color w:val="auto"/>
          <w:spacing w:val="0"/>
          <w:sz w:val="32"/>
          <w:szCs w:val="32"/>
          <w:highlight w:val="none"/>
          <w:shd w:val="clear" w:fill="FFFFFF"/>
        </w:rPr>
        <w:t>2．提高残疾人保险覆盖率和待遇水平。</w:t>
      </w:r>
      <w:r>
        <w:rPr>
          <w:rFonts w:hint="eastAsia" w:ascii="仿宋" w:hAnsi="仿宋" w:eastAsia="仿宋" w:cs="仿宋"/>
          <w:b w:val="0"/>
          <w:bCs w:val="0"/>
          <w:i w:val="0"/>
          <w:iCs w:val="0"/>
          <w:caps w:val="0"/>
          <w:color w:val="auto"/>
          <w:spacing w:val="0"/>
          <w:sz w:val="32"/>
          <w:szCs w:val="32"/>
          <w:highlight w:val="none"/>
          <w:shd w:val="clear" w:fill="FFFFFF"/>
        </w:rPr>
        <w:t>动员和</w:t>
      </w:r>
      <w:r>
        <w:rPr>
          <w:rFonts w:hint="eastAsia" w:ascii="仿宋" w:hAnsi="仿宋" w:eastAsia="仿宋" w:cs="仿宋"/>
          <w:i w:val="0"/>
          <w:iCs w:val="0"/>
          <w:caps w:val="0"/>
          <w:color w:val="auto"/>
          <w:spacing w:val="0"/>
          <w:sz w:val="32"/>
          <w:szCs w:val="32"/>
          <w:highlight w:val="none"/>
          <w:shd w:val="clear" w:fill="FFFFFF"/>
        </w:rPr>
        <w:t>帮助残疾人按规定参加城乡居民基本医疗保险、基本养老保险，实现应保尽保。落实重度残疾人</w:t>
      </w:r>
      <w:r>
        <w:rPr>
          <w:rFonts w:hint="eastAsia" w:ascii="仿宋" w:hAnsi="仿宋" w:eastAsia="仿宋" w:cs="仿宋"/>
          <w:i w:val="0"/>
          <w:iCs w:val="0"/>
          <w:caps w:val="0"/>
          <w:color w:val="auto"/>
          <w:spacing w:val="0"/>
          <w:sz w:val="32"/>
          <w:szCs w:val="32"/>
          <w:highlight w:val="none"/>
          <w:shd w:val="clear" w:fill="FFFFFF"/>
          <w:lang w:val="en-US" w:eastAsia="zh-CN"/>
        </w:rPr>
        <w:t>保险</w:t>
      </w:r>
      <w:r>
        <w:rPr>
          <w:rFonts w:hint="eastAsia" w:ascii="仿宋" w:hAnsi="仿宋" w:eastAsia="仿宋" w:cs="仿宋"/>
          <w:i w:val="0"/>
          <w:iCs w:val="0"/>
          <w:caps w:val="0"/>
          <w:color w:val="auto"/>
          <w:spacing w:val="0"/>
          <w:sz w:val="32"/>
          <w:szCs w:val="32"/>
          <w:highlight w:val="none"/>
          <w:shd w:val="clear" w:fill="FFFFFF"/>
        </w:rPr>
        <w:t>全额代缴政策，其他符合条件的残疾人按政策予以部分代缴。落实职工基本养老保险参保人员病残津贴政策。落实好29项纳入基本医保支付范围的残疾人医疗康复项目政策，按规定做好重</w:t>
      </w:r>
      <w:r>
        <w:rPr>
          <w:rFonts w:hint="eastAsia" w:ascii="仿宋" w:hAnsi="仿宋" w:eastAsia="仿宋" w:cs="仿宋"/>
          <w:i w:val="0"/>
          <w:iCs w:val="0"/>
          <w:caps w:val="0"/>
          <w:color w:val="auto"/>
          <w:spacing w:val="0"/>
          <w:sz w:val="32"/>
          <w:szCs w:val="32"/>
          <w:highlight w:val="none"/>
          <w:shd w:val="clear" w:fill="FFFFFF"/>
          <w:lang w:val="en-US" w:eastAsia="zh-CN"/>
        </w:rPr>
        <w:t>度</w:t>
      </w:r>
      <w:r>
        <w:rPr>
          <w:rFonts w:hint="eastAsia" w:ascii="仿宋" w:hAnsi="仿宋" w:eastAsia="仿宋" w:cs="仿宋"/>
          <w:i w:val="0"/>
          <w:iCs w:val="0"/>
          <w:caps w:val="0"/>
          <w:color w:val="auto"/>
          <w:spacing w:val="0"/>
          <w:sz w:val="32"/>
          <w:szCs w:val="32"/>
          <w:highlight w:val="none"/>
          <w:shd w:val="clear" w:fill="FFFFFF"/>
        </w:rPr>
        <w:t>精神病药物维持治疗参保患者门诊保障工作。支持就业残疾人依法参加失业保险，享受失业保险待遇。推进用人单位依法参加工伤保险，按规定支付工伤保险待遇，加强工伤预防和工伤职工康复工作。推动为残疾儿童</w:t>
      </w:r>
      <w:r>
        <w:rPr>
          <w:rFonts w:hint="eastAsia" w:ascii="仿宋" w:hAnsi="仿宋" w:eastAsia="仿宋" w:cs="仿宋"/>
          <w:i w:val="0"/>
          <w:iCs w:val="0"/>
          <w:caps w:val="0"/>
          <w:color w:val="auto"/>
          <w:spacing w:val="0"/>
          <w:sz w:val="32"/>
          <w:szCs w:val="32"/>
          <w:highlight w:val="none"/>
          <w:shd w:val="clear" w:fill="FFFFFF"/>
          <w:lang w:val="en-US" w:eastAsia="zh-CN"/>
        </w:rPr>
        <w:t>和</w:t>
      </w:r>
      <w:r>
        <w:rPr>
          <w:rFonts w:hint="eastAsia" w:ascii="仿宋" w:hAnsi="仿宋" w:eastAsia="仿宋" w:cs="仿宋"/>
          <w:i w:val="0"/>
          <w:iCs w:val="0"/>
          <w:caps w:val="0"/>
          <w:color w:val="auto"/>
          <w:spacing w:val="0"/>
          <w:sz w:val="32"/>
          <w:szCs w:val="32"/>
          <w:highlight w:val="none"/>
          <w:shd w:val="clear" w:fill="FFFFFF"/>
        </w:rPr>
        <w:t>康复救助定点服务机构购买在训儿童意外伤害保险</w:t>
      </w:r>
      <w:r>
        <w:rPr>
          <w:rFonts w:hint="eastAsia" w:ascii="仿宋" w:hAnsi="仿宋" w:eastAsia="仿宋" w:cs="仿宋"/>
          <w:i w:val="0"/>
          <w:iCs w:val="0"/>
          <w:caps w:val="0"/>
          <w:color w:val="auto"/>
          <w:spacing w:val="0"/>
          <w:sz w:val="32"/>
          <w:szCs w:val="32"/>
          <w:highlight w:val="none"/>
          <w:shd w:val="clear" w:fill="FFFFFF"/>
          <w:lang w:val="en-US" w:eastAsia="zh-CN"/>
        </w:rPr>
        <w:t>、</w:t>
      </w:r>
      <w:r>
        <w:rPr>
          <w:rFonts w:hint="eastAsia" w:ascii="仿宋" w:hAnsi="仿宋" w:eastAsia="仿宋" w:cs="仿宋"/>
          <w:i w:val="0"/>
          <w:iCs w:val="0"/>
          <w:caps w:val="0"/>
          <w:color w:val="auto"/>
          <w:spacing w:val="0"/>
          <w:sz w:val="32"/>
          <w:szCs w:val="32"/>
          <w:highlight w:val="none"/>
          <w:shd w:val="clear" w:fill="FFFFFF"/>
        </w:rPr>
        <w:t>责任保险工作。</w:t>
      </w:r>
      <w:r>
        <w:rPr>
          <w:rFonts w:hint="eastAsia" w:ascii="仿宋" w:hAnsi="仿宋" w:eastAsia="仿宋" w:cs="仿宋"/>
          <w:color w:val="auto"/>
          <w:kern w:val="0"/>
          <w:sz w:val="32"/>
          <w:szCs w:val="32"/>
          <w:highlight w:val="none"/>
        </w:rPr>
        <w:t>积极探索现金、实物与提供服务相结合的临时救助方式，加强各项救助制度的衔接配套，形成临时救助与其他社会救助措施各有侧重、相互衔接、良性互动的运行机制。</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val="0"/>
        <w:autoSpaceDN w:val="0"/>
        <w:bidi w:val="0"/>
        <w:adjustRightInd/>
        <w:snapToGrid/>
        <w:spacing w:before="0" w:beforeAutospacing="0" w:after="0" w:afterAutospacing="0" w:line="600" w:lineRule="exact"/>
        <w:ind w:left="0" w:leftChars="0" w:right="0" w:firstLine="643" w:firstLineChars="200"/>
        <w:jc w:val="both"/>
        <w:textAlignment w:val="auto"/>
        <w:rPr>
          <w:rFonts w:hint="eastAsia" w:ascii="仿宋" w:hAnsi="仿宋" w:eastAsia="仿宋" w:cs="仿宋"/>
          <w:b w:val="0"/>
          <w:bCs w:val="0"/>
          <w:i w:val="0"/>
          <w:iCs w:val="0"/>
          <w:caps w:val="0"/>
          <w:color w:val="auto"/>
          <w:spacing w:val="0"/>
          <w:sz w:val="32"/>
          <w:szCs w:val="32"/>
          <w:highlight w:val="none"/>
        </w:rPr>
      </w:pPr>
      <w:r>
        <w:rPr>
          <w:rFonts w:hint="eastAsia" w:ascii="楷体" w:hAnsi="楷体" w:eastAsia="楷体" w:cs="楷体"/>
          <w:b/>
          <w:bCs/>
          <w:i w:val="0"/>
          <w:iCs w:val="0"/>
          <w:caps w:val="0"/>
          <w:color w:val="auto"/>
          <w:spacing w:val="0"/>
          <w:sz w:val="32"/>
          <w:szCs w:val="32"/>
          <w:highlight w:val="none"/>
          <w:shd w:val="clear" w:fill="FFFFFF"/>
          <w:lang w:val="en-US" w:eastAsia="zh-CN"/>
        </w:rPr>
        <w:t>3.</w:t>
      </w:r>
      <w:r>
        <w:rPr>
          <w:rFonts w:hint="eastAsia" w:ascii="楷体" w:hAnsi="楷体" w:eastAsia="楷体" w:cs="楷体"/>
          <w:b/>
          <w:bCs/>
          <w:i w:val="0"/>
          <w:iCs w:val="0"/>
          <w:caps w:val="0"/>
          <w:color w:val="auto"/>
          <w:spacing w:val="0"/>
          <w:sz w:val="32"/>
          <w:szCs w:val="32"/>
          <w:highlight w:val="none"/>
          <w:shd w:val="clear" w:fill="FFFFFF"/>
        </w:rPr>
        <w:t>构建多层次残疾人社会救助体系。</w:t>
      </w:r>
      <w:r>
        <w:rPr>
          <w:rFonts w:hint="eastAsia" w:ascii="仿宋" w:hAnsi="仿宋" w:eastAsia="仿宋" w:cs="仿宋"/>
          <w:b w:val="0"/>
          <w:bCs w:val="0"/>
          <w:i w:val="0"/>
          <w:iCs w:val="0"/>
          <w:caps w:val="0"/>
          <w:color w:val="auto"/>
          <w:spacing w:val="0"/>
          <w:sz w:val="32"/>
          <w:szCs w:val="32"/>
          <w:highlight w:val="none"/>
          <w:shd w:val="clear" w:fill="FFFFFF"/>
        </w:rPr>
        <w:t>为符合</w:t>
      </w:r>
      <w:r>
        <w:rPr>
          <w:rFonts w:hint="eastAsia" w:ascii="仿宋" w:hAnsi="仿宋" w:eastAsia="仿宋" w:cs="仿宋"/>
          <w:i w:val="0"/>
          <w:iCs w:val="0"/>
          <w:caps w:val="0"/>
          <w:color w:val="auto"/>
          <w:spacing w:val="0"/>
          <w:sz w:val="32"/>
          <w:szCs w:val="32"/>
          <w:highlight w:val="none"/>
          <w:shd w:val="clear" w:fill="FFFFFF"/>
        </w:rPr>
        <w:t>条件的残疾人和残疾人家庭提供特困人员救助供养或最低生活保障。提升特困供养服务机构（敬老院）对残疾特困人员的照护服务能力，提高失能、半失能残疾特困人员的集中供养率，落实分散供养残疾特困人员的照料服务责任。加强对生活无着流浪乞讨残疾人的救助安置和寻亲服务。做好对符合条件残疾人的医疗救助，强化医疗救助与基本医疗保险、大病保险的互补衔接，减轻困难残疾人医疗费用负担。加强临时救助，在重特大自然灾害、重大疫情等突发公共事件中做好对困难残疾人的急难救助。保障残疾人基本住房安全便利。持续支持符合条件的农村残疾人家庭实施危房改造，对符合条件的城</w:t>
      </w:r>
      <w:r>
        <w:rPr>
          <w:rFonts w:hint="eastAsia" w:ascii="仿宋" w:hAnsi="仿宋" w:eastAsia="仿宋" w:cs="仿宋"/>
          <w:b w:val="0"/>
          <w:bCs w:val="0"/>
          <w:i w:val="0"/>
          <w:iCs w:val="0"/>
          <w:caps w:val="0"/>
          <w:color w:val="auto"/>
          <w:spacing w:val="0"/>
          <w:sz w:val="32"/>
          <w:szCs w:val="32"/>
          <w:highlight w:val="none"/>
          <w:shd w:val="clear" w:fill="FFFFFF"/>
        </w:rPr>
        <w:t>镇残疾人家庭优先配租公租房，不断改善残疾人居住条件。</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val="0"/>
        <w:autoSpaceDN w:val="0"/>
        <w:bidi w:val="0"/>
        <w:adjustRightInd/>
        <w:snapToGrid/>
        <w:spacing w:before="0" w:beforeAutospacing="0" w:after="0" w:afterAutospacing="0" w:line="600" w:lineRule="exact"/>
        <w:ind w:left="0" w:leftChars="0" w:right="0" w:firstLine="643" w:firstLineChars="200"/>
        <w:jc w:val="both"/>
        <w:textAlignment w:val="auto"/>
        <w:rPr>
          <w:rFonts w:hint="eastAsia" w:ascii="仿宋" w:hAnsi="仿宋" w:eastAsia="仿宋" w:cs="仿宋"/>
          <w:i w:val="0"/>
          <w:iCs w:val="0"/>
          <w:caps w:val="0"/>
          <w:color w:val="auto"/>
          <w:spacing w:val="0"/>
          <w:sz w:val="32"/>
          <w:szCs w:val="32"/>
          <w:highlight w:val="none"/>
        </w:rPr>
      </w:pPr>
      <w:r>
        <w:rPr>
          <w:rFonts w:hint="eastAsia" w:ascii="楷体" w:hAnsi="楷体" w:eastAsia="楷体" w:cs="楷体"/>
          <w:b/>
          <w:bCs/>
          <w:i w:val="0"/>
          <w:iCs w:val="0"/>
          <w:caps w:val="0"/>
          <w:color w:val="auto"/>
          <w:spacing w:val="0"/>
          <w:sz w:val="32"/>
          <w:szCs w:val="32"/>
          <w:highlight w:val="none"/>
          <w:shd w:val="clear" w:fill="FFFFFF"/>
          <w:lang w:val="en-US" w:eastAsia="zh-CN"/>
        </w:rPr>
        <w:t>4</w:t>
      </w:r>
      <w:r>
        <w:rPr>
          <w:rFonts w:hint="eastAsia" w:ascii="楷体" w:hAnsi="楷体" w:eastAsia="楷体" w:cs="楷体"/>
          <w:b/>
          <w:bCs/>
          <w:i w:val="0"/>
          <w:iCs w:val="0"/>
          <w:caps w:val="0"/>
          <w:color w:val="auto"/>
          <w:spacing w:val="0"/>
          <w:sz w:val="32"/>
          <w:szCs w:val="32"/>
          <w:highlight w:val="none"/>
          <w:shd w:val="clear" w:fill="FFFFFF"/>
        </w:rPr>
        <w:t>．提升残疾人托养和照护服务水平。</w:t>
      </w:r>
      <w:r>
        <w:rPr>
          <w:rFonts w:hint="eastAsia" w:ascii="仿宋" w:hAnsi="仿宋" w:eastAsia="仿宋" w:cs="仿宋"/>
          <w:b w:val="0"/>
          <w:bCs w:val="0"/>
          <w:i w:val="0"/>
          <w:iCs w:val="0"/>
          <w:caps w:val="0"/>
          <w:color w:val="auto"/>
          <w:spacing w:val="0"/>
          <w:sz w:val="32"/>
          <w:szCs w:val="32"/>
          <w:highlight w:val="none"/>
          <w:shd w:val="clear" w:fill="FFFFFF"/>
        </w:rPr>
        <w:t>积极发</w:t>
      </w:r>
      <w:r>
        <w:rPr>
          <w:rFonts w:hint="eastAsia" w:ascii="仿宋" w:hAnsi="仿宋" w:eastAsia="仿宋" w:cs="仿宋"/>
          <w:i w:val="0"/>
          <w:iCs w:val="0"/>
          <w:caps w:val="0"/>
          <w:color w:val="auto"/>
          <w:spacing w:val="0"/>
          <w:sz w:val="32"/>
          <w:szCs w:val="32"/>
          <w:highlight w:val="none"/>
          <w:shd w:val="clear" w:fill="FFFFFF"/>
        </w:rPr>
        <w:t>展服务类社会救助，探索推动残疾人长期照护服务。继续实施“阳光家园计划”，建立托养服务多元投入机制，落实托养服务机构扶持政策，完善托养服务补贴制度，加强托养服务专业人才培养。依托村（居）委会、社工站、助残社会组织等对低收入重度残疾人家庭开展经常性探视、探访。研究制定低收入重度残疾人照护服务政策措施，为符合条件的重度残疾人提供集中照护、日间照料、居家服务、邻里互助等多种形式的社会化照护服务。</w:t>
      </w:r>
    </w:p>
    <w:tbl>
      <w:tblPr>
        <w:tblStyle w:val="13"/>
        <w:tblW w:w="0" w:type="auto"/>
        <w:tblInd w:w="16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9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8914" w:type="dxa"/>
          </w:tcPr>
          <w:p>
            <w:pPr>
              <w:pageBreakBefore w:val="0"/>
              <w:kinsoku/>
              <w:wordWrap/>
              <w:overflowPunct/>
              <w:topLinePunct w:val="0"/>
              <w:bidi w:val="0"/>
              <w:spacing w:before="0" w:after="0" w:line="600" w:lineRule="exact"/>
              <w:ind w:left="0" w:leftChars="0" w:right="0"/>
              <w:jc w:val="center"/>
              <w:textAlignment w:val="auto"/>
              <w:rPr>
                <w:rFonts w:hint="eastAsia" w:ascii="仿宋" w:hAnsi="仿宋" w:eastAsia="仿宋"/>
                <w:b/>
                <w:sz w:val="28"/>
                <w:szCs w:val="28"/>
                <w:highlight w:val="none"/>
              </w:rPr>
            </w:pPr>
            <w:r>
              <w:rPr>
                <w:rFonts w:hint="eastAsia" w:ascii="仿宋" w:hAnsi="仿宋" w:eastAsia="仿宋"/>
                <w:b/>
                <w:sz w:val="28"/>
                <w:szCs w:val="28"/>
                <w:highlight w:val="none"/>
              </w:rPr>
              <w:t>专栏</w:t>
            </w:r>
            <w:r>
              <w:rPr>
                <w:rFonts w:hint="eastAsia" w:ascii="仿宋" w:hAnsi="仿宋" w:eastAsia="仿宋"/>
                <w:b/>
                <w:sz w:val="28"/>
                <w:szCs w:val="28"/>
                <w:highlight w:val="none"/>
                <w:lang w:val="en-US" w:eastAsia="zh-CN"/>
              </w:rPr>
              <w:t>2</w:t>
            </w:r>
            <w:r>
              <w:rPr>
                <w:rFonts w:hint="eastAsia" w:ascii="仿宋" w:hAnsi="仿宋" w:eastAsia="仿宋"/>
                <w:b/>
                <w:sz w:val="28"/>
                <w:szCs w:val="28"/>
                <w:highlight w:val="none"/>
              </w:rPr>
              <w:t>：残疾人社会保障重点项目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0" w:hRule="atLeast"/>
        </w:trPr>
        <w:tc>
          <w:tcPr>
            <w:tcW w:w="8914" w:type="dxa"/>
          </w:tcPr>
          <w:p>
            <w:pPr>
              <w:pageBreakBefore w:val="0"/>
              <w:kinsoku/>
              <w:wordWrap/>
              <w:overflowPunct/>
              <w:topLinePunct w:val="0"/>
              <w:bidi w:val="0"/>
              <w:spacing w:before="0" w:after="0" w:line="600" w:lineRule="exact"/>
              <w:ind w:left="0" w:leftChars="0" w:right="0" w:firstLine="482" w:firstLineChars="200"/>
              <w:textAlignment w:val="auto"/>
              <w:rPr>
                <w:rFonts w:ascii="仿宋" w:hAnsi="仿宋" w:eastAsia="仿宋" w:cs="Times New Roman"/>
                <w:bCs/>
                <w:kern w:val="0"/>
                <w:sz w:val="24"/>
                <w:szCs w:val="24"/>
              </w:rPr>
            </w:pPr>
            <w:r>
              <w:rPr>
                <w:rFonts w:ascii="仿宋" w:hAnsi="仿宋" w:eastAsia="仿宋" w:cs="Times New Roman"/>
                <w:b/>
                <w:kern w:val="0"/>
                <w:sz w:val="24"/>
                <w:szCs w:val="24"/>
              </w:rPr>
              <w:t>1.强化残疾人社会保险。</w:t>
            </w:r>
            <w:r>
              <w:rPr>
                <w:rFonts w:ascii="仿宋" w:hAnsi="仿宋" w:eastAsia="仿宋" w:cs="Times New Roman"/>
                <w:bCs/>
                <w:kern w:val="0"/>
                <w:sz w:val="24"/>
                <w:szCs w:val="24"/>
              </w:rPr>
              <w:t>落实重度残疾人城乡居民基本养老保险补贴政策, 低收入残疾人纳入城乡居民基本养老保险、基本医疗保险政府补贴对象,按规定 适时调整医保残疾人医疗项目报销范围。</w:t>
            </w:r>
          </w:p>
          <w:p>
            <w:pPr>
              <w:pageBreakBefore w:val="0"/>
              <w:kinsoku/>
              <w:wordWrap/>
              <w:overflowPunct/>
              <w:topLinePunct w:val="0"/>
              <w:bidi w:val="0"/>
              <w:spacing w:before="0" w:after="0" w:line="600" w:lineRule="exact"/>
              <w:ind w:left="0" w:leftChars="0" w:right="0" w:firstLine="482" w:firstLineChars="200"/>
              <w:textAlignment w:val="auto"/>
              <w:rPr>
                <w:rFonts w:ascii="仿宋" w:hAnsi="仿宋" w:eastAsia="仿宋" w:cs="Times New Roman"/>
                <w:bCs/>
                <w:kern w:val="0"/>
                <w:sz w:val="24"/>
                <w:szCs w:val="24"/>
              </w:rPr>
            </w:pPr>
            <w:r>
              <w:rPr>
                <w:rFonts w:ascii="仿宋" w:hAnsi="仿宋" w:eastAsia="仿宋" w:cs="Times New Roman"/>
                <w:b/>
                <w:kern w:val="0"/>
                <w:sz w:val="24"/>
                <w:szCs w:val="24"/>
              </w:rPr>
              <w:t>2.残疾人低保提标项目。</w:t>
            </w:r>
            <w:r>
              <w:rPr>
                <w:rFonts w:ascii="仿宋" w:hAnsi="仿宋" w:eastAsia="仿宋" w:cs="Times New Roman"/>
                <w:bCs/>
                <w:kern w:val="0"/>
                <w:sz w:val="24"/>
                <w:szCs w:val="24"/>
              </w:rPr>
              <w:t>纳入最低生活保障范围的重度残疾人按当地城乡最低生活保障类别最高档予以保障;逐步提高享受最低生活保障三级、四级残疾人实际救助保障水平。</w:t>
            </w:r>
          </w:p>
          <w:p>
            <w:pPr>
              <w:pageBreakBefore w:val="0"/>
              <w:kinsoku/>
              <w:wordWrap/>
              <w:overflowPunct/>
              <w:topLinePunct w:val="0"/>
              <w:bidi w:val="0"/>
              <w:spacing w:before="0" w:after="0" w:line="600" w:lineRule="exact"/>
              <w:ind w:left="0" w:leftChars="0" w:right="0" w:firstLine="482" w:firstLineChars="200"/>
              <w:textAlignment w:val="auto"/>
              <w:rPr>
                <w:rFonts w:hint="eastAsia" w:ascii="仿宋" w:hAnsi="仿宋" w:eastAsia="仿宋"/>
                <w:bCs/>
                <w:sz w:val="24"/>
                <w:szCs w:val="24"/>
                <w:highlight w:val="none"/>
              </w:rPr>
            </w:pPr>
            <w:r>
              <w:rPr>
                <w:rFonts w:ascii="仿宋" w:hAnsi="仿宋" w:eastAsia="仿宋" w:cs="Times New Roman"/>
                <w:b/>
                <w:kern w:val="0"/>
                <w:sz w:val="24"/>
                <w:szCs w:val="24"/>
              </w:rPr>
              <w:t>3.残疾人意外伤害保险。</w:t>
            </w:r>
            <w:r>
              <w:rPr>
                <w:rFonts w:ascii="仿宋" w:hAnsi="仿宋" w:eastAsia="仿宋" w:cs="Times New Roman"/>
                <w:bCs/>
                <w:kern w:val="0"/>
                <w:sz w:val="24"/>
                <w:szCs w:val="24"/>
              </w:rPr>
              <w:t>为就业年龄段的残疾人每人每年购买50元的意外伤害保险。</w:t>
            </w:r>
          </w:p>
        </w:tc>
      </w:tr>
    </w:tbl>
    <w:p>
      <w:pPr>
        <w:pStyle w:val="4"/>
        <w:pageBreakBefore w:val="0"/>
        <w:kinsoku/>
        <w:wordWrap/>
        <w:overflowPunct/>
        <w:topLinePunct w:val="0"/>
        <w:bidi w:val="0"/>
        <w:spacing w:before="0" w:beforeLines="0" w:after="0" w:afterLines="0" w:line="600" w:lineRule="exact"/>
        <w:ind w:left="0" w:leftChars="0" w:right="0"/>
        <w:textAlignment w:val="auto"/>
        <w:rPr>
          <w:rFonts w:hint="eastAsia"/>
        </w:rPr>
      </w:pPr>
      <w:bookmarkStart w:id="18" w:name="_Toc27653"/>
      <w:r>
        <w:rPr>
          <w:rFonts w:hint="eastAsia"/>
        </w:rPr>
        <w:t>（三）帮扶城乡残疾人就业创业，促进残疾人自我发展</w:t>
      </w:r>
      <w:bookmarkEnd w:id="18"/>
    </w:p>
    <w:p>
      <w:pPr>
        <w:keepNext w:val="0"/>
        <w:keepLines w:val="0"/>
        <w:pageBreakBefore w:val="0"/>
        <w:widowControl/>
        <w:kinsoku/>
        <w:wordWrap/>
        <w:overflowPunct/>
        <w:topLinePunct w:val="0"/>
        <w:autoSpaceDE w:val="0"/>
        <w:autoSpaceDN w:val="0"/>
        <w:bidi w:val="0"/>
        <w:adjustRightInd/>
        <w:snapToGrid/>
        <w:spacing w:before="0" w:after="0" w:line="600" w:lineRule="exact"/>
        <w:ind w:left="0" w:leftChars="0" w:right="0" w:firstLine="643" w:firstLineChars="200"/>
        <w:jc w:val="both"/>
        <w:textAlignment w:val="auto"/>
        <w:rPr>
          <w:rFonts w:hint="eastAsia" w:ascii="仿宋" w:hAnsi="仿宋" w:eastAsia="仿宋" w:cs="仿宋"/>
          <w:b w:val="0"/>
          <w:bCs w:val="0"/>
          <w:i w:val="0"/>
          <w:iCs w:val="0"/>
          <w:caps w:val="0"/>
          <w:color w:val="auto"/>
          <w:spacing w:val="0"/>
          <w:sz w:val="32"/>
          <w:szCs w:val="32"/>
          <w:highlight w:val="none"/>
        </w:rPr>
      </w:pPr>
      <w:r>
        <w:rPr>
          <w:rFonts w:hint="eastAsia" w:ascii="仿宋" w:hAnsi="仿宋" w:eastAsia="仿宋" w:cs="仿宋"/>
          <w:b/>
          <w:bCs/>
          <w:i w:val="0"/>
          <w:iCs w:val="0"/>
          <w:caps w:val="0"/>
          <w:color w:val="auto"/>
          <w:spacing w:val="0"/>
          <w:sz w:val="32"/>
          <w:szCs w:val="32"/>
          <w:highlight w:val="none"/>
          <w:shd w:val="clear" w:fill="FFFFFF"/>
        </w:rPr>
        <w:t>1．加大残疾人就业保障力度。</w:t>
      </w:r>
      <w:r>
        <w:rPr>
          <w:rFonts w:hint="eastAsia" w:ascii="仿宋" w:hAnsi="仿宋" w:eastAsia="仿宋" w:cs="仿宋"/>
          <w:b w:val="0"/>
          <w:bCs w:val="0"/>
          <w:i w:val="0"/>
          <w:iCs w:val="0"/>
          <w:caps w:val="0"/>
          <w:color w:val="auto"/>
          <w:spacing w:val="0"/>
          <w:sz w:val="32"/>
          <w:szCs w:val="32"/>
          <w:highlight w:val="none"/>
          <w:shd w:val="clear" w:fill="FFFFFF"/>
        </w:rPr>
        <w:t>贯彻</w:t>
      </w:r>
      <w:r>
        <w:rPr>
          <w:rFonts w:hint="eastAsia" w:ascii="仿宋" w:hAnsi="仿宋" w:eastAsia="仿宋" w:cs="仿宋"/>
          <w:i w:val="0"/>
          <w:iCs w:val="0"/>
          <w:caps w:val="0"/>
          <w:color w:val="auto"/>
          <w:spacing w:val="0"/>
          <w:sz w:val="32"/>
          <w:szCs w:val="32"/>
          <w:highlight w:val="none"/>
          <w:shd w:val="clear" w:fill="FFFFFF"/>
        </w:rPr>
        <w:t>落实《残疾人就业条例》，完善促进残疾人就业的配套政策。</w:t>
      </w:r>
      <w:r>
        <w:rPr>
          <w:rFonts w:hint="eastAsia" w:ascii="仿宋" w:hAnsi="仿宋" w:eastAsia="仿宋" w:cs="仿宋"/>
          <w:color w:val="auto"/>
          <w:kern w:val="0"/>
          <w:sz w:val="32"/>
          <w:szCs w:val="32"/>
          <w:highlight w:val="none"/>
        </w:rPr>
        <w:t>依法推进按比例就业和集中就业，完善就业</w:t>
      </w:r>
      <w:r>
        <w:rPr>
          <w:rFonts w:hint="eastAsia" w:ascii="仿宋" w:hAnsi="仿宋" w:eastAsia="仿宋" w:cs="仿宋"/>
          <w:color w:val="auto"/>
          <w:sz w:val="32"/>
          <w:szCs w:val="32"/>
          <w:highlight w:val="none"/>
        </w:rPr>
        <w:fldChar w:fldCharType="begin"/>
      </w:r>
      <w:r>
        <w:rPr>
          <w:rFonts w:hint="eastAsia" w:ascii="仿宋" w:hAnsi="仿宋" w:eastAsia="仿宋" w:cs="仿宋"/>
          <w:color w:val="auto"/>
          <w:sz w:val="32"/>
          <w:szCs w:val="32"/>
          <w:highlight w:val="none"/>
        </w:rPr>
        <w:instrText xml:space="preserve"> HYPERLINK "http://www.mswk.cn/Article/Special/fuping/Index.html" </w:instrText>
      </w:r>
      <w:r>
        <w:rPr>
          <w:rFonts w:hint="eastAsia" w:ascii="仿宋" w:hAnsi="仿宋" w:eastAsia="仿宋" w:cs="仿宋"/>
          <w:color w:val="auto"/>
          <w:sz w:val="32"/>
          <w:szCs w:val="32"/>
          <w:highlight w:val="none"/>
        </w:rPr>
        <w:fldChar w:fldCharType="separate"/>
      </w:r>
      <w:r>
        <w:rPr>
          <w:rStyle w:val="15"/>
          <w:rFonts w:hint="eastAsia" w:ascii="仿宋" w:hAnsi="仿宋" w:eastAsia="仿宋" w:cs="仿宋"/>
          <w:color w:val="auto"/>
          <w:kern w:val="0"/>
          <w:sz w:val="32"/>
          <w:szCs w:val="32"/>
          <w:highlight w:val="none"/>
          <w:u w:val="none"/>
        </w:rPr>
        <w:t>帮扶</w:t>
      </w:r>
      <w:r>
        <w:rPr>
          <w:rStyle w:val="15"/>
          <w:rFonts w:hint="eastAsia" w:ascii="仿宋" w:hAnsi="仿宋" w:eastAsia="仿宋" w:cs="仿宋"/>
          <w:color w:val="auto"/>
          <w:kern w:val="0"/>
          <w:sz w:val="32"/>
          <w:szCs w:val="32"/>
          <w:highlight w:val="none"/>
          <w:u w:val="none"/>
        </w:rPr>
        <w:fldChar w:fldCharType="end"/>
      </w:r>
      <w:r>
        <w:rPr>
          <w:rFonts w:hint="eastAsia" w:ascii="仿宋" w:hAnsi="仿宋" w:eastAsia="仿宋" w:cs="仿宋"/>
          <w:color w:val="auto"/>
          <w:kern w:val="0"/>
          <w:sz w:val="32"/>
          <w:szCs w:val="32"/>
          <w:highlight w:val="none"/>
        </w:rPr>
        <w:t>政策，健全就业服务网络，推进就业信息资源共享，稳定就业规模，切实保障残疾人就业权益，实现残疾人充分就业。加强就业服务，进一步促进资源汇聚，支持和扶助残疾人就业。继续提高残疾人职业技能，激发他们就业创业活力。开发适合残疾人的社区公益岗位，持续促进残疾人及其家庭就业增</w:t>
      </w:r>
      <w:r>
        <w:rPr>
          <w:rFonts w:hint="eastAsia" w:ascii="仿宋" w:hAnsi="仿宋" w:eastAsia="仿宋" w:cs="仿宋"/>
          <w:b w:val="0"/>
          <w:bCs w:val="0"/>
          <w:color w:val="auto"/>
          <w:kern w:val="0"/>
          <w:sz w:val="32"/>
          <w:szCs w:val="32"/>
          <w:highlight w:val="none"/>
        </w:rPr>
        <w:t>收。</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val="0"/>
        <w:autoSpaceDN w:val="0"/>
        <w:bidi w:val="0"/>
        <w:adjustRightInd/>
        <w:snapToGrid/>
        <w:spacing w:before="0" w:beforeAutospacing="0" w:after="0" w:afterAutospacing="0" w:line="600" w:lineRule="exact"/>
        <w:ind w:left="0" w:leftChars="0" w:right="0" w:firstLine="643" w:firstLineChars="200"/>
        <w:jc w:val="both"/>
        <w:textAlignment w:val="auto"/>
        <w:rPr>
          <w:rFonts w:hint="eastAsia" w:ascii="仿宋" w:hAnsi="仿宋" w:eastAsia="仿宋" w:cs="仿宋"/>
          <w:b w:val="0"/>
          <w:bCs w:val="0"/>
          <w:i w:val="0"/>
          <w:iCs w:val="0"/>
          <w:caps w:val="0"/>
          <w:color w:val="auto"/>
          <w:spacing w:val="0"/>
          <w:sz w:val="32"/>
          <w:szCs w:val="32"/>
          <w:highlight w:val="none"/>
        </w:rPr>
      </w:pPr>
      <w:r>
        <w:rPr>
          <w:rFonts w:hint="eastAsia" w:ascii="仿宋" w:hAnsi="仿宋" w:eastAsia="仿宋" w:cs="仿宋"/>
          <w:b/>
          <w:bCs/>
          <w:i w:val="0"/>
          <w:iCs w:val="0"/>
          <w:caps w:val="0"/>
          <w:color w:val="auto"/>
          <w:spacing w:val="0"/>
          <w:sz w:val="32"/>
          <w:szCs w:val="32"/>
          <w:highlight w:val="none"/>
          <w:shd w:val="clear" w:fill="FFFFFF"/>
        </w:rPr>
        <w:t>2．畅通残疾人就业创业渠道。</w:t>
      </w:r>
      <w:r>
        <w:rPr>
          <w:rFonts w:hint="eastAsia" w:ascii="仿宋" w:hAnsi="仿宋" w:eastAsia="仿宋" w:cs="仿宋"/>
          <w:b w:val="0"/>
          <w:bCs w:val="0"/>
          <w:i w:val="0"/>
          <w:iCs w:val="0"/>
          <w:caps w:val="0"/>
          <w:color w:val="auto"/>
          <w:spacing w:val="0"/>
          <w:sz w:val="32"/>
          <w:szCs w:val="32"/>
          <w:highlight w:val="none"/>
          <w:shd w:val="clear" w:fill="FFFFFF"/>
        </w:rPr>
        <w:t>实施“点亮万家灯火”托底帮扶残疾人就业行动。落实税收优惠、社会保险补贴、职业培训补贴、场地设备、金融信贷等方面的残疾人就业扶持政策。发挥公益性岗位优先就业功能，加大就业岗位开发力度，鼓励用人单位多形式吸纳残疾人就业，对超比例安排残疾人就业的用人单位给予奖励。落实《机关、事业单位、国有企业带头安排残疾人就业办法》。符合条件的残疾人福利性单位参加政府采购时，享受预留份额、评审中价格扣除等优惠政策。在政府采购平台设立残疾人福利性单位产品专栏。开发残疾人灵活就业项目，鼓励残疾人参与网络零售、云客服、直播带货、物流快递、小店经济、自媒体等新就业形态，支持残疾人从事手工制作等就业创业项目。扶持残疾人自主创业。</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val="0"/>
        <w:autoSpaceDN w:val="0"/>
        <w:bidi w:val="0"/>
        <w:adjustRightInd/>
        <w:snapToGrid/>
        <w:spacing w:before="0" w:beforeAutospacing="0" w:after="0" w:afterAutospacing="0" w:line="600" w:lineRule="exact"/>
        <w:ind w:left="0" w:leftChars="0" w:right="0" w:firstLine="643" w:firstLineChars="200"/>
        <w:jc w:val="both"/>
        <w:textAlignment w:val="auto"/>
        <w:rPr>
          <w:rFonts w:hint="eastAsia" w:ascii="仿宋" w:hAnsi="仿宋" w:eastAsia="仿宋" w:cs="仿宋"/>
          <w:i w:val="0"/>
          <w:iCs w:val="0"/>
          <w:caps w:val="0"/>
          <w:color w:val="auto"/>
          <w:spacing w:val="0"/>
          <w:sz w:val="32"/>
          <w:szCs w:val="32"/>
          <w:highlight w:val="none"/>
        </w:rPr>
      </w:pPr>
      <w:r>
        <w:rPr>
          <w:rFonts w:hint="eastAsia" w:ascii="仿宋" w:hAnsi="仿宋" w:eastAsia="仿宋" w:cs="仿宋"/>
          <w:b/>
          <w:bCs/>
          <w:i w:val="0"/>
          <w:iCs w:val="0"/>
          <w:caps w:val="0"/>
          <w:color w:val="auto"/>
          <w:spacing w:val="0"/>
          <w:sz w:val="32"/>
          <w:szCs w:val="32"/>
          <w:highlight w:val="none"/>
          <w:shd w:val="clear" w:fill="FFFFFF"/>
        </w:rPr>
        <w:t> 3．提升残疾人就业创业能力。</w:t>
      </w:r>
      <w:r>
        <w:rPr>
          <w:rFonts w:hint="eastAsia" w:ascii="仿宋" w:hAnsi="仿宋" w:eastAsia="仿宋" w:cs="仿宋"/>
          <w:b w:val="0"/>
          <w:bCs w:val="0"/>
          <w:i w:val="0"/>
          <w:iCs w:val="0"/>
          <w:caps w:val="0"/>
          <w:color w:val="auto"/>
          <w:spacing w:val="0"/>
          <w:sz w:val="32"/>
          <w:szCs w:val="32"/>
          <w:highlight w:val="none"/>
          <w:shd w:val="clear" w:fill="FFFFFF"/>
        </w:rPr>
        <w:t>制定实</w:t>
      </w:r>
      <w:r>
        <w:rPr>
          <w:rFonts w:hint="eastAsia" w:ascii="仿宋" w:hAnsi="仿宋" w:eastAsia="仿宋" w:cs="仿宋"/>
          <w:i w:val="0"/>
          <w:iCs w:val="0"/>
          <w:caps w:val="0"/>
          <w:color w:val="auto"/>
          <w:spacing w:val="0"/>
          <w:sz w:val="32"/>
          <w:szCs w:val="32"/>
          <w:highlight w:val="none"/>
          <w:shd w:val="clear" w:fill="FFFFFF"/>
        </w:rPr>
        <w:t>施新一期</w:t>
      </w:r>
      <w:r>
        <w:rPr>
          <w:rFonts w:hint="eastAsia" w:ascii="仿宋" w:hAnsi="仿宋" w:eastAsia="仿宋" w:cs="仿宋"/>
          <w:i w:val="0"/>
          <w:iCs w:val="0"/>
          <w:caps w:val="0"/>
          <w:color w:val="auto"/>
          <w:spacing w:val="0"/>
          <w:sz w:val="32"/>
          <w:szCs w:val="32"/>
          <w:highlight w:val="none"/>
          <w:shd w:val="clear" w:fill="FFFFFF"/>
          <w:lang w:eastAsia="zh-CN"/>
        </w:rPr>
        <w:t>同心县</w:t>
      </w:r>
      <w:r>
        <w:rPr>
          <w:rFonts w:hint="eastAsia" w:ascii="仿宋" w:hAnsi="仿宋" w:eastAsia="仿宋" w:cs="仿宋"/>
          <w:i w:val="0"/>
          <w:iCs w:val="0"/>
          <w:caps w:val="0"/>
          <w:color w:val="auto"/>
          <w:spacing w:val="0"/>
          <w:sz w:val="32"/>
          <w:szCs w:val="32"/>
          <w:highlight w:val="none"/>
          <w:shd w:val="clear" w:fill="FFFFFF"/>
        </w:rPr>
        <w:t>残疾人职业技能提升计划，帮助有就业愿意和培训需求的残疾人普遍得到相应的职业素质培训、就业技能培训、岗位技能培训和创业培训。加大残疾人职业技能骨干人才培养，支持符合条件的残疾人技能大师建立工作室，支持特色鲜明、就业带动作用明显的非物质文化遗产自强工作坊发展。健全盲人保健按摩服务和技术规范，完善盲人医疗按摩人员执业备案流程和职称评定等有关规定。进一步扶持和规范盲人按摩行业发展，为有需求的盲人按摩机构提供“送技术、送管理”等专项服务，提高盲人按摩机构的技能水平和管理能力。拓宽盲人在文化艺术、心理卫生和互联网服务等领域就业渠道。为残疾人特别是聋人参加职业技能培训、就业创业提供无障碍支持服务。组织智力、精神和重度肢体残疾人等就业更为困难的残疾人就近就便参加生产劳动、进行职业康复、实现社会融合。</w:t>
      </w:r>
    </w:p>
    <w:p>
      <w:pPr>
        <w:pStyle w:val="10"/>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val="0"/>
        <w:autoSpaceDN w:val="0"/>
        <w:bidi w:val="0"/>
        <w:adjustRightInd/>
        <w:snapToGrid/>
        <w:spacing w:before="0" w:beforeAutospacing="0" w:after="0" w:afterAutospacing="0" w:line="600" w:lineRule="exact"/>
        <w:ind w:left="0" w:leftChars="0" w:right="0" w:firstLine="643" w:firstLineChars="200"/>
        <w:jc w:val="both"/>
        <w:textAlignment w:val="auto"/>
        <w:rPr>
          <w:rFonts w:hint="eastAsia" w:ascii="仿宋" w:hAnsi="仿宋" w:eastAsia="仿宋" w:cs="仿宋"/>
          <w:b w:val="0"/>
          <w:bCs w:val="0"/>
          <w:i w:val="0"/>
          <w:iCs w:val="0"/>
          <w:caps w:val="0"/>
          <w:color w:val="auto"/>
          <w:spacing w:val="0"/>
          <w:sz w:val="32"/>
          <w:szCs w:val="32"/>
          <w:highlight w:val="none"/>
          <w:shd w:val="clear" w:fill="FFFFFF"/>
        </w:rPr>
      </w:pPr>
      <w:r>
        <w:rPr>
          <w:rFonts w:hint="eastAsia" w:ascii="仿宋" w:hAnsi="仿宋" w:eastAsia="仿宋" w:cs="仿宋"/>
          <w:b/>
          <w:bCs/>
          <w:i w:val="0"/>
          <w:iCs w:val="0"/>
          <w:caps w:val="0"/>
          <w:color w:val="auto"/>
          <w:spacing w:val="0"/>
          <w:sz w:val="32"/>
          <w:szCs w:val="32"/>
          <w:highlight w:val="none"/>
          <w:shd w:val="clear" w:fill="FFFFFF"/>
        </w:rPr>
        <w:t>强化残疾人就业服务。</w:t>
      </w:r>
      <w:r>
        <w:rPr>
          <w:rFonts w:hint="eastAsia" w:ascii="仿宋" w:hAnsi="仿宋" w:eastAsia="仿宋" w:cs="仿宋"/>
          <w:b w:val="0"/>
          <w:bCs w:val="0"/>
          <w:i w:val="0"/>
          <w:iCs w:val="0"/>
          <w:caps w:val="0"/>
          <w:color w:val="auto"/>
          <w:spacing w:val="0"/>
          <w:sz w:val="32"/>
          <w:szCs w:val="32"/>
          <w:highlight w:val="none"/>
          <w:shd w:val="clear" w:fill="FFFFFF"/>
        </w:rPr>
        <w:t>充</w:t>
      </w:r>
      <w:r>
        <w:rPr>
          <w:rFonts w:hint="eastAsia" w:ascii="仿宋" w:hAnsi="仿宋" w:eastAsia="仿宋" w:cs="仿宋"/>
          <w:i w:val="0"/>
          <w:iCs w:val="0"/>
          <w:caps w:val="0"/>
          <w:color w:val="auto"/>
          <w:spacing w:val="0"/>
          <w:sz w:val="32"/>
          <w:szCs w:val="32"/>
          <w:highlight w:val="none"/>
          <w:shd w:val="clear" w:fill="FFFFFF"/>
        </w:rPr>
        <w:t>分发挥残疾人就业服务机构和各类公共就业服务平台、人力资源服务机构、社会组织作用，为残疾人和用人单位提供全链条、专业化、标准化、精准化服务。将符合条件的就业困难残疾人纳入就业援助范围，实现零就业残疾人家庭至少有一人就业。持续开展“就业援助月”等专项就业服务活动。为高校残疾人毕业生建立就业帮扶工作台账，按照要求重点开展帮扶。推进残疾人就业服务机构规范化建设，保障人员力量，提升服务能力。建立残疾人就业辅导员制度，扩大就业辅导员队伍。举办残疾人职业人才交流、残疾人就业产品市场营销、残疾人就业创业成果展示等活动，多措并举开展残疾人就业创业服务，拓宽服务渠道，提高服务</w:t>
      </w:r>
      <w:r>
        <w:rPr>
          <w:rFonts w:hint="eastAsia" w:ascii="仿宋" w:hAnsi="仿宋" w:eastAsia="仿宋" w:cs="仿宋"/>
          <w:b w:val="0"/>
          <w:bCs w:val="0"/>
          <w:i w:val="0"/>
          <w:iCs w:val="0"/>
          <w:caps w:val="0"/>
          <w:color w:val="auto"/>
          <w:spacing w:val="0"/>
          <w:sz w:val="32"/>
          <w:szCs w:val="32"/>
          <w:highlight w:val="none"/>
          <w:shd w:val="clear" w:fill="FFFFFF"/>
        </w:rPr>
        <w:t>质量。</w:t>
      </w:r>
    </w:p>
    <w:tbl>
      <w:tblPr>
        <w:tblStyle w:val="1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8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6" w:type="dxa"/>
          </w:tcPr>
          <w:p>
            <w:pPr>
              <w:pageBreakBefore w:val="0"/>
              <w:kinsoku/>
              <w:wordWrap/>
              <w:overflowPunct/>
              <w:topLinePunct w:val="0"/>
              <w:bidi w:val="0"/>
              <w:spacing w:before="0" w:after="0" w:line="600" w:lineRule="exact"/>
              <w:ind w:left="0" w:leftChars="0" w:right="0"/>
              <w:jc w:val="center"/>
              <w:textAlignment w:val="auto"/>
              <w:rPr>
                <w:rFonts w:hint="eastAsia" w:ascii="仿宋" w:hAnsi="仿宋" w:eastAsia="仿宋"/>
                <w:b/>
                <w:bCs/>
                <w:sz w:val="28"/>
                <w:szCs w:val="28"/>
                <w:highlight w:val="none"/>
              </w:rPr>
            </w:pPr>
            <w:r>
              <w:rPr>
                <w:rFonts w:hint="eastAsia" w:ascii="仿宋" w:hAnsi="仿宋" w:eastAsia="仿宋"/>
                <w:b/>
                <w:bCs/>
                <w:sz w:val="28"/>
                <w:szCs w:val="28"/>
                <w:highlight w:val="none"/>
              </w:rPr>
              <w:t>专栏</w:t>
            </w:r>
            <w:r>
              <w:rPr>
                <w:rFonts w:hint="eastAsia" w:ascii="仿宋" w:hAnsi="仿宋" w:eastAsia="仿宋"/>
                <w:b/>
                <w:bCs/>
                <w:sz w:val="28"/>
                <w:szCs w:val="28"/>
                <w:highlight w:val="none"/>
                <w:lang w:val="en-US" w:eastAsia="zh-CN"/>
              </w:rPr>
              <w:t>3</w:t>
            </w:r>
            <w:r>
              <w:rPr>
                <w:rFonts w:hint="eastAsia" w:ascii="仿宋" w:hAnsi="仿宋" w:eastAsia="仿宋"/>
                <w:b/>
                <w:bCs/>
                <w:sz w:val="28"/>
                <w:szCs w:val="28"/>
                <w:highlight w:val="none"/>
              </w:rPr>
              <w:t>：残疾人就业创业重点项目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6" w:type="dxa"/>
          </w:tcPr>
          <w:p>
            <w:pPr>
              <w:pageBreakBefore w:val="0"/>
              <w:kinsoku/>
              <w:wordWrap/>
              <w:overflowPunct/>
              <w:topLinePunct w:val="0"/>
              <w:bidi w:val="0"/>
              <w:spacing w:before="0" w:after="0" w:line="600" w:lineRule="exact"/>
              <w:ind w:left="0" w:leftChars="0" w:right="0" w:firstLine="482" w:firstLineChars="200"/>
              <w:textAlignment w:val="auto"/>
              <w:rPr>
                <w:rFonts w:ascii="仿宋" w:hAnsi="仿宋" w:eastAsia="仿宋" w:cs="Times New Roman"/>
                <w:bCs/>
                <w:kern w:val="0"/>
                <w:sz w:val="24"/>
                <w:szCs w:val="24"/>
              </w:rPr>
            </w:pPr>
            <w:r>
              <w:rPr>
                <w:rFonts w:ascii="仿宋" w:hAnsi="仿宋" w:eastAsia="仿宋" w:cs="Times New Roman"/>
                <w:b/>
                <w:kern w:val="0"/>
                <w:sz w:val="24"/>
                <w:szCs w:val="24"/>
              </w:rPr>
              <w:t>1.按比例安排残疾人就业行动。</w:t>
            </w:r>
            <w:r>
              <w:rPr>
                <w:rFonts w:ascii="仿宋" w:hAnsi="仿宋" w:eastAsia="仿宋" w:cs="Times New Roman"/>
                <w:bCs/>
                <w:kern w:val="0"/>
                <w:sz w:val="24"/>
                <w:szCs w:val="24"/>
              </w:rPr>
              <w:t>党政机关、事业单位、国有企业带头安置残疾人就业,到2025年,市级编制50人以上的党政机关、事业单位至少安排1名残疾人就业,县级及以上残联机关干部队伍中残疾人比例达到15%以上。</w:t>
            </w:r>
          </w:p>
          <w:p>
            <w:pPr>
              <w:pageBreakBefore w:val="0"/>
              <w:kinsoku/>
              <w:wordWrap/>
              <w:overflowPunct/>
              <w:topLinePunct w:val="0"/>
              <w:bidi w:val="0"/>
              <w:spacing w:before="0" w:after="0" w:line="600" w:lineRule="exact"/>
              <w:ind w:left="0" w:leftChars="0" w:right="0" w:firstLine="482" w:firstLineChars="200"/>
              <w:textAlignment w:val="auto"/>
              <w:rPr>
                <w:rFonts w:hint="eastAsia" w:ascii="仿宋" w:hAnsi="仿宋" w:eastAsia="仿宋" w:cs="Times New Roman"/>
                <w:bCs/>
                <w:kern w:val="0"/>
                <w:sz w:val="24"/>
                <w:szCs w:val="24"/>
                <w:lang w:eastAsia="zh-CN"/>
              </w:rPr>
            </w:pPr>
            <w:r>
              <w:rPr>
                <w:rFonts w:ascii="仿宋" w:hAnsi="仿宋" w:eastAsia="仿宋" w:cs="Times New Roman"/>
                <w:b/>
                <w:kern w:val="0"/>
                <w:sz w:val="24"/>
                <w:szCs w:val="24"/>
              </w:rPr>
              <w:t>2.公益性岗位安置残疾人就业行动。</w:t>
            </w:r>
            <w:r>
              <w:rPr>
                <w:rFonts w:ascii="仿宋" w:hAnsi="仿宋" w:eastAsia="仿宋" w:cs="Times New Roman"/>
                <w:bCs/>
                <w:kern w:val="0"/>
                <w:sz w:val="24"/>
                <w:szCs w:val="24"/>
              </w:rPr>
              <w:t>提高政府购买公益性岗位用于安置残疾人就业的比例,放宽公益性岗位安置残疾人就业条件限制,地方设立的乡村保洁员、水管员、护路员、生态护林员、社会救助协理员、农家书屋管理员、残疾人专职委员、社区服务人员等公益性岗位优先安排残疾人就业</w:t>
            </w:r>
            <w:r>
              <w:rPr>
                <w:rFonts w:hint="eastAsia" w:ascii="仿宋" w:hAnsi="仿宋" w:eastAsia="仿宋" w:cs="Times New Roman"/>
                <w:bCs/>
                <w:kern w:val="0"/>
                <w:sz w:val="24"/>
                <w:szCs w:val="24"/>
                <w:lang w:eastAsia="zh-CN"/>
              </w:rPr>
              <w:t>。</w:t>
            </w:r>
          </w:p>
          <w:p>
            <w:pPr>
              <w:pageBreakBefore w:val="0"/>
              <w:kinsoku/>
              <w:wordWrap/>
              <w:overflowPunct/>
              <w:topLinePunct w:val="0"/>
              <w:bidi w:val="0"/>
              <w:spacing w:before="0" w:after="0" w:line="600" w:lineRule="exact"/>
              <w:ind w:left="0" w:leftChars="0" w:right="0" w:firstLine="482" w:firstLineChars="200"/>
              <w:textAlignment w:val="auto"/>
              <w:rPr>
                <w:rFonts w:ascii="仿宋" w:hAnsi="仿宋" w:eastAsia="仿宋" w:cs="Times New Roman"/>
                <w:bCs/>
                <w:kern w:val="0"/>
                <w:sz w:val="24"/>
                <w:szCs w:val="24"/>
              </w:rPr>
            </w:pPr>
            <w:r>
              <w:rPr>
                <w:rFonts w:ascii="仿宋" w:hAnsi="仿宋" w:eastAsia="仿宋" w:cs="Times New Roman"/>
                <w:b/>
                <w:kern w:val="0"/>
                <w:sz w:val="24"/>
                <w:szCs w:val="24"/>
              </w:rPr>
              <w:t>3.残疾人创业扶持项目。</w:t>
            </w:r>
            <w:r>
              <w:rPr>
                <w:rFonts w:ascii="仿宋" w:hAnsi="仿宋" w:eastAsia="仿宋" w:cs="Times New Roman"/>
                <w:bCs/>
                <w:kern w:val="0"/>
                <w:sz w:val="24"/>
                <w:szCs w:val="24"/>
              </w:rPr>
              <w:t>对自主创业、灵活就业的残疾人给予经营场地、社会保险、职业培训和创业、设施设备、公用事业费和一次性创业补贴,对应届高校残疾人毕业生给予一次性求职创业补贴。</w:t>
            </w:r>
          </w:p>
          <w:p>
            <w:pPr>
              <w:pageBreakBefore w:val="0"/>
              <w:kinsoku/>
              <w:wordWrap/>
              <w:overflowPunct/>
              <w:topLinePunct w:val="0"/>
              <w:bidi w:val="0"/>
              <w:spacing w:before="0" w:after="0" w:line="600" w:lineRule="exact"/>
              <w:ind w:left="0" w:leftChars="0" w:right="0" w:firstLine="482" w:firstLineChars="200"/>
              <w:textAlignment w:val="auto"/>
              <w:rPr>
                <w:rFonts w:ascii="仿宋" w:hAnsi="仿宋" w:eastAsia="仿宋" w:cs="Times New Roman"/>
                <w:bCs/>
                <w:kern w:val="0"/>
                <w:sz w:val="24"/>
                <w:szCs w:val="24"/>
              </w:rPr>
            </w:pPr>
            <w:r>
              <w:rPr>
                <w:rFonts w:ascii="仿宋" w:hAnsi="仿宋" w:eastAsia="仿宋" w:cs="Times New Roman"/>
                <w:b/>
                <w:kern w:val="0"/>
                <w:sz w:val="24"/>
                <w:szCs w:val="24"/>
              </w:rPr>
              <w:t>4.农村残疾人就业培训基地建设项目。</w:t>
            </w:r>
            <w:r>
              <w:rPr>
                <w:rFonts w:ascii="仿宋" w:hAnsi="仿宋" w:eastAsia="仿宋" w:cs="Times New Roman"/>
                <w:bCs/>
                <w:kern w:val="0"/>
                <w:sz w:val="24"/>
                <w:szCs w:val="24"/>
              </w:rPr>
              <w:t>依托农村新型农业经营主体,扶持打造一批农村残疾人就业帮扶基地。依托企业、职业院校、社会培训机构、政府公共资源,创建一批残疾人职业培训基地和创业孵化示范基地。</w:t>
            </w:r>
          </w:p>
          <w:p>
            <w:pPr>
              <w:pageBreakBefore w:val="0"/>
              <w:kinsoku/>
              <w:wordWrap/>
              <w:overflowPunct/>
              <w:topLinePunct w:val="0"/>
              <w:bidi w:val="0"/>
              <w:spacing w:before="0" w:after="0" w:line="600" w:lineRule="exact"/>
              <w:ind w:left="0" w:leftChars="0" w:right="0" w:firstLine="482" w:firstLineChars="200"/>
              <w:textAlignment w:val="auto"/>
              <w:rPr>
                <w:rFonts w:ascii="仿宋" w:hAnsi="仿宋" w:eastAsia="仿宋" w:cs="Times New Roman"/>
                <w:bCs/>
                <w:kern w:val="0"/>
                <w:sz w:val="24"/>
                <w:szCs w:val="24"/>
              </w:rPr>
            </w:pPr>
            <w:r>
              <w:rPr>
                <w:rFonts w:ascii="仿宋" w:hAnsi="仿宋" w:eastAsia="仿宋" w:cs="Times New Roman"/>
                <w:b/>
                <w:kern w:val="0"/>
                <w:sz w:val="24"/>
                <w:szCs w:val="24"/>
              </w:rPr>
              <w:t>5.盲人按摩行业规范化建设项目。</w:t>
            </w:r>
            <w:r>
              <w:rPr>
                <w:rFonts w:ascii="仿宋" w:hAnsi="仿宋" w:eastAsia="仿宋" w:cs="Times New Roman"/>
                <w:bCs/>
                <w:kern w:val="0"/>
                <w:sz w:val="24"/>
                <w:szCs w:val="24"/>
              </w:rPr>
              <w:t>推进盲人医疗按摩人员在医院、社区卫生服务机构等执业就业,加快盲人按摩行业规范化、标准化、专业化、品牌化发展。</w:t>
            </w:r>
          </w:p>
          <w:p>
            <w:pPr>
              <w:pageBreakBefore w:val="0"/>
              <w:kinsoku/>
              <w:wordWrap/>
              <w:overflowPunct/>
              <w:topLinePunct w:val="0"/>
              <w:bidi w:val="0"/>
              <w:spacing w:before="0" w:after="0" w:line="600" w:lineRule="exact"/>
              <w:ind w:left="0" w:leftChars="0" w:right="0" w:firstLine="482" w:firstLineChars="200"/>
              <w:textAlignment w:val="auto"/>
              <w:rPr>
                <w:rFonts w:ascii="仿宋" w:hAnsi="仿宋" w:eastAsia="仿宋" w:cs="Times New Roman"/>
                <w:bCs/>
                <w:kern w:val="0"/>
                <w:sz w:val="24"/>
                <w:szCs w:val="24"/>
              </w:rPr>
            </w:pPr>
            <w:r>
              <w:rPr>
                <w:rFonts w:ascii="仿宋" w:hAnsi="仿宋" w:eastAsia="仿宋" w:cs="Times New Roman"/>
                <w:b/>
                <w:kern w:val="0"/>
                <w:sz w:val="24"/>
                <w:szCs w:val="24"/>
              </w:rPr>
              <w:t>6.残疾人就业形态创新工程。</w:t>
            </w:r>
            <w:r>
              <w:rPr>
                <w:rFonts w:ascii="仿宋" w:hAnsi="仿宋" w:eastAsia="仿宋" w:cs="Times New Roman"/>
                <w:bCs/>
                <w:kern w:val="0"/>
                <w:sz w:val="24"/>
                <w:szCs w:val="24"/>
              </w:rPr>
              <w:t>鼓励支持互联网平台企业、中介服务机构、助残社会组织等帮助残疾人开展网络零售、云客服、直播带货、物流快递、小店经营等就业创业服务。</w:t>
            </w:r>
          </w:p>
          <w:p>
            <w:pPr>
              <w:pageBreakBefore w:val="0"/>
              <w:kinsoku/>
              <w:wordWrap/>
              <w:overflowPunct/>
              <w:topLinePunct w:val="0"/>
              <w:bidi w:val="0"/>
              <w:spacing w:before="0" w:after="0" w:line="600" w:lineRule="exact"/>
              <w:ind w:left="0" w:leftChars="0" w:right="0" w:firstLine="482" w:firstLineChars="200"/>
              <w:textAlignment w:val="auto"/>
              <w:rPr>
                <w:rFonts w:ascii="仿宋" w:hAnsi="仿宋" w:eastAsia="仿宋" w:cs="Times New Roman"/>
                <w:bCs/>
                <w:kern w:val="0"/>
                <w:sz w:val="24"/>
                <w:szCs w:val="24"/>
              </w:rPr>
            </w:pPr>
            <w:r>
              <w:rPr>
                <w:rFonts w:ascii="仿宋" w:hAnsi="仿宋" w:eastAsia="仿宋" w:cs="Times New Roman"/>
                <w:b/>
                <w:kern w:val="0"/>
                <w:sz w:val="24"/>
                <w:szCs w:val="24"/>
              </w:rPr>
              <w:t>7.辅助性就业机构培育项目。</w:t>
            </w:r>
            <w:r>
              <w:rPr>
                <w:rFonts w:ascii="仿宋" w:hAnsi="仿宋" w:eastAsia="仿宋" w:cs="Times New Roman"/>
                <w:bCs/>
                <w:kern w:val="0"/>
                <w:sz w:val="24"/>
                <w:szCs w:val="24"/>
              </w:rPr>
              <w:t>鼓励引导市场主体和社会力量,为辅助性就业机构提供生产项目,增加残疾人增收渠道,促进辅助性就业机构健康发展,对辅助性就业机构给予机构建设、场地租金、机构运行、无障碍改造、生产设备和辅助器具购置补贴。</w:t>
            </w:r>
          </w:p>
          <w:p>
            <w:pPr>
              <w:pageBreakBefore w:val="0"/>
              <w:kinsoku/>
              <w:wordWrap/>
              <w:overflowPunct/>
              <w:topLinePunct w:val="0"/>
              <w:bidi w:val="0"/>
              <w:spacing w:before="0" w:after="0" w:line="600" w:lineRule="exact"/>
              <w:ind w:left="0" w:leftChars="0" w:right="0" w:firstLine="482" w:firstLineChars="200"/>
              <w:textAlignment w:val="auto"/>
              <w:rPr>
                <w:rFonts w:hint="eastAsia" w:ascii="仿宋" w:hAnsi="仿宋" w:eastAsia="仿宋"/>
                <w:bCs/>
                <w:sz w:val="24"/>
                <w:szCs w:val="24"/>
                <w:highlight w:val="none"/>
              </w:rPr>
            </w:pPr>
            <w:r>
              <w:rPr>
                <w:rFonts w:hint="eastAsia" w:ascii="仿宋" w:hAnsi="仿宋" w:eastAsia="仿宋" w:cs="Times New Roman"/>
                <w:b/>
                <w:kern w:val="0"/>
                <w:sz w:val="24"/>
                <w:szCs w:val="24"/>
              </w:rPr>
              <w:t>8.</w:t>
            </w:r>
            <w:r>
              <w:rPr>
                <w:rFonts w:ascii="仿宋" w:hAnsi="仿宋" w:eastAsia="仿宋" w:cs="Times New Roman"/>
                <w:b/>
                <w:kern w:val="0"/>
                <w:sz w:val="24"/>
                <w:szCs w:val="24"/>
              </w:rPr>
              <w:t>持续开展“春风行动”</w:t>
            </w:r>
            <w:r>
              <w:rPr>
                <w:rFonts w:hint="eastAsia" w:ascii="仿宋" w:hAnsi="仿宋" w:eastAsia="仿宋" w:cs="Times New Roman"/>
                <w:b/>
                <w:kern w:val="0"/>
                <w:sz w:val="24"/>
                <w:szCs w:val="24"/>
              </w:rPr>
              <w:t>和</w:t>
            </w:r>
            <w:r>
              <w:rPr>
                <w:rFonts w:ascii="仿宋" w:hAnsi="仿宋" w:eastAsia="仿宋" w:cs="Times New Roman"/>
                <w:b/>
                <w:kern w:val="0"/>
                <w:sz w:val="24"/>
                <w:szCs w:val="24"/>
              </w:rPr>
              <w:t>“就业援助月”活动</w:t>
            </w:r>
            <w:r>
              <w:rPr>
                <w:rFonts w:hint="eastAsia" w:ascii="仿宋" w:hAnsi="仿宋" w:eastAsia="仿宋" w:cs="Times New Roman"/>
                <w:b/>
                <w:kern w:val="0"/>
                <w:sz w:val="24"/>
                <w:szCs w:val="24"/>
              </w:rPr>
              <w:t>。</w:t>
            </w:r>
            <w:r>
              <w:rPr>
                <w:rFonts w:ascii="仿宋" w:hAnsi="仿宋" w:eastAsia="仿宋" w:cs="Times New Roman"/>
                <w:bCs/>
                <w:kern w:val="0"/>
                <w:sz w:val="24"/>
                <w:szCs w:val="24"/>
              </w:rPr>
              <w:t>为残疾人员提供就业信息，搭建求职平台，帮助</w:t>
            </w:r>
            <w:r>
              <w:rPr>
                <w:rFonts w:hint="eastAsia" w:ascii="仿宋" w:hAnsi="仿宋" w:eastAsia="仿宋" w:cs="Times New Roman"/>
                <w:bCs/>
                <w:kern w:val="0"/>
                <w:sz w:val="24"/>
                <w:szCs w:val="24"/>
              </w:rPr>
              <w:t>残疾人</w:t>
            </w:r>
            <w:r>
              <w:rPr>
                <w:rFonts w:ascii="仿宋" w:hAnsi="仿宋" w:eastAsia="仿宋" w:cs="Times New Roman"/>
                <w:bCs/>
                <w:kern w:val="0"/>
                <w:sz w:val="24"/>
                <w:szCs w:val="24"/>
              </w:rPr>
              <w:t>实现</w:t>
            </w:r>
            <w:r>
              <w:rPr>
                <w:rFonts w:hint="eastAsia" w:ascii="仿宋" w:hAnsi="仿宋" w:eastAsia="仿宋" w:cs="Times New Roman"/>
                <w:bCs/>
                <w:kern w:val="0"/>
                <w:sz w:val="24"/>
                <w:szCs w:val="24"/>
              </w:rPr>
              <w:t>高质量</w:t>
            </w:r>
            <w:r>
              <w:rPr>
                <w:rFonts w:ascii="仿宋" w:hAnsi="仿宋" w:eastAsia="仿宋" w:cs="Times New Roman"/>
                <w:bCs/>
                <w:kern w:val="0"/>
                <w:sz w:val="24"/>
                <w:szCs w:val="24"/>
              </w:rPr>
              <w:t>就业。</w:t>
            </w:r>
          </w:p>
        </w:tc>
      </w:tr>
    </w:tbl>
    <w:p>
      <w:pPr>
        <w:pStyle w:val="4"/>
        <w:pageBreakBefore w:val="0"/>
        <w:kinsoku/>
        <w:wordWrap/>
        <w:overflowPunct/>
        <w:topLinePunct w:val="0"/>
        <w:bidi w:val="0"/>
        <w:spacing w:before="0" w:beforeLines="0" w:after="0" w:afterLines="0" w:line="600" w:lineRule="exact"/>
        <w:ind w:left="0" w:leftChars="0" w:right="0"/>
        <w:textAlignment w:val="auto"/>
        <w:rPr>
          <w:rFonts w:hint="eastAsia"/>
        </w:rPr>
      </w:pPr>
      <w:bookmarkStart w:id="19" w:name="_Toc7364"/>
      <w:r>
        <w:rPr>
          <w:rFonts w:hint="eastAsia"/>
        </w:rPr>
        <w:t>（四）健全残疾人关爱服务体系，提升公共服务质量</w:t>
      </w:r>
      <w:bookmarkEnd w:id="19"/>
    </w:p>
    <w:p>
      <w:pPr>
        <w:pStyle w:val="4"/>
        <w:pageBreakBefore w:val="0"/>
        <w:kinsoku/>
        <w:wordWrap/>
        <w:overflowPunct/>
        <w:topLinePunct w:val="0"/>
        <w:bidi w:val="0"/>
        <w:spacing w:before="0" w:beforeLines="0" w:after="0" w:afterLines="0" w:line="600" w:lineRule="exact"/>
        <w:ind w:left="0" w:leftChars="0" w:right="0"/>
        <w:textAlignment w:val="auto"/>
        <w:rPr>
          <w:rFonts w:hint="eastAsia" w:ascii="仿宋" w:hAnsi="仿宋" w:eastAsia="仿宋" w:cs="仿宋"/>
          <w:b w:val="0"/>
          <w:bCs w:val="0"/>
          <w:i w:val="0"/>
          <w:iCs w:val="0"/>
          <w:caps w:val="0"/>
          <w:color w:val="auto"/>
          <w:spacing w:val="0"/>
          <w:sz w:val="32"/>
          <w:szCs w:val="32"/>
          <w:highlight w:val="none"/>
          <w:shd w:val="clear" w:fill="FFFFFF"/>
        </w:rPr>
      </w:pPr>
      <w:r>
        <w:rPr>
          <w:rFonts w:hint="eastAsia" w:ascii="仿宋" w:hAnsi="仿宋" w:eastAsia="仿宋" w:cs="仿宋"/>
          <w:b/>
          <w:bCs/>
          <w:i w:val="0"/>
          <w:iCs w:val="0"/>
          <w:caps w:val="0"/>
          <w:color w:val="auto"/>
          <w:spacing w:val="0"/>
          <w:sz w:val="32"/>
          <w:szCs w:val="32"/>
          <w:highlight w:val="none"/>
          <w:shd w:val="clear" w:fill="FFFFFF"/>
        </w:rPr>
        <w:t>1．减少和控制残疾发生。</w:t>
      </w:r>
      <w:r>
        <w:rPr>
          <w:rFonts w:hint="eastAsia" w:ascii="仿宋" w:hAnsi="仿宋" w:eastAsia="仿宋" w:cs="仿宋"/>
          <w:b w:val="0"/>
          <w:bCs w:val="0"/>
          <w:i w:val="0"/>
          <w:iCs w:val="0"/>
          <w:caps w:val="0"/>
          <w:color w:val="auto"/>
          <w:spacing w:val="0"/>
          <w:sz w:val="32"/>
          <w:szCs w:val="32"/>
          <w:highlight w:val="none"/>
          <w:shd w:val="clear" w:fill="FFFFFF"/>
        </w:rPr>
        <w:t>制定实施新一期</w:t>
      </w:r>
      <w:r>
        <w:rPr>
          <w:rFonts w:hint="eastAsia" w:ascii="仿宋" w:hAnsi="仿宋" w:eastAsia="仿宋" w:cs="仿宋"/>
          <w:b w:val="0"/>
          <w:bCs w:val="0"/>
          <w:i w:val="0"/>
          <w:iCs w:val="0"/>
          <w:caps w:val="0"/>
          <w:color w:val="auto"/>
          <w:spacing w:val="0"/>
          <w:sz w:val="32"/>
          <w:szCs w:val="32"/>
          <w:highlight w:val="none"/>
          <w:shd w:val="clear" w:fill="FFFFFF"/>
          <w:lang w:eastAsia="zh-CN"/>
        </w:rPr>
        <w:t>同心县</w:t>
      </w:r>
      <w:r>
        <w:rPr>
          <w:rFonts w:hint="eastAsia" w:ascii="仿宋" w:hAnsi="仿宋" w:eastAsia="仿宋" w:cs="仿宋"/>
          <w:b w:val="0"/>
          <w:bCs w:val="0"/>
          <w:i w:val="0"/>
          <w:iCs w:val="0"/>
          <w:caps w:val="0"/>
          <w:color w:val="auto"/>
          <w:spacing w:val="0"/>
          <w:sz w:val="32"/>
          <w:szCs w:val="32"/>
          <w:highlight w:val="none"/>
          <w:shd w:val="clear" w:fill="FFFFFF"/>
        </w:rPr>
        <w:t>残疾预防行动计划，结合残疾预防日、预防出生缺陷日、爱眼日、爱耳日、全国防灾减灾日等节点，广泛开展残疾预防宣传教育，形成全人群、全生命周期的残疾预防意识。加强出生缺陷综合防治，构建覆盖城乡居民，涵盖婚前、孕前、孕期、新生儿期和儿童期各阶段的出生缺陷防治体系，继续针对先天性结构畸形等疾病实施干预救助项目，预防和减少出生缺陷、发育障碍致残。大力推进0—6岁儿童残疾筛查，建立筛查、诊断、康复救助衔接机制。开展防盲治盲、防聋治聋工作，加强对麻风病等传染病和碘缺乏病、大</w:t>
      </w:r>
      <w:r>
        <w:rPr>
          <w:rFonts w:hint="eastAsia" w:ascii="仿宋" w:hAnsi="仿宋" w:eastAsia="仿宋" w:cs="仿宋"/>
          <w:b w:val="0"/>
          <w:bCs w:val="0"/>
          <w:i w:val="0"/>
          <w:iCs w:val="0"/>
          <w:caps w:val="0"/>
          <w:color w:val="auto"/>
          <w:spacing w:val="0"/>
          <w:sz w:val="32"/>
          <w:szCs w:val="32"/>
          <w:highlight w:val="none"/>
          <w:shd w:val="clear" w:fill="FFFFFF"/>
        </w:rPr>
        <w:t>骨节病等地方病的防控。</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val="0"/>
        <w:autoSpaceDN w:val="0"/>
        <w:bidi w:val="0"/>
        <w:adjustRightInd/>
        <w:snapToGrid/>
        <w:spacing w:before="0" w:beforeAutospacing="0" w:after="0" w:afterAutospacing="0" w:line="600" w:lineRule="exact"/>
        <w:ind w:left="0" w:leftChars="0" w:right="0" w:firstLine="643" w:firstLineChars="200"/>
        <w:jc w:val="both"/>
        <w:textAlignment w:val="auto"/>
        <w:rPr>
          <w:rFonts w:hint="eastAsia" w:ascii="仿宋" w:hAnsi="仿宋" w:eastAsia="仿宋" w:cs="仿宋"/>
          <w:b w:val="0"/>
          <w:bCs w:val="0"/>
          <w:i w:val="0"/>
          <w:iCs w:val="0"/>
          <w:caps w:val="0"/>
          <w:color w:val="auto"/>
          <w:spacing w:val="0"/>
          <w:sz w:val="32"/>
          <w:szCs w:val="32"/>
          <w:highlight w:val="none"/>
          <w:shd w:val="clear" w:fill="FFFFFF"/>
        </w:rPr>
      </w:pPr>
      <w:r>
        <w:rPr>
          <w:rFonts w:hint="eastAsia" w:ascii="仿宋" w:hAnsi="仿宋" w:eastAsia="仿宋" w:cs="仿宋"/>
          <w:b/>
          <w:bCs/>
          <w:i w:val="0"/>
          <w:iCs w:val="0"/>
          <w:caps w:val="0"/>
          <w:color w:val="auto"/>
          <w:spacing w:val="0"/>
          <w:sz w:val="32"/>
          <w:szCs w:val="32"/>
          <w:highlight w:val="none"/>
          <w:shd w:val="clear" w:fill="FFFFFF"/>
        </w:rPr>
        <w:t>2．提升残疾人康复服务质量和辅具服务水平。</w:t>
      </w:r>
      <w:r>
        <w:rPr>
          <w:rFonts w:hint="eastAsia" w:ascii="仿宋" w:hAnsi="仿宋" w:eastAsia="仿宋" w:cs="仿宋"/>
          <w:b w:val="0"/>
          <w:bCs w:val="0"/>
          <w:i w:val="0"/>
          <w:iCs w:val="0"/>
          <w:caps w:val="0"/>
          <w:color w:val="auto"/>
          <w:spacing w:val="0"/>
          <w:sz w:val="32"/>
          <w:szCs w:val="32"/>
          <w:highlight w:val="none"/>
          <w:shd w:val="clear" w:fill="FFFFFF"/>
        </w:rPr>
        <w:t>继续</w:t>
      </w:r>
      <w:r>
        <w:rPr>
          <w:rFonts w:hint="eastAsia" w:ascii="仿宋" w:hAnsi="仿宋" w:eastAsia="仿宋" w:cs="仿宋"/>
          <w:i w:val="0"/>
          <w:iCs w:val="0"/>
          <w:caps w:val="0"/>
          <w:color w:val="auto"/>
          <w:spacing w:val="0"/>
          <w:sz w:val="32"/>
          <w:szCs w:val="32"/>
          <w:highlight w:val="none"/>
          <w:shd w:val="clear" w:fill="FFFFFF"/>
        </w:rPr>
        <w:t>实施精准康复服务行动，提升康复服务覆盖率与精准度，满足残疾人基本康复服务需求。完善残疾儿童康复救助制度，增加康复服务供给，提升康复服务质量，确保残疾儿童得到及时有效的康复救助。加强残疾儿童康复救助定点服务机构规范化建设，健全定点准入、协议管理、动态退出等机制，开展星级评定，引导残疾儿童康复机构健康有序发展。完善全面康复业务布局，充实职业康复、社会康复、心理康复等功能。支持儿童福利机构增加和完善康复功能，配备相应的康复设备和专业技术人员，与医疗机构加强合作，提高康复医疗服务能力。加强精神卫生综合管理服务，广泛开展精神障碍社区康复。加快发展康复辅助器具服务。增强优质康复辅助器具供给能力，推动康复辅助器具服务提质升级，鼓励实施公益性康复辅助器具适配项目。加强各级康复辅助器具适配服务机构建设，支持社会力量及医疗、康复、养老机构和残疾人教育、就业、托养机构开展康复辅助器具适配服务。推广社区康复辅助器具租赁、回收、维修等服务，探索开展康复辅助器具产业综合创</w:t>
      </w:r>
      <w:r>
        <w:rPr>
          <w:rFonts w:hint="eastAsia" w:ascii="仿宋" w:hAnsi="仿宋" w:eastAsia="仿宋" w:cs="仿宋"/>
          <w:b w:val="0"/>
          <w:bCs w:val="0"/>
          <w:i w:val="0"/>
          <w:iCs w:val="0"/>
          <w:caps w:val="0"/>
          <w:color w:val="auto"/>
          <w:spacing w:val="0"/>
          <w:sz w:val="32"/>
          <w:szCs w:val="32"/>
          <w:highlight w:val="none"/>
          <w:shd w:val="clear" w:fill="FFFFFF"/>
        </w:rPr>
        <w:t>新试点。</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val="0"/>
        <w:autoSpaceDN w:val="0"/>
        <w:bidi w:val="0"/>
        <w:adjustRightInd/>
        <w:snapToGrid/>
        <w:spacing w:before="0" w:beforeAutospacing="0" w:after="0" w:afterAutospacing="0" w:line="600" w:lineRule="exact"/>
        <w:ind w:left="0" w:leftChars="0" w:right="0" w:firstLine="643" w:firstLineChars="200"/>
        <w:jc w:val="both"/>
        <w:textAlignment w:val="auto"/>
        <w:rPr>
          <w:rFonts w:hint="eastAsia" w:ascii="仿宋" w:hAnsi="仿宋" w:eastAsia="仿宋" w:cs="仿宋"/>
          <w:i w:val="0"/>
          <w:iCs w:val="0"/>
          <w:caps w:val="0"/>
          <w:color w:val="auto"/>
          <w:spacing w:val="0"/>
          <w:sz w:val="32"/>
          <w:szCs w:val="32"/>
          <w:highlight w:val="none"/>
          <w:shd w:val="clear" w:fill="FFFFFF"/>
        </w:rPr>
      </w:pPr>
      <w:r>
        <w:rPr>
          <w:rFonts w:hint="eastAsia" w:ascii="仿宋" w:hAnsi="仿宋" w:eastAsia="仿宋" w:cs="仿宋"/>
          <w:b/>
          <w:bCs/>
          <w:i w:val="0"/>
          <w:iCs w:val="0"/>
          <w:caps w:val="0"/>
          <w:color w:val="auto"/>
          <w:spacing w:val="0"/>
          <w:sz w:val="32"/>
          <w:szCs w:val="32"/>
          <w:highlight w:val="none"/>
          <w:shd w:val="clear" w:fill="FFFFFF"/>
        </w:rPr>
        <w:t>3．加强残疾人健康服务与应急保护。</w:t>
      </w:r>
      <w:r>
        <w:rPr>
          <w:rFonts w:hint="eastAsia" w:ascii="仿宋" w:hAnsi="仿宋" w:eastAsia="仿宋" w:cs="仿宋"/>
          <w:b w:val="0"/>
          <w:bCs w:val="0"/>
          <w:i w:val="0"/>
          <w:iCs w:val="0"/>
          <w:caps w:val="0"/>
          <w:color w:val="auto"/>
          <w:spacing w:val="0"/>
          <w:sz w:val="32"/>
          <w:szCs w:val="32"/>
          <w:highlight w:val="none"/>
          <w:shd w:val="clear" w:fill="FFFFFF"/>
        </w:rPr>
        <w:t>全面推进</w:t>
      </w:r>
      <w:r>
        <w:rPr>
          <w:rFonts w:hint="eastAsia" w:ascii="仿宋" w:hAnsi="仿宋" w:eastAsia="仿宋" w:cs="仿宋"/>
          <w:i w:val="0"/>
          <w:iCs w:val="0"/>
          <w:caps w:val="0"/>
          <w:color w:val="auto"/>
          <w:spacing w:val="0"/>
          <w:sz w:val="32"/>
          <w:szCs w:val="32"/>
          <w:highlight w:val="none"/>
          <w:shd w:val="clear" w:fill="FFFFFF"/>
        </w:rPr>
        <w:t>残疾人家庭医生签约服务，支持保障签约医生为残疾人提供基本医疗、公共卫生和健康管理等个性化服务。加强和改善残疾人医疗服务，为残疾人提供就医便利，维护残疾人平等就医权利。加强残疾人心理健康服务。关注残疾妇女健康，开展生殖健康服务。将残疾人健康状况、卫生服务需求与利用等纳入卫生服务调查，加强残疾人健康状况评估。推动突发公共事件应急预案保障残疾人等重点人群。制定重大疫情、自然灾害、安全事故等突发公共事件中残疾人社会支持和防护保护措施。加强残疾人集中场所和残疾人服务机构安全保障、应急服务、消防安全能力建设，加快公共场所急救设备配备，提高自然灾害和火灾现场应急处置能力、突发事件紧急医学救援能力和院前急救能力。开展残疾人应急科普宣传，引导残疾人增强自救互救能力。</w:t>
      </w:r>
    </w:p>
    <w:tbl>
      <w:tblPr>
        <w:tblStyle w:val="1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2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6" w:type="dxa"/>
          </w:tcPr>
          <w:p>
            <w:pPr>
              <w:pageBreakBefore w:val="0"/>
              <w:kinsoku/>
              <w:wordWrap/>
              <w:overflowPunct/>
              <w:topLinePunct w:val="0"/>
              <w:bidi w:val="0"/>
              <w:spacing w:before="0" w:after="0" w:line="600" w:lineRule="exact"/>
              <w:ind w:left="0" w:leftChars="0" w:right="0"/>
              <w:jc w:val="center"/>
              <w:textAlignment w:val="auto"/>
              <w:rPr>
                <w:rFonts w:hint="eastAsia" w:ascii="仿宋" w:hAnsi="仿宋" w:eastAsia="仿宋"/>
                <w:b/>
                <w:bCs/>
                <w:sz w:val="28"/>
                <w:szCs w:val="28"/>
                <w:highlight w:val="none"/>
              </w:rPr>
            </w:pPr>
            <w:r>
              <w:rPr>
                <w:rFonts w:hint="eastAsia" w:ascii="仿宋" w:hAnsi="仿宋" w:eastAsia="仿宋"/>
                <w:b/>
                <w:bCs/>
                <w:sz w:val="28"/>
                <w:szCs w:val="28"/>
                <w:highlight w:val="none"/>
              </w:rPr>
              <w:t>专栏</w:t>
            </w:r>
            <w:r>
              <w:rPr>
                <w:rFonts w:hint="eastAsia" w:ascii="仿宋" w:hAnsi="仿宋" w:eastAsia="仿宋"/>
                <w:b/>
                <w:bCs/>
                <w:sz w:val="28"/>
                <w:szCs w:val="28"/>
                <w:highlight w:val="none"/>
                <w:lang w:val="en-US" w:eastAsia="zh-CN"/>
              </w:rPr>
              <w:t>4</w:t>
            </w:r>
            <w:r>
              <w:rPr>
                <w:rFonts w:hint="eastAsia" w:ascii="仿宋" w:hAnsi="仿宋" w:eastAsia="仿宋"/>
                <w:b/>
                <w:bCs/>
                <w:sz w:val="28"/>
                <w:szCs w:val="28"/>
                <w:highlight w:val="none"/>
              </w:rPr>
              <w:t>：残疾人健康服务重点项目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6" w:type="dxa"/>
          </w:tcPr>
          <w:p>
            <w:pPr>
              <w:pageBreakBefore w:val="0"/>
              <w:kinsoku/>
              <w:wordWrap/>
              <w:overflowPunct/>
              <w:topLinePunct w:val="0"/>
              <w:bidi w:val="0"/>
              <w:spacing w:before="0" w:after="0" w:line="600" w:lineRule="exact"/>
              <w:ind w:left="0" w:leftChars="0" w:right="0" w:firstLine="482" w:firstLineChars="200"/>
              <w:textAlignment w:val="auto"/>
              <w:rPr>
                <w:rFonts w:ascii="仿宋" w:hAnsi="仿宋" w:eastAsia="仿宋" w:cs="Times New Roman"/>
                <w:bCs/>
                <w:kern w:val="0"/>
                <w:sz w:val="24"/>
                <w:szCs w:val="24"/>
              </w:rPr>
            </w:pPr>
            <w:r>
              <w:rPr>
                <w:rFonts w:ascii="仿宋" w:hAnsi="仿宋" w:eastAsia="仿宋" w:cs="Times New Roman"/>
                <w:b/>
                <w:kern w:val="0"/>
                <w:sz w:val="24"/>
                <w:szCs w:val="24"/>
              </w:rPr>
              <w:t>1.疑难病致残康复救助工程。</w:t>
            </w:r>
            <w:r>
              <w:rPr>
                <w:rFonts w:ascii="仿宋" w:hAnsi="仿宋" w:eastAsia="仿宋" w:cs="Times New Roman"/>
                <w:bCs/>
                <w:kern w:val="0"/>
                <w:sz w:val="24"/>
                <w:szCs w:val="24"/>
              </w:rPr>
              <w:t>开展残疾人康复需求调查评估,建立疑难病致残康复救助制度,</w:t>
            </w:r>
            <w:r>
              <w:rPr>
                <w:rFonts w:hint="eastAsia" w:ascii="仿宋" w:hAnsi="仿宋" w:eastAsia="仿宋" w:cs="仿宋"/>
                <w:bCs/>
                <w:kern w:val="0"/>
                <w:sz w:val="24"/>
                <w:szCs w:val="24"/>
              </w:rPr>
              <w:t>开</w:t>
            </w:r>
            <w:r>
              <w:rPr>
                <w:rFonts w:ascii="仿宋" w:hAnsi="仿宋" w:eastAsia="仿宋" w:cs="Times New Roman"/>
                <w:bCs/>
                <w:kern w:val="0"/>
                <w:sz w:val="24"/>
                <w:szCs w:val="24"/>
              </w:rPr>
              <w:t>展“孤儿医疗康复明天计划”等康复项目,实施好肢体残疾人“重塑未来”矫治手术等医疗救助项目。</w:t>
            </w:r>
          </w:p>
          <w:p>
            <w:pPr>
              <w:pageBreakBefore w:val="0"/>
              <w:kinsoku/>
              <w:wordWrap/>
              <w:overflowPunct/>
              <w:topLinePunct w:val="0"/>
              <w:bidi w:val="0"/>
              <w:spacing w:before="0" w:after="0" w:line="600" w:lineRule="exact"/>
              <w:ind w:left="0" w:leftChars="0" w:right="0" w:firstLine="482" w:firstLineChars="200"/>
              <w:textAlignment w:val="auto"/>
              <w:rPr>
                <w:rFonts w:ascii="仿宋" w:hAnsi="仿宋" w:eastAsia="仿宋" w:cs="Times New Roman"/>
                <w:bCs/>
                <w:kern w:val="0"/>
                <w:sz w:val="24"/>
                <w:szCs w:val="24"/>
              </w:rPr>
            </w:pPr>
            <w:r>
              <w:rPr>
                <w:rFonts w:hint="eastAsia" w:ascii="仿宋" w:hAnsi="仿宋" w:eastAsia="仿宋" w:cs="Times New Roman"/>
                <w:b/>
                <w:kern w:val="0"/>
                <w:sz w:val="24"/>
                <w:szCs w:val="24"/>
              </w:rPr>
              <w:t>2</w:t>
            </w:r>
            <w:r>
              <w:rPr>
                <w:rFonts w:ascii="仿宋" w:hAnsi="仿宋" w:eastAsia="仿宋" w:cs="Times New Roman"/>
                <w:b/>
                <w:kern w:val="0"/>
                <w:sz w:val="24"/>
                <w:szCs w:val="24"/>
              </w:rPr>
              <w:t>.健全严重精神障碍患者管理服务机制。</w:t>
            </w:r>
            <w:r>
              <w:rPr>
                <w:rFonts w:ascii="仿宋" w:hAnsi="仿宋" w:eastAsia="仿宋" w:cs="Times New Roman"/>
                <w:bCs/>
                <w:kern w:val="0"/>
                <w:sz w:val="24"/>
                <w:szCs w:val="24"/>
              </w:rPr>
              <w:t>建立1所精神卫生福利设施,为精神障碍患者家庭照护者提供居家康复照护技能培训和支持性服务,开展精神障碍患者家属与专家交流互助活动,开展相关训练工作,促进精神障碍患 者及早康复、就业和回归社会。</w:t>
            </w:r>
          </w:p>
          <w:p>
            <w:pPr>
              <w:pageBreakBefore w:val="0"/>
              <w:kinsoku/>
              <w:wordWrap/>
              <w:overflowPunct/>
              <w:topLinePunct w:val="0"/>
              <w:bidi w:val="0"/>
              <w:spacing w:before="0" w:after="0" w:line="600" w:lineRule="exact"/>
              <w:ind w:left="0" w:leftChars="0" w:right="0" w:firstLine="482" w:firstLineChars="200"/>
              <w:textAlignment w:val="auto"/>
              <w:rPr>
                <w:rFonts w:ascii="仿宋" w:hAnsi="仿宋" w:eastAsia="仿宋" w:cs="Times New Roman"/>
                <w:bCs/>
                <w:kern w:val="0"/>
                <w:sz w:val="24"/>
                <w:szCs w:val="24"/>
              </w:rPr>
            </w:pPr>
            <w:r>
              <w:rPr>
                <w:rFonts w:hint="eastAsia" w:ascii="仿宋" w:hAnsi="仿宋" w:eastAsia="仿宋" w:cs="Times New Roman"/>
                <w:b/>
                <w:kern w:val="0"/>
                <w:sz w:val="24"/>
                <w:szCs w:val="24"/>
              </w:rPr>
              <w:t>3</w:t>
            </w:r>
            <w:r>
              <w:rPr>
                <w:rFonts w:ascii="仿宋" w:hAnsi="仿宋" w:eastAsia="仿宋" w:cs="Times New Roman"/>
                <w:b/>
                <w:kern w:val="0"/>
                <w:sz w:val="24"/>
                <w:szCs w:val="24"/>
              </w:rPr>
              <w:t>.脊髓损伤残疾人能力重建项目。</w:t>
            </w:r>
            <w:r>
              <w:rPr>
                <w:rFonts w:ascii="仿宋" w:hAnsi="仿宋" w:eastAsia="仿宋" w:cs="Times New Roman"/>
                <w:bCs/>
                <w:kern w:val="0"/>
                <w:sz w:val="24"/>
                <w:szCs w:val="24"/>
              </w:rPr>
              <w:t>加强脊髓损伤患者“希望之家”、中途失明者“光明之家”创办工作。</w:t>
            </w:r>
          </w:p>
          <w:p>
            <w:pPr>
              <w:pageBreakBefore w:val="0"/>
              <w:kinsoku/>
              <w:wordWrap/>
              <w:overflowPunct/>
              <w:topLinePunct w:val="0"/>
              <w:bidi w:val="0"/>
              <w:spacing w:before="0" w:after="0" w:line="600" w:lineRule="exact"/>
              <w:ind w:left="0" w:leftChars="0" w:right="0" w:firstLine="482" w:firstLineChars="200"/>
              <w:textAlignment w:val="auto"/>
              <w:rPr>
                <w:rFonts w:ascii="仿宋" w:hAnsi="仿宋" w:eastAsia="仿宋" w:cs="Times New Roman"/>
                <w:bCs/>
                <w:kern w:val="0"/>
                <w:sz w:val="24"/>
                <w:szCs w:val="24"/>
              </w:rPr>
            </w:pPr>
            <w:r>
              <w:rPr>
                <w:rFonts w:hint="eastAsia" w:ascii="仿宋" w:hAnsi="仿宋" w:eastAsia="仿宋" w:cs="Times New Roman"/>
                <w:b/>
                <w:kern w:val="0"/>
                <w:sz w:val="24"/>
                <w:szCs w:val="24"/>
              </w:rPr>
              <w:t>4</w:t>
            </w:r>
            <w:r>
              <w:rPr>
                <w:rFonts w:ascii="仿宋" w:hAnsi="仿宋" w:eastAsia="仿宋" w:cs="Times New Roman"/>
                <w:b/>
                <w:kern w:val="0"/>
                <w:sz w:val="24"/>
                <w:szCs w:val="24"/>
              </w:rPr>
              <w:t>.康复平台建设项目。</w:t>
            </w:r>
            <w:r>
              <w:rPr>
                <w:rFonts w:ascii="仿宋" w:hAnsi="仿宋" w:eastAsia="仿宋" w:cs="Times New Roman"/>
                <w:bCs/>
                <w:kern w:val="0"/>
                <w:sz w:val="24"/>
                <w:szCs w:val="24"/>
              </w:rPr>
              <w:t>统筹听力语言康复、肢体残疾康复、辅助器具适配、 残疾儿童康复等优质服务资源,建立线上线下相结合的康复服务平台,为基层残 疾人服务机构、有康复需求的残疾人提供优质服务。</w:t>
            </w:r>
          </w:p>
          <w:p>
            <w:pPr>
              <w:pageBreakBefore w:val="0"/>
              <w:kinsoku/>
              <w:wordWrap/>
              <w:overflowPunct/>
              <w:topLinePunct w:val="0"/>
              <w:bidi w:val="0"/>
              <w:spacing w:before="0" w:after="0" w:line="600" w:lineRule="exact"/>
              <w:ind w:left="0" w:leftChars="0" w:right="0" w:firstLine="482" w:firstLineChars="200"/>
              <w:textAlignment w:val="auto"/>
              <w:rPr>
                <w:rFonts w:ascii="仿宋" w:hAnsi="仿宋" w:eastAsia="仿宋" w:cs="Times New Roman"/>
                <w:bCs/>
                <w:kern w:val="0"/>
                <w:sz w:val="24"/>
                <w:szCs w:val="24"/>
              </w:rPr>
            </w:pPr>
            <w:r>
              <w:rPr>
                <w:rFonts w:hint="eastAsia" w:ascii="仿宋" w:hAnsi="仿宋" w:eastAsia="仿宋" w:cs="Times New Roman"/>
                <w:b/>
                <w:kern w:val="0"/>
                <w:sz w:val="24"/>
                <w:szCs w:val="24"/>
              </w:rPr>
              <w:t>5.持续开展“送康上门”服务活动。</w:t>
            </w:r>
            <w:r>
              <w:rPr>
                <w:rFonts w:ascii="仿宋" w:hAnsi="仿宋" w:eastAsia="仿宋" w:cs="Times New Roman"/>
                <w:bCs/>
                <w:kern w:val="0"/>
                <w:sz w:val="24"/>
                <w:szCs w:val="24"/>
              </w:rPr>
              <w:t>组织教师开展送康送教上门服务活动，</w:t>
            </w:r>
            <w:r>
              <w:rPr>
                <w:rFonts w:hint="eastAsia" w:ascii="仿宋" w:hAnsi="仿宋" w:eastAsia="仿宋" w:cs="Times New Roman"/>
                <w:bCs/>
                <w:kern w:val="0"/>
                <w:sz w:val="24"/>
                <w:szCs w:val="24"/>
              </w:rPr>
              <w:t>为</w:t>
            </w:r>
            <w:r>
              <w:rPr>
                <w:rFonts w:ascii="仿宋" w:hAnsi="仿宋" w:eastAsia="仿宋" w:cs="Times New Roman"/>
                <w:bCs/>
                <w:kern w:val="0"/>
                <w:sz w:val="24"/>
                <w:szCs w:val="24"/>
              </w:rPr>
              <w:t>“0-14”岁康复儿童开展上门家庭康复指导服务。对康复儿童家庭进行了儿童康复、性格培养和教育等方面知识的培训和指导</w:t>
            </w:r>
            <w:r>
              <w:rPr>
                <w:rFonts w:hint="eastAsia" w:ascii="仿宋" w:hAnsi="仿宋" w:eastAsia="仿宋" w:cs="Times New Roman"/>
                <w:bCs/>
                <w:kern w:val="0"/>
                <w:sz w:val="24"/>
                <w:szCs w:val="24"/>
              </w:rPr>
              <w:t>。</w:t>
            </w:r>
          </w:p>
          <w:p>
            <w:pPr>
              <w:pageBreakBefore w:val="0"/>
              <w:kinsoku/>
              <w:wordWrap/>
              <w:overflowPunct/>
              <w:topLinePunct w:val="0"/>
              <w:bidi w:val="0"/>
              <w:spacing w:before="0" w:after="0" w:line="600" w:lineRule="exact"/>
              <w:ind w:left="0" w:leftChars="0" w:right="0" w:firstLine="482" w:firstLineChars="200"/>
              <w:textAlignment w:val="auto"/>
              <w:rPr>
                <w:rFonts w:ascii="仿宋" w:hAnsi="仿宋" w:eastAsia="仿宋" w:cs="Times New Roman"/>
                <w:bCs/>
                <w:kern w:val="0"/>
                <w:sz w:val="24"/>
                <w:szCs w:val="24"/>
              </w:rPr>
            </w:pPr>
            <w:r>
              <w:rPr>
                <w:rFonts w:hint="eastAsia" w:ascii="仿宋" w:hAnsi="仿宋" w:eastAsia="仿宋" w:cs="Times New Roman"/>
                <w:b/>
                <w:kern w:val="0"/>
                <w:sz w:val="24"/>
                <w:szCs w:val="24"/>
              </w:rPr>
              <w:t>6.助听器适配项目。</w:t>
            </w:r>
            <w:r>
              <w:rPr>
                <w:rFonts w:ascii="仿宋" w:hAnsi="仿宋" w:eastAsia="仿宋" w:cs="Times New Roman"/>
                <w:bCs/>
                <w:kern w:val="0"/>
                <w:sz w:val="24"/>
                <w:szCs w:val="24"/>
              </w:rPr>
              <w:t>开展“关注听力康复·播撒爱的希望”助听器免费适配活动</w:t>
            </w:r>
            <w:r>
              <w:rPr>
                <w:rFonts w:hint="eastAsia" w:ascii="仿宋" w:hAnsi="仿宋" w:eastAsia="仿宋" w:cs="Times New Roman"/>
                <w:bCs/>
                <w:kern w:val="0"/>
                <w:sz w:val="24"/>
                <w:szCs w:val="24"/>
              </w:rPr>
              <w:t>，全</w:t>
            </w:r>
            <w:r>
              <w:rPr>
                <w:rFonts w:hint="eastAsia" w:ascii="仿宋" w:hAnsi="仿宋" w:eastAsia="仿宋" w:cs="Times New Roman"/>
                <w:bCs/>
                <w:kern w:val="0"/>
                <w:sz w:val="24"/>
                <w:szCs w:val="24"/>
                <w:lang w:eastAsia="zh-CN"/>
              </w:rPr>
              <w:t>县</w:t>
            </w:r>
            <w:r>
              <w:rPr>
                <w:rFonts w:hint="eastAsia" w:ascii="仿宋" w:hAnsi="仿宋" w:eastAsia="仿宋" w:cs="Times New Roman"/>
                <w:bCs/>
                <w:kern w:val="0"/>
                <w:sz w:val="24"/>
                <w:szCs w:val="24"/>
              </w:rPr>
              <w:t>每年为</w:t>
            </w:r>
            <w:r>
              <w:rPr>
                <w:rFonts w:hint="eastAsia" w:ascii="仿宋" w:hAnsi="仿宋" w:eastAsia="仿宋" w:cs="Times New Roman"/>
                <w:bCs/>
                <w:kern w:val="0"/>
                <w:sz w:val="24"/>
                <w:szCs w:val="24"/>
                <w:lang w:val="en-US" w:eastAsia="zh-CN"/>
              </w:rPr>
              <w:t>40</w:t>
            </w:r>
            <w:r>
              <w:rPr>
                <w:rFonts w:hint="eastAsia" w:ascii="仿宋" w:hAnsi="仿宋" w:eastAsia="仿宋" w:cs="Times New Roman"/>
                <w:bCs/>
                <w:kern w:val="0"/>
                <w:sz w:val="24"/>
                <w:szCs w:val="24"/>
              </w:rPr>
              <w:t>名听障残疾人免费适配助听器。</w:t>
            </w:r>
          </w:p>
          <w:p>
            <w:pPr>
              <w:pageBreakBefore w:val="0"/>
              <w:kinsoku/>
              <w:wordWrap/>
              <w:overflowPunct/>
              <w:topLinePunct w:val="0"/>
              <w:bidi w:val="0"/>
              <w:spacing w:before="0" w:after="0" w:line="600" w:lineRule="exact"/>
              <w:ind w:left="0" w:leftChars="0" w:right="0" w:firstLine="482" w:firstLineChars="200"/>
              <w:textAlignment w:val="auto"/>
              <w:rPr>
                <w:rFonts w:hint="eastAsia" w:ascii="仿宋" w:hAnsi="仿宋" w:eastAsia="仿宋"/>
                <w:bCs/>
                <w:sz w:val="24"/>
                <w:szCs w:val="24"/>
                <w:highlight w:val="none"/>
              </w:rPr>
            </w:pPr>
            <w:r>
              <w:rPr>
                <w:rFonts w:hint="eastAsia" w:ascii="仿宋" w:hAnsi="仿宋" w:eastAsia="仿宋" w:cs="Times New Roman"/>
                <w:b/>
                <w:kern w:val="0"/>
                <w:sz w:val="24"/>
                <w:szCs w:val="24"/>
              </w:rPr>
              <w:t>7.残疾儿童康复定点机构提升行动。</w:t>
            </w:r>
            <w:r>
              <w:rPr>
                <w:rFonts w:hint="eastAsia" w:ascii="仿宋" w:hAnsi="仿宋" w:eastAsia="仿宋" w:cs="Times New Roman"/>
                <w:bCs/>
                <w:kern w:val="0"/>
                <w:sz w:val="24"/>
                <w:szCs w:val="24"/>
              </w:rPr>
              <w:t>建立1所专业化、标准化残疾儿童康复服务机构。</w:t>
            </w:r>
          </w:p>
        </w:tc>
      </w:tr>
    </w:tbl>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val="0"/>
        <w:autoSpaceDN w:val="0"/>
        <w:bidi w:val="0"/>
        <w:adjustRightInd/>
        <w:snapToGrid/>
        <w:spacing w:before="0" w:beforeAutospacing="0" w:after="0" w:afterAutospacing="0" w:line="600" w:lineRule="exact"/>
        <w:ind w:left="0" w:leftChars="0" w:right="0" w:firstLine="640" w:firstLineChars="200"/>
        <w:jc w:val="both"/>
        <w:textAlignment w:val="auto"/>
        <w:rPr>
          <w:rFonts w:hint="eastAsia" w:ascii="仿宋" w:hAnsi="仿宋" w:eastAsia="仿宋" w:cs="仿宋"/>
          <w:i w:val="0"/>
          <w:iCs w:val="0"/>
          <w:caps w:val="0"/>
          <w:color w:val="auto"/>
          <w:spacing w:val="0"/>
          <w:sz w:val="32"/>
          <w:szCs w:val="32"/>
          <w:highlight w:val="none"/>
          <w:shd w:val="clear" w:fill="FFFFFF"/>
        </w:rPr>
      </w:pPr>
    </w:p>
    <w:p>
      <w:pPr>
        <w:pStyle w:val="4"/>
        <w:pageBreakBefore w:val="0"/>
        <w:kinsoku/>
        <w:wordWrap/>
        <w:overflowPunct/>
        <w:topLinePunct w:val="0"/>
        <w:bidi w:val="0"/>
        <w:spacing w:before="0" w:beforeLines="0" w:after="0" w:afterLines="0" w:line="600" w:lineRule="exact"/>
        <w:ind w:left="0" w:leftChars="0" w:right="0"/>
        <w:textAlignment w:val="auto"/>
        <w:rPr>
          <w:rFonts w:hint="eastAsia"/>
        </w:rPr>
      </w:pPr>
      <w:bookmarkStart w:id="20" w:name="_Toc8070"/>
      <w:r>
        <w:rPr>
          <w:rFonts w:hint="eastAsia"/>
        </w:rPr>
        <w:t>（</w:t>
      </w:r>
      <w:r>
        <w:rPr>
          <w:rFonts w:hint="eastAsia"/>
          <w:lang w:eastAsia="zh-CN"/>
        </w:rPr>
        <w:t>五</w:t>
      </w:r>
      <w:r>
        <w:rPr>
          <w:rFonts w:hint="eastAsia"/>
        </w:rPr>
        <w:t>）</w:t>
      </w:r>
      <w:r>
        <w:rPr>
          <w:rFonts w:hint="eastAsia"/>
          <w:lang w:eastAsia="zh-CN"/>
        </w:rPr>
        <w:t>发展</w:t>
      </w:r>
      <w:r>
        <w:rPr>
          <w:rFonts w:hint="eastAsia"/>
        </w:rPr>
        <w:t>残疾人</w:t>
      </w:r>
      <w:r>
        <w:rPr>
          <w:rFonts w:hint="eastAsia"/>
          <w:lang w:eastAsia="zh-CN"/>
        </w:rPr>
        <w:t>教育</w:t>
      </w:r>
      <w:r>
        <w:rPr>
          <w:rFonts w:hint="eastAsia"/>
        </w:rPr>
        <w:t>服务体系，提升</w:t>
      </w:r>
      <w:r>
        <w:rPr>
          <w:rFonts w:hint="eastAsia"/>
          <w:lang w:eastAsia="zh-CN"/>
        </w:rPr>
        <w:t>文化教育</w:t>
      </w:r>
      <w:r>
        <w:rPr>
          <w:rFonts w:hint="eastAsia"/>
        </w:rPr>
        <w:t>质量</w:t>
      </w:r>
      <w:bookmarkEnd w:id="20"/>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val="0"/>
        <w:autoSpaceDN w:val="0"/>
        <w:bidi w:val="0"/>
        <w:adjustRightInd/>
        <w:snapToGrid/>
        <w:spacing w:before="0" w:beforeAutospacing="0" w:after="0" w:afterAutospacing="0" w:line="600" w:lineRule="exact"/>
        <w:ind w:left="0" w:leftChars="0" w:right="0" w:firstLine="643" w:firstLineChars="200"/>
        <w:jc w:val="both"/>
        <w:textAlignment w:val="auto"/>
        <w:rPr>
          <w:rFonts w:hint="eastAsia" w:ascii="仿宋" w:hAnsi="仿宋" w:eastAsia="仿宋" w:cs="仿宋"/>
          <w:b w:val="0"/>
          <w:bCs w:val="0"/>
          <w:i w:val="0"/>
          <w:iCs w:val="0"/>
          <w:caps w:val="0"/>
          <w:color w:val="auto"/>
          <w:spacing w:val="0"/>
          <w:sz w:val="32"/>
          <w:szCs w:val="32"/>
          <w:highlight w:val="none"/>
        </w:rPr>
      </w:pPr>
      <w:r>
        <w:rPr>
          <w:rFonts w:hint="eastAsia" w:ascii="仿宋" w:hAnsi="仿宋" w:eastAsia="仿宋" w:cs="仿宋"/>
          <w:b/>
          <w:bCs/>
          <w:i w:val="0"/>
          <w:iCs w:val="0"/>
          <w:caps w:val="0"/>
          <w:color w:val="auto"/>
          <w:spacing w:val="0"/>
          <w:sz w:val="32"/>
          <w:szCs w:val="32"/>
          <w:highlight w:val="none"/>
          <w:shd w:val="clear" w:fill="FFFFFF"/>
        </w:rPr>
        <w:t> </w:t>
      </w:r>
      <w:r>
        <w:rPr>
          <w:rFonts w:hint="eastAsia" w:ascii="仿宋" w:hAnsi="仿宋" w:eastAsia="仿宋" w:cs="仿宋"/>
          <w:b/>
          <w:bCs/>
          <w:i w:val="0"/>
          <w:iCs w:val="0"/>
          <w:caps w:val="0"/>
          <w:color w:val="auto"/>
          <w:spacing w:val="0"/>
          <w:sz w:val="32"/>
          <w:szCs w:val="32"/>
          <w:highlight w:val="none"/>
          <w:shd w:val="clear" w:fill="FFFFFF"/>
          <w:lang w:val="en-US" w:eastAsia="zh-CN"/>
        </w:rPr>
        <w:t>1.</w:t>
      </w:r>
      <w:r>
        <w:rPr>
          <w:rFonts w:hint="eastAsia" w:ascii="仿宋" w:hAnsi="仿宋" w:eastAsia="仿宋" w:cs="仿宋"/>
          <w:b/>
          <w:bCs/>
          <w:i w:val="0"/>
          <w:iCs w:val="0"/>
          <w:caps w:val="0"/>
          <w:color w:val="auto"/>
          <w:spacing w:val="0"/>
          <w:sz w:val="32"/>
          <w:szCs w:val="32"/>
          <w:highlight w:val="none"/>
          <w:shd w:val="clear" w:fill="FFFFFF"/>
        </w:rPr>
        <w:t>完善残疾人教育保障机制。</w:t>
      </w:r>
      <w:r>
        <w:rPr>
          <w:rFonts w:hint="eastAsia" w:ascii="仿宋" w:hAnsi="仿宋" w:eastAsia="仿宋" w:cs="仿宋"/>
          <w:b w:val="0"/>
          <w:bCs w:val="0"/>
          <w:i w:val="0"/>
          <w:iCs w:val="0"/>
          <w:caps w:val="0"/>
          <w:color w:val="auto"/>
          <w:spacing w:val="0"/>
          <w:sz w:val="32"/>
          <w:szCs w:val="32"/>
          <w:highlight w:val="none"/>
          <w:shd w:val="clear" w:fill="FFFFFF"/>
        </w:rPr>
        <w:t>支</w:t>
      </w:r>
      <w:r>
        <w:rPr>
          <w:rFonts w:hint="eastAsia" w:ascii="仿宋" w:hAnsi="仿宋" w:eastAsia="仿宋" w:cs="仿宋"/>
          <w:i w:val="0"/>
          <w:iCs w:val="0"/>
          <w:caps w:val="0"/>
          <w:color w:val="auto"/>
          <w:spacing w:val="0"/>
          <w:sz w:val="32"/>
          <w:szCs w:val="32"/>
          <w:highlight w:val="none"/>
          <w:shd w:val="clear" w:fill="FFFFFF"/>
        </w:rPr>
        <w:t>持普通幼儿园接收残疾儿童，推进有条件的儿童福利机构、残疾儿童康复机构增设学前部或附设幼儿园。健全特殊教育经费投入机制，落实特殊教育学校、随班就读、特教班和送教上门残疾学生生均公用经费。实行家庭经济困难的残疾学生从义务教育到高中阶段教育的12年免费教育。落实从学前到研究生教育全覆盖的助学政策，按规定对残疾学生和家庭经济困难的残疾人家庭子女学生予以资助。继续改善特殊教育学校办学条件，支持特殊教育学校开展校企合作、产教融合，推动特殊教育学校开展公共实训基地建设，鼓励企业吸纳残疾学生就业和实习实训，对符合条件的企业减征免征残疾人就业保障金。开展残疾人教育教师培训，创新培养方式，提升教书育人能力素质。加强特殊教育督导和质量监测评估。落实好国家手语和</w:t>
      </w:r>
      <w:r>
        <w:rPr>
          <w:rFonts w:hint="eastAsia" w:ascii="仿宋" w:hAnsi="仿宋" w:eastAsia="仿宋" w:cs="仿宋"/>
          <w:b w:val="0"/>
          <w:bCs w:val="0"/>
          <w:i w:val="0"/>
          <w:iCs w:val="0"/>
          <w:caps w:val="0"/>
          <w:color w:val="auto"/>
          <w:spacing w:val="0"/>
          <w:sz w:val="32"/>
          <w:szCs w:val="32"/>
          <w:highlight w:val="none"/>
          <w:shd w:val="clear" w:fill="FFFFFF"/>
        </w:rPr>
        <w:t>盲文规范化行动计划（2021—2025年），加快推广国家通用手语和国家通用盲文。</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val="0"/>
        <w:autoSpaceDN w:val="0"/>
        <w:bidi w:val="0"/>
        <w:adjustRightInd/>
        <w:snapToGrid/>
        <w:spacing w:before="0" w:beforeAutospacing="0" w:after="0" w:afterAutospacing="0" w:line="600" w:lineRule="exact"/>
        <w:ind w:left="0" w:leftChars="0" w:right="0" w:firstLine="643" w:firstLineChars="200"/>
        <w:jc w:val="both"/>
        <w:textAlignment w:val="auto"/>
        <w:rPr>
          <w:rFonts w:hint="eastAsia" w:ascii="仿宋" w:hAnsi="仿宋" w:eastAsia="仿宋" w:cs="仿宋"/>
          <w:b w:val="0"/>
          <w:bCs w:val="0"/>
          <w:i w:val="0"/>
          <w:iCs w:val="0"/>
          <w:caps w:val="0"/>
          <w:color w:val="auto"/>
          <w:spacing w:val="0"/>
          <w:sz w:val="32"/>
          <w:szCs w:val="32"/>
          <w:highlight w:val="none"/>
        </w:rPr>
      </w:pPr>
      <w:r>
        <w:rPr>
          <w:rFonts w:hint="eastAsia" w:ascii="仿宋" w:hAnsi="仿宋" w:eastAsia="仿宋" w:cs="仿宋"/>
          <w:b/>
          <w:bCs/>
          <w:i w:val="0"/>
          <w:iCs w:val="0"/>
          <w:caps w:val="0"/>
          <w:color w:val="auto"/>
          <w:spacing w:val="0"/>
          <w:sz w:val="32"/>
          <w:szCs w:val="32"/>
          <w:highlight w:val="none"/>
          <w:shd w:val="clear" w:fill="FFFFFF"/>
          <w:lang w:val="en-US" w:eastAsia="zh-CN"/>
        </w:rPr>
        <w:t>2.</w:t>
      </w:r>
      <w:r>
        <w:rPr>
          <w:rFonts w:hint="eastAsia" w:ascii="仿宋" w:hAnsi="仿宋" w:eastAsia="仿宋" w:cs="仿宋"/>
          <w:b/>
          <w:bCs/>
          <w:i w:val="0"/>
          <w:iCs w:val="0"/>
          <w:caps w:val="0"/>
          <w:color w:val="auto"/>
          <w:spacing w:val="0"/>
          <w:sz w:val="32"/>
          <w:szCs w:val="32"/>
          <w:highlight w:val="none"/>
          <w:shd w:val="clear" w:fill="FFFFFF"/>
        </w:rPr>
        <w:t>提高残疾人教育水平。</w:t>
      </w:r>
      <w:r>
        <w:rPr>
          <w:rFonts w:hint="eastAsia" w:ascii="仿宋" w:hAnsi="仿宋" w:eastAsia="仿宋" w:cs="仿宋"/>
          <w:b w:val="0"/>
          <w:bCs w:val="0"/>
          <w:i w:val="0"/>
          <w:iCs w:val="0"/>
          <w:caps w:val="0"/>
          <w:color w:val="auto"/>
          <w:spacing w:val="0"/>
          <w:sz w:val="32"/>
          <w:szCs w:val="32"/>
          <w:highlight w:val="none"/>
          <w:shd w:val="clear" w:fill="FFFFFF"/>
        </w:rPr>
        <w:t>坚持立德树人</w:t>
      </w:r>
      <w:r>
        <w:rPr>
          <w:rFonts w:hint="eastAsia" w:ascii="仿宋" w:hAnsi="仿宋" w:eastAsia="仿宋" w:cs="仿宋"/>
          <w:b w:val="0"/>
          <w:bCs w:val="0"/>
          <w:i w:val="0"/>
          <w:iCs w:val="0"/>
          <w:caps w:val="0"/>
          <w:color w:val="auto"/>
          <w:spacing w:val="0"/>
          <w:sz w:val="32"/>
          <w:szCs w:val="32"/>
          <w:highlight w:val="none"/>
          <w:shd w:val="clear" w:fill="FFFFFF"/>
          <w:lang w:eastAsia="zh-CN"/>
        </w:rPr>
        <w:t>，</w:t>
      </w:r>
      <w:r>
        <w:rPr>
          <w:rFonts w:hint="eastAsia" w:ascii="仿宋" w:hAnsi="仿宋" w:eastAsia="仿宋" w:cs="仿宋"/>
          <w:b w:val="0"/>
          <w:bCs w:val="0"/>
          <w:i w:val="0"/>
          <w:iCs w:val="0"/>
          <w:caps w:val="0"/>
          <w:color w:val="auto"/>
          <w:spacing w:val="0"/>
          <w:sz w:val="32"/>
          <w:szCs w:val="32"/>
          <w:highlight w:val="none"/>
          <w:shd w:val="clear" w:fill="FFFFFF"/>
        </w:rPr>
        <w:t>促进残疾儿童少年德智体美劳全面发展。巩固提高残疾儿童少年义务教育水平，提升残疾儿童少年义务教育质量，加快发展非义务教育阶段特殊教育。健全普通学校随班就读支持保障体系，发挥残疾人教育专家委员会作用，实现适龄残疾儿童少年“一人一案”科学教育安置。支持高校、社会组织开展残疾人融合教育。为残疾学生提供辅助器具、特殊学习用品、康复训练和无障碍等支持服务，为残疾学生参加国家、省教育考试和部分职业考试提供合理便利。</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val="0"/>
        <w:autoSpaceDN w:val="0"/>
        <w:bidi w:val="0"/>
        <w:adjustRightInd/>
        <w:snapToGrid/>
        <w:spacing w:before="0" w:beforeAutospacing="0" w:after="0" w:afterAutospacing="0" w:line="600" w:lineRule="exact"/>
        <w:ind w:left="0" w:leftChars="0" w:right="0" w:firstLine="643" w:firstLineChars="200"/>
        <w:jc w:val="both"/>
        <w:textAlignment w:val="auto"/>
        <w:rPr>
          <w:rFonts w:hint="eastAsia" w:ascii="仿宋" w:hAnsi="仿宋" w:eastAsia="仿宋" w:cs="仿宋"/>
          <w:b w:val="0"/>
          <w:bCs w:val="0"/>
          <w:i w:val="0"/>
          <w:iCs w:val="0"/>
          <w:caps w:val="0"/>
          <w:color w:val="auto"/>
          <w:spacing w:val="0"/>
          <w:sz w:val="32"/>
          <w:szCs w:val="32"/>
          <w:highlight w:val="none"/>
        </w:rPr>
      </w:pPr>
      <w:r>
        <w:rPr>
          <w:rFonts w:hint="eastAsia" w:ascii="仿宋" w:hAnsi="仿宋" w:eastAsia="仿宋" w:cs="仿宋"/>
          <w:b/>
          <w:bCs/>
          <w:i w:val="0"/>
          <w:iCs w:val="0"/>
          <w:caps w:val="0"/>
          <w:color w:val="auto"/>
          <w:spacing w:val="0"/>
          <w:sz w:val="32"/>
          <w:szCs w:val="32"/>
          <w:highlight w:val="none"/>
          <w:shd w:val="clear" w:fill="FFFFFF"/>
          <w:lang w:val="en-US" w:eastAsia="zh-CN"/>
        </w:rPr>
        <w:t>3</w:t>
      </w:r>
      <w:r>
        <w:rPr>
          <w:rFonts w:hint="eastAsia" w:ascii="仿宋" w:hAnsi="仿宋" w:eastAsia="仿宋" w:cs="仿宋"/>
          <w:b/>
          <w:bCs/>
          <w:i w:val="0"/>
          <w:iCs w:val="0"/>
          <w:caps w:val="0"/>
          <w:color w:val="auto"/>
          <w:spacing w:val="0"/>
          <w:sz w:val="32"/>
          <w:szCs w:val="32"/>
          <w:highlight w:val="none"/>
          <w:shd w:val="clear" w:fill="FFFFFF"/>
        </w:rPr>
        <w:t>．丰富残疾人精神文化生活。</w:t>
      </w:r>
      <w:r>
        <w:rPr>
          <w:rFonts w:hint="eastAsia" w:ascii="仿宋" w:hAnsi="仿宋" w:eastAsia="仿宋" w:cs="仿宋"/>
          <w:b w:val="0"/>
          <w:bCs w:val="0"/>
          <w:i w:val="0"/>
          <w:iCs w:val="0"/>
          <w:caps w:val="0"/>
          <w:color w:val="auto"/>
          <w:spacing w:val="0"/>
          <w:sz w:val="32"/>
          <w:szCs w:val="32"/>
          <w:highlight w:val="none"/>
          <w:shd w:val="clear" w:fill="FFFFFF"/>
        </w:rPr>
        <w:t>鼓励残疾人参加</w:t>
      </w:r>
      <w:r>
        <w:rPr>
          <w:rFonts w:hint="eastAsia" w:ascii="仿宋" w:hAnsi="仿宋" w:eastAsia="仿宋" w:cs="仿宋"/>
          <w:b w:val="0"/>
          <w:bCs w:val="0"/>
          <w:i w:val="0"/>
          <w:iCs w:val="0"/>
          <w:caps w:val="0"/>
          <w:color w:val="auto"/>
          <w:spacing w:val="0"/>
          <w:sz w:val="32"/>
          <w:szCs w:val="32"/>
          <w:highlight w:val="none"/>
          <w:shd w:val="clear" w:fill="FFFFFF"/>
          <w:lang w:eastAsia="zh-CN"/>
        </w:rPr>
        <w:t>各种</w:t>
      </w:r>
      <w:r>
        <w:rPr>
          <w:rFonts w:hint="eastAsia" w:ascii="仿宋" w:hAnsi="仿宋" w:eastAsia="仿宋" w:cs="仿宋"/>
          <w:b w:val="0"/>
          <w:bCs w:val="0"/>
          <w:i w:val="0"/>
          <w:iCs w:val="0"/>
          <w:caps w:val="0"/>
          <w:color w:val="auto"/>
          <w:spacing w:val="0"/>
          <w:sz w:val="32"/>
          <w:szCs w:val="32"/>
          <w:highlight w:val="none"/>
          <w:shd w:val="clear" w:fill="FFFFFF"/>
        </w:rPr>
        <w:t>公共文化活动，持续开展“残疾人文化周”等残疾人群众性文化艺术活动，不断满足残疾人文化需求、增强残疾人精神力量。加强重度残疾人文化服务。鼓励电视台、广播电台、网络视听媒体和融媒体中心开设残疾人专题节目。发展特殊艺术，鼓励残疾人文化艺术创作和非物质文化遗产传承，扶持优秀残疾人作者和残疾人题材图书出版。扶持残疾人特殊艺术人才和师资培养。</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val="0"/>
        <w:autoSpaceDN w:val="0"/>
        <w:bidi w:val="0"/>
        <w:adjustRightInd/>
        <w:snapToGrid/>
        <w:spacing w:before="0" w:beforeAutospacing="0" w:after="0" w:afterAutospacing="0" w:line="600" w:lineRule="exact"/>
        <w:ind w:left="0" w:leftChars="0" w:right="0" w:firstLine="643" w:firstLineChars="200"/>
        <w:jc w:val="both"/>
        <w:textAlignment w:val="auto"/>
        <w:rPr>
          <w:rFonts w:hint="eastAsia" w:ascii="仿宋" w:hAnsi="仿宋" w:eastAsia="仿宋" w:cs="仿宋"/>
          <w:b w:val="0"/>
          <w:bCs w:val="0"/>
          <w:i w:val="0"/>
          <w:iCs w:val="0"/>
          <w:caps w:val="0"/>
          <w:color w:val="auto"/>
          <w:spacing w:val="0"/>
          <w:sz w:val="32"/>
          <w:szCs w:val="32"/>
          <w:highlight w:val="none"/>
          <w:shd w:val="clear" w:fill="FFFFFF"/>
        </w:rPr>
      </w:pPr>
      <w:r>
        <w:rPr>
          <w:rFonts w:hint="eastAsia" w:ascii="仿宋" w:hAnsi="仿宋" w:eastAsia="仿宋" w:cs="仿宋"/>
          <w:b/>
          <w:bCs/>
          <w:i w:val="0"/>
          <w:iCs w:val="0"/>
          <w:caps w:val="0"/>
          <w:color w:val="auto"/>
          <w:spacing w:val="0"/>
          <w:sz w:val="32"/>
          <w:szCs w:val="32"/>
          <w:highlight w:val="none"/>
          <w:shd w:val="clear" w:fill="FFFFFF"/>
          <w:lang w:val="en-US" w:eastAsia="zh-CN"/>
        </w:rPr>
        <w:t>4</w:t>
      </w:r>
      <w:r>
        <w:rPr>
          <w:rFonts w:hint="eastAsia" w:ascii="仿宋" w:hAnsi="仿宋" w:eastAsia="仿宋" w:cs="仿宋"/>
          <w:b/>
          <w:bCs/>
          <w:i w:val="0"/>
          <w:iCs w:val="0"/>
          <w:caps w:val="0"/>
          <w:color w:val="auto"/>
          <w:spacing w:val="0"/>
          <w:sz w:val="32"/>
          <w:szCs w:val="32"/>
          <w:highlight w:val="none"/>
          <w:shd w:val="clear" w:fill="FFFFFF"/>
        </w:rPr>
        <w:t>．推动残疾人体育发展。</w:t>
      </w:r>
      <w:r>
        <w:rPr>
          <w:rFonts w:hint="eastAsia" w:ascii="仿宋" w:hAnsi="仿宋" w:eastAsia="仿宋" w:cs="仿宋"/>
          <w:b w:val="0"/>
          <w:bCs w:val="0"/>
          <w:i w:val="0"/>
          <w:iCs w:val="0"/>
          <w:caps w:val="0"/>
          <w:color w:val="auto"/>
          <w:spacing w:val="0"/>
          <w:sz w:val="32"/>
          <w:szCs w:val="32"/>
          <w:highlight w:val="none"/>
          <w:shd w:val="clear" w:fill="FFFFFF"/>
        </w:rPr>
        <w:t>实施残疾人康复健身体育行动，将残疾人作为重点人群纳入全民健身公共服务体系建设，组织残疾人参加各类全民健身活动，推动残疾人康复健身体育个性化、优质化服务。</w:t>
      </w:r>
    </w:p>
    <w:tbl>
      <w:tblPr>
        <w:tblStyle w:val="1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0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16" w:type="dxa"/>
          </w:tcPr>
          <w:p>
            <w:pPr>
              <w:pageBreakBefore w:val="0"/>
              <w:kinsoku/>
              <w:wordWrap/>
              <w:overflowPunct/>
              <w:topLinePunct w:val="0"/>
              <w:bidi w:val="0"/>
              <w:spacing w:before="0" w:after="0" w:line="600" w:lineRule="exact"/>
              <w:ind w:left="0" w:leftChars="0" w:right="0"/>
              <w:jc w:val="center"/>
              <w:textAlignment w:val="auto"/>
              <w:rPr>
                <w:rFonts w:hint="eastAsia" w:ascii="仿宋" w:hAnsi="仿宋" w:eastAsia="仿宋"/>
                <w:b/>
                <w:bCs/>
                <w:sz w:val="28"/>
                <w:szCs w:val="28"/>
                <w:highlight w:val="none"/>
              </w:rPr>
            </w:pPr>
            <w:r>
              <w:rPr>
                <w:rFonts w:hint="eastAsia" w:ascii="仿宋" w:hAnsi="仿宋" w:eastAsia="仿宋"/>
                <w:b/>
                <w:bCs/>
                <w:sz w:val="28"/>
                <w:szCs w:val="28"/>
                <w:highlight w:val="none"/>
              </w:rPr>
              <w:t>专栏</w:t>
            </w:r>
            <w:r>
              <w:rPr>
                <w:rFonts w:hint="eastAsia" w:ascii="仿宋" w:hAnsi="仿宋" w:eastAsia="仿宋"/>
                <w:b/>
                <w:bCs/>
                <w:sz w:val="28"/>
                <w:szCs w:val="28"/>
                <w:highlight w:val="none"/>
                <w:lang w:val="en-US" w:eastAsia="zh-CN"/>
              </w:rPr>
              <w:t>5</w:t>
            </w:r>
            <w:r>
              <w:rPr>
                <w:rFonts w:hint="eastAsia" w:ascii="仿宋" w:hAnsi="仿宋" w:eastAsia="仿宋"/>
                <w:b/>
                <w:bCs/>
                <w:sz w:val="28"/>
                <w:szCs w:val="28"/>
                <w:highlight w:val="none"/>
              </w:rPr>
              <w:t>：</w:t>
            </w:r>
            <w:r>
              <w:rPr>
                <w:rFonts w:hint="eastAsia" w:ascii="仿宋" w:hAnsi="仿宋" w:eastAsia="仿宋" w:cs="Times New Roman"/>
                <w:b/>
                <w:bCs/>
                <w:kern w:val="0"/>
                <w:sz w:val="28"/>
                <w:szCs w:val="28"/>
              </w:rPr>
              <w:t>残疾人教育文化体育发展重点项目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16" w:type="dxa"/>
          </w:tcPr>
          <w:p>
            <w:pPr>
              <w:pageBreakBefore w:val="0"/>
              <w:kinsoku/>
              <w:wordWrap/>
              <w:overflowPunct/>
              <w:topLinePunct w:val="0"/>
              <w:bidi w:val="0"/>
              <w:spacing w:before="0" w:after="0" w:line="600" w:lineRule="exact"/>
              <w:ind w:left="0" w:leftChars="0" w:right="0" w:firstLine="480" w:firstLineChars="200"/>
              <w:textAlignment w:val="auto"/>
              <w:rPr>
                <w:rFonts w:ascii="黑体" w:hAnsi="黑体" w:eastAsia="黑体" w:cs="Times New Roman"/>
                <w:bCs/>
                <w:kern w:val="0"/>
                <w:sz w:val="24"/>
                <w:szCs w:val="24"/>
              </w:rPr>
            </w:pPr>
            <w:r>
              <w:rPr>
                <w:rFonts w:ascii="黑体" w:hAnsi="黑体" w:eastAsia="黑体" w:cs="Times New Roman"/>
                <w:bCs/>
                <w:kern w:val="0"/>
                <w:sz w:val="24"/>
                <w:szCs w:val="24"/>
              </w:rPr>
              <w:t>一、残疾人教育</w:t>
            </w:r>
          </w:p>
          <w:p>
            <w:pPr>
              <w:pageBreakBefore w:val="0"/>
              <w:kinsoku/>
              <w:wordWrap/>
              <w:overflowPunct/>
              <w:topLinePunct w:val="0"/>
              <w:bidi w:val="0"/>
              <w:spacing w:before="0" w:after="0" w:line="600" w:lineRule="exact"/>
              <w:ind w:left="0" w:leftChars="0" w:right="0" w:firstLine="482" w:firstLineChars="200"/>
              <w:textAlignment w:val="auto"/>
              <w:rPr>
                <w:rFonts w:ascii="仿宋" w:hAnsi="仿宋" w:eastAsia="仿宋" w:cs="Times New Roman"/>
                <w:bCs/>
                <w:kern w:val="0"/>
                <w:sz w:val="24"/>
                <w:szCs w:val="24"/>
              </w:rPr>
            </w:pPr>
            <w:r>
              <w:rPr>
                <w:rFonts w:ascii="仿宋" w:hAnsi="仿宋" w:eastAsia="仿宋" w:cs="Times New Roman"/>
                <w:b/>
                <w:kern w:val="0"/>
                <w:sz w:val="24"/>
                <w:szCs w:val="24"/>
              </w:rPr>
              <w:t>1.适龄残疾儿童精准义教项目。</w:t>
            </w:r>
            <w:r>
              <w:rPr>
                <w:rFonts w:ascii="仿宋" w:hAnsi="仿宋" w:eastAsia="仿宋" w:cs="Times New Roman"/>
                <w:bCs/>
                <w:kern w:val="0"/>
                <w:sz w:val="24"/>
                <w:szCs w:val="24"/>
              </w:rPr>
              <w:t>对适龄儿童少年入学需求进行排查和评估, 规范送教上门服务,巩固提升残疾儿童少年义务教育。</w:t>
            </w:r>
          </w:p>
          <w:p>
            <w:pPr>
              <w:pageBreakBefore w:val="0"/>
              <w:kinsoku/>
              <w:wordWrap/>
              <w:overflowPunct/>
              <w:topLinePunct w:val="0"/>
              <w:bidi w:val="0"/>
              <w:spacing w:before="0" w:after="0" w:line="600" w:lineRule="exact"/>
              <w:ind w:left="0" w:leftChars="0" w:right="0" w:firstLine="482" w:firstLineChars="200"/>
              <w:textAlignment w:val="auto"/>
              <w:rPr>
                <w:rFonts w:ascii="仿宋" w:hAnsi="仿宋" w:eastAsia="仿宋" w:cs="Times New Roman"/>
                <w:bCs/>
                <w:kern w:val="0"/>
                <w:sz w:val="24"/>
                <w:szCs w:val="24"/>
              </w:rPr>
            </w:pPr>
            <w:r>
              <w:rPr>
                <w:rFonts w:ascii="仿宋" w:hAnsi="仿宋" w:eastAsia="仿宋" w:cs="Times New Roman"/>
                <w:b/>
                <w:kern w:val="0"/>
                <w:sz w:val="24"/>
                <w:szCs w:val="24"/>
              </w:rPr>
              <w:t>2.特殊教育融合发展项目。</w:t>
            </w:r>
            <w:r>
              <w:rPr>
                <w:rFonts w:ascii="仿宋" w:hAnsi="仿宋" w:eastAsia="仿宋" w:cs="Times New Roman"/>
                <w:bCs/>
                <w:kern w:val="0"/>
                <w:sz w:val="24"/>
                <w:szCs w:val="24"/>
              </w:rPr>
              <w:t>鼓励普通幼儿园招收残疾幼儿,支持特殊教育学校、残疾儿童康复机构、儿童福利机构开展学前康复教育,建立残疾儿童学前康复教育机构。</w:t>
            </w:r>
          </w:p>
          <w:p>
            <w:pPr>
              <w:pageBreakBefore w:val="0"/>
              <w:kinsoku/>
              <w:wordWrap/>
              <w:overflowPunct/>
              <w:topLinePunct w:val="0"/>
              <w:bidi w:val="0"/>
              <w:spacing w:before="0" w:after="0" w:line="600" w:lineRule="exact"/>
              <w:ind w:left="0" w:leftChars="0" w:right="0" w:firstLine="482" w:firstLineChars="200"/>
              <w:textAlignment w:val="auto"/>
              <w:rPr>
                <w:rFonts w:ascii="仿宋" w:hAnsi="仿宋" w:eastAsia="仿宋" w:cs="Times New Roman"/>
                <w:bCs/>
                <w:kern w:val="0"/>
                <w:sz w:val="24"/>
                <w:szCs w:val="24"/>
              </w:rPr>
            </w:pPr>
            <w:r>
              <w:rPr>
                <w:rFonts w:ascii="仿宋" w:hAnsi="仿宋" w:eastAsia="仿宋" w:cs="Times New Roman"/>
                <w:b/>
                <w:kern w:val="0"/>
                <w:sz w:val="24"/>
                <w:szCs w:val="24"/>
              </w:rPr>
              <w:t>3.残疾人职业教育提升项目。</w:t>
            </w:r>
            <w:r>
              <w:rPr>
                <w:rFonts w:ascii="仿宋" w:hAnsi="仿宋" w:eastAsia="仿宋" w:cs="Times New Roman"/>
                <w:bCs/>
                <w:kern w:val="0"/>
                <w:sz w:val="24"/>
                <w:szCs w:val="24"/>
              </w:rPr>
              <w:t>支持普通职业院校招收残疾学生,开设残疾人高职专业;鼓励支持特殊教育学校与职业院校、残疾人服务机构联合开展残疾人 职业教育;加强残疾人实训基地建设。</w:t>
            </w:r>
          </w:p>
          <w:p>
            <w:pPr>
              <w:pageBreakBefore w:val="0"/>
              <w:kinsoku/>
              <w:wordWrap/>
              <w:overflowPunct/>
              <w:topLinePunct w:val="0"/>
              <w:bidi w:val="0"/>
              <w:spacing w:before="0" w:after="0" w:line="600" w:lineRule="exact"/>
              <w:ind w:left="0" w:leftChars="0" w:right="0" w:firstLine="482" w:firstLineChars="200"/>
              <w:textAlignment w:val="auto"/>
              <w:rPr>
                <w:rFonts w:ascii="仿宋" w:hAnsi="仿宋" w:eastAsia="仿宋" w:cs="Times New Roman"/>
                <w:bCs/>
                <w:kern w:val="0"/>
                <w:sz w:val="24"/>
                <w:szCs w:val="24"/>
              </w:rPr>
            </w:pPr>
            <w:r>
              <w:rPr>
                <w:rFonts w:ascii="仿宋" w:hAnsi="仿宋" w:eastAsia="仿宋" w:cs="Times New Roman"/>
                <w:b/>
                <w:kern w:val="0"/>
                <w:sz w:val="24"/>
                <w:szCs w:val="24"/>
              </w:rPr>
              <w:t>4.特殊教育资源优化项目。</w:t>
            </w:r>
            <w:r>
              <w:rPr>
                <w:rFonts w:ascii="仿宋" w:hAnsi="仿宋" w:eastAsia="仿宋" w:cs="Times New Roman"/>
                <w:bCs/>
                <w:kern w:val="0"/>
                <w:sz w:val="24"/>
                <w:szCs w:val="24"/>
              </w:rPr>
              <w:t>加强特殊教育资源优化配置,支持适龄残疾学生 根据身体状况,优先、就近在具备相应资源和条件的普通学校入学。建好用好随班就读区域资源中心或资源教室,配备必要的教育和康复训练设施设备、专业人员。实施特殊教育学校校长、特殊教育骨干教师、融合教育骨干教师培训项目, 加强国家通用手语盲文推广人才培养。</w:t>
            </w:r>
          </w:p>
          <w:p>
            <w:pPr>
              <w:pageBreakBefore w:val="0"/>
              <w:kinsoku/>
              <w:wordWrap/>
              <w:overflowPunct/>
              <w:topLinePunct w:val="0"/>
              <w:bidi w:val="0"/>
              <w:spacing w:before="0" w:after="0" w:line="600" w:lineRule="exact"/>
              <w:ind w:left="0" w:leftChars="0" w:right="0" w:firstLine="480" w:firstLineChars="200"/>
              <w:textAlignment w:val="auto"/>
              <w:rPr>
                <w:rFonts w:ascii="黑体" w:hAnsi="黑体" w:eastAsia="黑体" w:cs="Times New Roman"/>
                <w:bCs/>
                <w:kern w:val="0"/>
                <w:sz w:val="24"/>
                <w:szCs w:val="24"/>
              </w:rPr>
            </w:pPr>
            <w:r>
              <w:rPr>
                <w:rFonts w:ascii="黑体" w:hAnsi="黑体" w:eastAsia="黑体" w:cs="Times New Roman"/>
                <w:bCs/>
                <w:kern w:val="0"/>
                <w:sz w:val="24"/>
                <w:szCs w:val="24"/>
              </w:rPr>
              <w:t>二、残疾人文化</w:t>
            </w:r>
          </w:p>
          <w:p>
            <w:pPr>
              <w:pageBreakBefore w:val="0"/>
              <w:kinsoku/>
              <w:wordWrap/>
              <w:overflowPunct/>
              <w:topLinePunct w:val="0"/>
              <w:bidi w:val="0"/>
              <w:spacing w:before="0" w:after="0" w:line="600" w:lineRule="exact"/>
              <w:ind w:left="0" w:leftChars="0" w:right="0" w:firstLine="482" w:firstLineChars="200"/>
              <w:textAlignment w:val="auto"/>
              <w:rPr>
                <w:rFonts w:ascii="仿宋" w:hAnsi="仿宋" w:eastAsia="仿宋" w:cs="Times New Roman"/>
                <w:bCs/>
                <w:kern w:val="0"/>
                <w:sz w:val="24"/>
                <w:szCs w:val="24"/>
              </w:rPr>
            </w:pPr>
            <w:r>
              <w:rPr>
                <w:rFonts w:ascii="仿宋" w:hAnsi="仿宋" w:eastAsia="仿宋" w:cs="Times New Roman"/>
                <w:b/>
                <w:kern w:val="0"/>
                <w:sz w:val="24"/>
                <w:szCs w:val="24"/>
              </w:rPr>
              <w:t>1.残疾人“五个一”文化活动。</w:t>
            </w:r>
            <w:r>
              <w:rPr>
                <w:rFonts w:ascii="仿宋" w:hAnsi="仿宋" w:eastAsia="仿宋" w:cs="Times New Roman"/>
                <w:bCs/>
                <w:kern w:val="0"/>
                <w:sz w:val="24"/>
                <w:szCs w:val="24"/>
              </w:rPr>
              <w:t>持续开展 “五个一”进家庭、进社区服务, 创建一批残健融合文化服务示范中心。</w:t>
            </w:r>
          </w:p>
          <w:p>
            <w:pPr>
              <w:pageBreakBefore w:val="0"/>
              <w:kinsoku/>
              <w:wordWrap/>
              <w:overflowPunct/>
              <w:topLinePunct w:val="0"/>
              <w:bidi w:val="0"/>
              <w:spacing w:before="0" w:after="0" w:line="600" w:lineRule="exact"/>
              <w:ind w:left="0" w:leftChars="0" w:right="0" w:firstLine="482" w:firstLineChars="200"/>
              <w:textAlignment w:val="auto"/>
              <w:rPr>
                <w:rFonts w:ascii="仿宋" w:hAnsi="仿宋" w:eastAsia="仿宋" w:cs="Times New Roman"/>
                <w:bCs/>
                <w:kern w:val="0"/>
                <w:sz w:val="24"/>
                <w:szCs w:val="24"/>
              </w:rPr>
            </w:pPr>
            <w:r>
              <w:rPr>
                <w:rFonts w:ascii="仿宋" w:hAnsi="仿宋" w:eastAsia="仿宋" w:cs="Times New Roman"/>
                <w:b/>
                <w:kern w:val="0"/>
                <w:sz w:val="24"/>
                <w:szCs w:val="24"/>
              </w:rPr>
              <w:t>2.残疾人文化创意产业发展项目。</w:t>
            </w:r>
            <w:r>
              <w:rPr>
                <w:rFonts w:ascii="仿宋" w:hAnsi="仿宋" w:eastAsia="仿宋" w:cs="Times New Roman"/>
                <w:bCs/>
                <w:kern w:val="0"/>
                <w:sz w:val="24"/>
                <w:szCs w:val="24"/>
              </w:rPr>
              <w:t>扶持一批吸纳残疾人就业多、具有良好市场发展前景的残疾人文化创意产业基地,实施残疾人参与非物质文化遗产传承、 振兴传统工艺等文化产业发展项目。</w:t>
            </w:r>
          </w:p>
          <w:p>
            <w:pPr>
              <w:pageBreakBefore w:val="0"/>
              <w:kinsoku/>
              <w:wordWrap/>
              <w:overflowPunct/>
              <w:topLinePunct w:val="0"/>
              <w:bidi w:val="0"/>
              <w:spacing w:before="0" w:after="0" w:line="600" w:lineRule="exact"/>
              <w:ind w:left="0" w:leftChars="0" w:right="0" w:firstLine="480" w:firstLineChars="200"/>
              <w:textAlignment w:val="auto"/>
              <w:rPr>
                <w:rFonts w:ascii="黑体" w:hAnsi="黑体" w:eastAsia="黑体" w:cs="Times New Roman"/>
                <w:bCs/>
                <w:kern w:val="0"/>
                <w:sz w:val="24"/>
                <w:szCs w:val="24"/>
              </w:rPr>
            </w:pPr>
            <w:r>
              <w:rPr>
                <w:rFonts w:ascii="黑体" w:hAnsi="黑体" w:eastAsia="黑体" w:cs="Times New Roman"/>
                <w:bCs/>
                <w:kern w:val="0"/>
                <w:sz w:val="24"/>
                <w:szCs w:val="24"/>
              </w:rPr>
              <w:t>三、残疾人体育</w:t>
            </w:r>
          </w:p>
          <w:p>
            <w:pPr>
              <w:pageBreakBefore w:val="0"/>
              <w:kinsoku/>
              <w:wordWrap/>
              <w:overflowPunct/>
              <w:topLinePunct w:val="0"/>
              <w:bidi w:val="0"/>
              <w:spacing w:before="0" w:after="0" w:line="600" w:lineRule="exact"/>
              <w:ind w:left="0" w:leftChars="0" w:right="0" w:firstLine="482" w:firstLineChars="200"/>
              <w:textAlignment w:val="auto"/>
              <w:rPr>
                <w:rFonts w:ascii="仿宋" w:hAnsi="仿宋" w:eastAsia="仿宋" w:cs="Times New Roman"/>
                <w:bCs/>
                <w:kern w:val="0"/>
                <w:sz w:val="24"/>
                <w:szCs w:val="24"/>
              </w:rPr>
            </w:pPr>
            <w:r>
              <w:rPr>
                <w:rFonts w:ascii="仿宋" w:hAnsi="仿宋" w:eastAsia="仿宋" w:cs="Times New Roman"/>
                <w:b/>
                <w:kern w:val="0"/>
                <w:sz w:val="24"/>
                <w:szCs w:val="24"/>
              </w:rPr>
              <w:t>1.残疾人竞技体育提升项目。</w:t>
            </w:r>
            <w:r>
              <w:rPr>
                <w:rFonts w:ascii="仿宋" w:hAnsi="仿宋" w:eastAsia="仿宋" w:cs="Times New Roman"/>
                <w:bCs/>
                <w:kern w:val="0"/>
                <w:sz w:val="24"/>
                <w:szCs w:val="24"/>
              </w:rPr>
              <w:t>建立</w:t>
            </w:r>
            <w:r>
              <w:rPr>
                <w:rFonts w:hint="eastAsia" w:ascii="仿宋" w:hAnsi="仿宋" w:eastAsia="仿宋" w:cs="Times New Roman"/>
                <w:bCs/>
                <w:kern w:val="0"/>
                <w:sz w:val="24"/>
                <w:szCs w:val="24"/>
                <w:lang w:eastAsia="zh-CN"/>
              </w:rPr>
              <w:t>县</w:t>
            </w:r>
            <w:r>
              <w:rPr>
                <w:rFonts w:hint="eastAsia" w:ascii="仿宋" w:hAnsi="仿宋" w:eastAsia="仿宋" w:cs="Times New Roman"/>
                <w:bCs/>
                <w:kern w:val="0"/>
                <w:sz w:val="24"/>
                <w:szCs w:val="24"/>
              </w:rPr>
              <w:t>级</w:t>
            </w:r>
            <w:r>
              <w:rPr>
                <w:rFonts w:ascii="仿宋" w:hAnsi="仿宋" w:eastAsia="仿宋" w:cs="Times New Roman"/>
                <w:bCs/>
                <w:kern w:val="0"/>
                <w:sz w:val="24"/>
                <w:szCs w:val="24"/>
              </w:rPr>
              <w:t>残疾人体育训练基地,开展残疾人竞技体育项目训练,完善必要的训练器械设备设施配备,加大残疾人运动员、教练员、裁判员培养力度。</w:t>
            </w:r>
          </w:p>
          <w:p>
            <w:pPr>
              <w:pageBreakBefore w:val="0"/>
              <w:kinsoku/>
              <w:wordWrap/>
              <w:overflowPunct/>
              <w:topLinePunct w:val="0"/>
              <w:bidi w:val="0"/>
              <w:spacing w:before="0" w:after="0" w:line="600" w:lineRule="exact"/>
              <w:ind w:left="0" w:leftChars="0" w:right="0" w:firstLine="482" w:firstLineChars="200"/>
              <w:textAlignment w:val="auto"/>
              <w:rPr>
                <w:rFonts w:hint="eastAsia" w:ascii="仿宋" w:hAnsi="仿宋" w:eastAsia="仿宋"/>
                <w:bCs/>
                <w:sz w:val="24"/>
                <w:szCs w:val="24"/>
                <w:highlight w:val="none"/>
              </w:rPr>
            </w:pPr>
            <w:r>
              <w:rPr>
                <w:rFonts w:ascii="仿宋" w:hAnsi="仿宋" w:eastAsia="仿宋" w:cs="Times New Roman"/>
                <w:b/>
                <w:kern w:val="0"/>
                <w:sz w:val="24"/>
                <w:szCs w:val="24"/>
              </w:rPr>
              <w:t>2.残疾人群众体育推广项目。</w:t>
            </w:r>
            <w:r>
              <w:rPr>
                <w:rFonts w:ascii="仿宋" w:hAnsi="仿宋" w:eastAsia="仿宋" w:cs="Times New Roman"/>
                <w:bCs/>
                <w:kern w:val="0"/>
                <w:sz w:val="24"/>
                <w:szCs w:val="24"/>
              </w:rPr>
              <w:t>推广残疾人康复健身体育项目、方法、器具, 创建残疾人自强健身示范点,为重度残疾人提供康复体育进家庭服务,举办好 “残疾人冰雪运动季”“残疾人健身周”“全国特奥日”“牵着蜗牛去散步”等群众性体育活动。</w:t>
            </w:r>
          </w:p>
        </w:tc>
      </w:tr>
    </w:tbl>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val="0"/>
        <w:autoSpaceDN w:val="0"/>
        <w:bidi w:val="0"/>
        <w:adjustRightInd/>
        <w:snapToGrid/>
        <w:spacing w:before="0" w:beforeAutospacing="0" w:after="0" w:afterAutospacing="0" w:line="600" w:lineRule="exact"/>
        <w:ind w:left="0" w:leftChars="0" w:right="0" w:firstLine="640" w:firstLineChars="200"/>
        <w:jc w:val="both"/>
        <w:textAlignment w:val="auto"/>
        <w:rPr>
          <w:rFonts w:hint="eastAsia" w:ascii="仿宋" w:hAnsi="仿宋" w:eastAsia="仿宋" w:cs="仿宋"/>
          <w:b w:val="0"/>
          <w:bCs w:val="0"/>
          <w:i w:val="0"/>
          <w:iCs w:val="0"/>
          <w:caps w:val="0"/>
          <w:color w:val="auto"/>
          <w:spacing w:val="0"/>
          <w:sz w:val="32"/>
          <w:szCs w:val="32"/>
          <w:highlight w:val="none"/>
          <w:shd w:val="clear" w:fill="FFFFFF"/>
        </w:rPr>
      </w:pPr>
    </w:p>
    <w:p>
      <w:pPr>
        <w:pStyle w:val="4"/>
        <w:pageBreakBefore w:val="0"/>
        <w:kinsoku/>
        <w:wordWrap/>
        <w:overflowPunct/>
        <w:topLinePunct w:val="0"/>
        <w:bidi w:val="0"/>
        <w:spacing w:before="0" w:beforeLines="0" w:after="0" w:afterLines="0" w:line="600" w:lineRule="exact"/>
        <w:ind w:left="0" w:leftChars="0" w:right="0"/>
        <w:textAlignment w:val="auto"/>
        <w:rPr>
          <w:rFonts w:hint="eastAsia"/>
        </w:rPr>
      </w:pPr>
      <w:bookmarkStart w:id="21" w:name="_Toc23922"/>
      <w:r>
        <w:rPr>
          <w:rFonts w:hint="eastAsia"/>
          <w:lang w:eastAsia="zh-CN"/>
        </w:rPr>
        <w:t>（</w:t>
      </w:r>
      <w:r>
        <w:rPr>
          <w:rFonts w:hint="eastAsia"/>
          <w:lang w:val="en-US" w:eastAsia="zh-CN"/>
        </w:rPr>
        <w:t>六</w:t>
      </w:r>
      <w:r>
        <w:rPr>
          <w:rFonts w:hint="eastAsia"/>
          <w:lang w:eastAsia="zh-CN"/>
        </w:rPr>
        <w:t>）</w:t>
      </w:r>
      <w:r>
        <w:rPr>
          <w:rFonts w:hint="eastAsia"/>
        </w:rPr>
        <w:t>加强无障碍环境建设，提高残疾人生活便利程度</w:t>
      </w:r>
      <w:bookmarkEnd w:id="21"/>
    </w:p>
    <w:p>
      <w:pPr>
        <w:pStyle w:val="10"/>
        <w:keepNext w:val="0"/>
        <w:keepLines w:val="0"/>
        <w:pageBreakBefore w:val="0"/>
        <w:widowControl/>
        <w:numPr>
          <w:ilvl w:val="0"/>
          <w:numId w:val="2"/>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val="0"/>
        <w:autoSpaceDN w:val="0"/>
        <w:bidi w:val="0"/>
        <w:adjustRightInd/>
        <w:snapToGrid/>
        <w:spacing w:before="0" w:beforeAutospacing="0" w:after="0" w:afterAutospacing="0" w:line="600" w:lineRule="exact"/>
        <w:ind w:left="0" w:leftChars="0" w:right="0" w:firstLine="643" w:firstLineChars="200"/>
        <w:jc w:val="both"/>
        <w:textAlignment w:val="auto"/>
        <w:rPr>
          <w:rFonts w:hint="eastAsia" w:ascii="仿宋" w:hAnsi="仿宋" w:eastAsia="仿宋" w:cs="仿宋"/>
          <w:i w:val="0"/>
          <w:iCs w:val="0"/>
          <w:caps w:val="0"/>
          <w:color w:val="auto"/>
          <w:spacing w:val="0"/>
          <w:sz w:val="32"/>
          <w:szCs w:val="32"/>
          <w:highlight w:val="none"/>
          <w:shd w:val="clear" w:fill="FFFFFF"/>
        </w:rPr>
      </w:pPr>
      <w:r>
        <w:rPr>
          <w:rFonts w:hint="eastAsia" w:ascii="仿宋" w:hAnsi="仿宋" w:eastAsia="仿宋" w:cs="仿宋"/>
          <w:b/>
          <w:bCs/>
          <w:i w:val="0"/>
          <w:iCs w:val="0"/>
          <w:caps w:val="0"/>
          <w:color w:val="auto"/>
          <w:spacing w:val="0"/>
          <w:sz w:val="32"/>
          <w:szCs w:val="32"/>
          <w:highlight w:val="none"/>
          <w:shd w:val="clear" w:fill="FFFFFF"/>
        </w:rPr>
        <w:t>提升</w:t>
      </w:r>
      <w:r>
        <w:rPr>
          <w:rFonts w:hint="eastAsia" w:ascii="仿宋" w:hAnsi="仿宋" w:eastAsia="仿宋" w:cs="仿宋"/>
          <w:b/>
          <w:bCs/>
          <w:i w:val="0"/>
          <w:iCs w:val="0"/>
          <w:caps w:val="0"/>
          <w:color w:val="auto"/>
          <w:spacing w:val="0"/>
          <w:sz w:val="32"/>
          <w:szCs w:val="32"/>
          <w:highlight w:val="none"/>
          <w:shd w:val="clear" w:fill="FFFFFF"/>
          <w:lang w:eastAsia="zh-CN"/>
        </w:rPr>
        <w:t>公公共环境</w:t>
      </w:r>
      <w:r>
        <w:rPr>
          <w:rFonts w:hint="eastAsia" w:ascii="仿宋" w:hAnsi="仿宋" w:eastAsia="仿宋" w:cs="仿宋"/>
          <w:b/>
          <w:bCs/>
          <w:i w:val="0"/>
          <w:iCs w:val="0"/>
          <w:caps w:val="0"/>
          <w:color w:val="auto"/>
          <w:spacing w:val="0"/>
          <w:sz w:val="32"/>
          <w:szCs w:val="32"/>
          <w:highlight w:val="none"/>
          <w:shd w:val="clear" w:fill="FFFFFF"/>
        </w:rPr>
        <w:t>无障碍环境品质。</w:t>
      </w:r>
      <w:r>
        <w:rPr>
          <w:rFonts w:hint="eastAsia" w:ascii="仿宋" w:hAnsi="仿宋" w:eastAsia="仿宋" w:cs="仿宋"/>
          <w:b w:val="0"/>
          <w:bCs w:val="0"/>
          <w:i w:val="0"/>
          <w:iCs w:val="0"/>
          <w:caps w:val="0"/>
          <w:color w:val="auto"/>
          <w:spacing w:val="0"/>
          <w:sz w:val="32"/>
          <w:szCs w:val="32"/>
          <w:highlight w:val="none"/>
          <w:shd w:val="clear" w:fill="FFFFFF"/>
        </w:rPr>
        <w:t>改</w:t>
      </w:r>
      <w:r>
        <w:rPr>
          <w:rFonts w:hint="eastAsia" w:ascii="仿宋" w:hAnsi="仿宋" w:eastAsia="仿宋" w:cs="仿宋"/>
          <w:i w:val="0"/>
          <w:iCs w:val="0"/>
          <w:caps w:val="0"/>
          <w:color w:val="auto"/>
          <w:spacing w:val="0"/>
          <w:sz w:val="32"/>
          <w:szCs w:val="32"/>
          <w:highlight w:val="none"/>
          <w:shd w:val="clear" w:fill="FFFFFF"/>
        </w:rPr>
        <w:t>善城市道路无障碍设施，完善公共交通无障碍设施。优化公共服务场所设施，推进政府和机关的公共服务场所无障碍设施基本达标。结合城市更新行动，统筹推进老旧小区无障碍改造。结合厕所革命，加快推广无障碍公共厕所。建立困难残疾人家庭无障碍改造需求库，支持困难残疾人家庭实施无障碍改造，修订家庭无障碍改造服务规范，提升精准改造水平。加快景区无障碍设施建设，推进无障碍旅游。开展“无障碍宣传周”活动，提高全社会无障碍意识。</w:t>
      </w:r>
    </w:p>
    <w:tbl>
      <w:tblPr>
        <w:tblStyle w:val="1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2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6" w:type="dxa"/>
          </w:tcPr>
          <w:p>
            <w:pPr>
              <w:pageBreakBefore w:val="0"/>
              <w:kinsoku/>
              <w:wordWrap/>
              <w:overflowPunct/>
              <w:topLinePunct w:val="0"/>
              <w:bidi w:val="0"/>
              <w:spacing w:before="0" w:after="0" w:line="600" w:lineRule="exact"/>
              <w:ind w:left="0" w:leftChars="0" w:right="0"/>
              <w:jc w:val="center"/>
              <w:textAlignment w:val="auto"/>
              <w:rPr>
                <w:rFonts w:hint="eastAsia" w:ascii="仿宋" w:hAnsi="仿宋" w:eastAsia="仿宋"/>
                <w:b/>
                <w:bCs/>
                <w:sz w:val="28"/>
                <w:szCs w:val="28"/>
                <w:highlight w:val="none"/>
              </w:rPr>
            </w:pPr>
            <w:r>
              <w:rPr>
                <w:rFonts w:hint="eastAsia" w:ascii="仿宋" w:hAnsi="仿宋" w:eastAsia="仿宋"/>
                <w:b/>
                <w:bCs/>
                <w:sz w:val="28"/>
                <w:szCs w:val="28"/>
                <w:highlight w:val="none"/>
              </w:rPr>
              <w:t>专栏</w:t>
            </w:r>
            <w:r>
              <w:rPr>
                <w:rFonts w:hint="eastAsia" w:ascii="仿宋" w:hAnsi="仿宋" w:eastAsia="仿宋"/>
                <w:b/>
                <w:bCs/>
                <w:sz w:val="28"/>
                <w:szCs w:val="28"/>
                <w:highlight w:val="none"/>
                <w:lang w:val="en-US" w:eastAsia="zh-CN"/>
              </w:rPr>
              <w:t>6</w:t>
            </w:r>
            <w:r>
              <w:rPr>
                <w:rFonts w:hint="eastAsia" w:ascii="仿宋" w:hAnsi="仿宋" w:eastAsia="仿宋"/>
                <w:b/>
                <w:bCs/>
                <w:sz w:val="28"/>
                <w:szCs w:val="28"/>
                <w:highlight w:val="none"/>
              </w:rPr>
              <w:t>：残疾人</w:t>
            </w:r>
            <w:r>
              <w:rPr>
                <w:rFonts w:hint="eastAsia" w:ascii="仿宋" w:hAnsi="仿宋" w:eastAsia="仿宋"/>
                <w:b/>
                <w:bCs/>
                <w:sz w:val="28"/>
                <w:szCs w:val="28"/>
                <w:highlight w:val="none"/>
                <w:lang w:val="en-US" w:eastAsia="zh-CN"/>
              </w:rPr>
              <w:t>无障碍</w:t>
            </w:r>
            <w:r>
              <w:rPr>
                <w:rFonts w:hint="eastAsia" w:ascii="仿宋" w:hAnsi="仿宋" w:eastAsia="仿宋"/>
                <w:b/>
                <w:bCs/>
                <w:sz w:val="28"/>
                <w:szCs w:val="28"/>
                <w:highlight w:val="none"/>
              </w:rPr>
              <w:t>服务重点项目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6" w:type="dxa"/>
          </w:tcPr>
          <w:p>
            <w:pPr>
              <w:pageBreakBefore w:val="0"/>
              <w:kinsoku/>
              <w:wordWrap/>
              <w:overflowPunct/>
              <w:topLinePunct w:val="0"/>
              <w:bidi w:val="0"/>
              <w:spacing w:before="0" w:after="0" w:line="600" w:lineRule="exact"/>
              <w:ind w:left="0" w:leftChars="0" w:right="0" w:firstLine="482" w:firstLineChars="200"/>
              <w:textAlignment w:val="auto"/>
              <w:rPr>
                <w:rFonts w:ascii="仿宋" w:hAnsi="仿宋" w:eastAsia="仿宋" w:cs="Times New Roman"/>
                <w:bCs/>
                <w:kern w:val="0"/>
                <w:sz w:val="24"/>
                <w:szCs w:val="24"/>
              </w:rPr>
            </w:pPr>
            <w:r>
              <w:rPr>
                <w:rFonts w:ascii="仿宋" w:hAnsi="仿宋" w:eastAsia="仿宋" w:cs="Times New Roman"/>
                <w:b/>
                <w:kern w:val="0"/>
                <w:sz w:val="24"/>
                <w:szCs w:val="24"/>
              </w:rPr>
              <w:t>1.公共环境设施无障碍建设改造项目。</w:t>
            </w:r>
            <w:r>
              <w:rPr>
                <w:rFonts w:ascii="仿宋" w:hAnsi="仿宋" w:eastAsia="仿宋" w:cs="Times New Roman"/>
                <w:bCs/>
                <w:kern w:val="0"/>
                <w:sz w:val="24"/>
                <w:szCs w:val="24"/>
              </w:rPr>
              <w:t>城市的主要道路、主要商业区、大型居住区的人行天桥和地下人行通道配备无障碍设施,公共交通工具逐步配备无障碍设备</w:t>
            </w:r>
            <w:r>
              <w:rPr>
                <w:rFonts w:hint="eastAsia" w:ascii="仿宋" w:hAnsi="仿宋" w:eastAsia="仿宋" w:cs="Times New Roman"/>
                <w:bCs/>
                <w:kern w:val="0"/>
                <w:sz w:val="24"/>
                <w:szCs w:val="24"/>
              </w:rPr>
              <w:t>，</w:t>
            </w:r>
            <w:r>
              <w:rPr>
                <w:rFonts w:ascii="仿宋" w:hAnsi="仿宋" w:eastAsia="仿宋" w:cs="Times New Roman"/>
                <w:bCs/>
                <w:kern w:val="0"/>
                <w:sz w:val="24"/>
                <w:szCs w:val="24"/>
              </w:rPr>
              <w:t>公共服务场所</w:t>
            </w:r>
            <w:r>
              <w:rPr>
                <w:rFonts w:hint="eastAsia" w:ascii="仿宋" w:hAnsi="仿宋" w:eastAsia="仿宋" w:cs="Times New Roman"/>
                <w:bCs/>
                <w:kern w:val="0"/>
                <w:sz w:val="24"/>
                <w:szCs w:val="24"/>
              </w:rPr>
              <w:t>、</w:t>
            </w:r>
            <w:r>
              <w:rPr>
                <w:rFonts w:ascii="仿宋" w:hAnsi="仿宋" w:eastAsia="仿宋" w:cs="Times New Roman"/>
                <w:bCs/>
                <w:kern w:val="0"/>
                <w:sz w:val="24"/>
                <w:szCs w:val="24"/>
              </w:rPr>
              <w:t xml:space="preserve">特殊服务机构、残疾人集中就业单位加快推进无障碍改造。 </w:t>
            </w:r>
          </w:p>
          <w:p>
            <w:pPr>
              <w:pageBreakBefore w:val="0"/>
              <w:kinsoku/>
              <w:wordWrap/>
              <w:overflowPunct/>
              <w:topLinePunct w:val="0"/>
              <w:bidi w:val="0"/>
              <w:spacing w:before="0" w:after="0" w:line="600" w:lineRule="exact"/>
              <w:ind w:left="0" w:leftChars="0" w:right="0" w:firstLine="482" w:firstLineChars="200"/>
              <w:textAlignment w:val="auto"/>
              <w:rPr>
                <w:rFonts w:ascii="仿宋" w:hAnsi="仿宋" w:eastAsia="仿宋" w:cs="Times New Roman"/>
                <w:bCs/>
                <w:kern w:val="0"/>
                <w:sz w:val="24"/>
                <w:szCs w:val="24"/>
              </w:rPr>
            </w:pPr>
            <w:r>
              <w:rPr>
                <w:rFonts w:ascii="仿宋" w:hAnsi="仿宋" w:eastAsia="仿宋" w:cs="Times New Roman"/>
                <w:b/>
                <w:kern w:val="0"/>
                <w:sz w:val="24"/>
                <w:szCs w:val="24"/>
              </w:rPr>
              <w:t>2.城乡居民无障碍安居项目。</w:t>
            </w:r>
            <w:r>
              <w:rPr>
                <w:rFonts w:ascii="仿宋" w:hAnsi="仿宋" w:eastAsia="仿宋" w:cs="Times New Roman"/>
                <w:bCs/>
                <w:kern w:val="0"/>
                <w:sz w:val="24"/>
                <w:szCs w:val="24"/>
              </w:rPr>
              <w:t>新建居住小区实现无障碍实施 “三同时”,无障碍 设施改造纳入老旧小区改造内容,实施困难重度残疾人家庭无障碍改造</w:t>
            </w:r>
            <w:r>
              <w:rPr>
                <w:rFonts w:hint="eastAsia" w:ascii="仿宋" w:hAnsi="仿宋" w:eastAsia="仿宋" w:cs="Times New Roman"/>
                <w:bCs/>
                <w:kern w:val="0"/>
                <w:sz w:val="24"/>
                <w:szCs w:val="24"/>
                <w:lang w:val="en-US" w:eastAsia="zh-CN"/>
              </w:rPr>
              <w:t>1500</w:t>
            </w:r>
            <w:r>
              <w:rPr>
                <w:rFonts w:ascii="仿宋" w:hAnsi="仿宋" w:eastAsia="仿宋" w:cs="Times New Roman"/>
                <w:bCs/>
                <w:kern w:val="0"/>
                <w:sz w:val="24"/>
                <w:szCs w:val="24"/>
              </w:rPr>
              <w:t>户。</w:t>
            </w:r>
          </w:p>
          <w:p>
            <w:pPr>
              <w:pageBreakBefore w:val="0"/>
              <w:kinsoku/>
              <w:wordWrap/>
              <w:overflowPunct/>
              <w:topLinePunct w:val="0"/>
              <w:bidi w:val="0"/>
              <w:spacing w:before="0" w:after="0" w:line="600" w:lineRule="exact"/>
              <w:ind w:left="0" w:leftChars="0" w:right="0" w:firstLine="482" w:firstLineChars="200"/>
              <w:textAlignment w:val="auto"/>
              <w:rPr>
                <w:rFonts w:ascii="仿宋" w:hAnsi="仿宋" w:eastAsia="仿宋" w:cs="Times New Roman"/>
                <w:bCs/>
                <w:kern w:val="0"/>
                <w:sz w:val="24"/>
                <w:szCs w:val="24"/>
              </w:rPr>
            </w:pPr>
            <w:r>
              <w:rPr>
                <w:rFonts w:ascii="仿宋" w:hAnsi="仿宋" w:eastAsia="仿宋" w:cs="Times New Roman"/>
                <w:b/>
                <w:kern w:val="0"/>
                <w:sz w:val="24"/>
                <w:szCs w:val="24"/>
              </w:rPr>
              <w:t>3.信息网络无障碍建设项目。</w:t>
            </w:r>
            <w:r>
              <w:rPr>
                <w:rFonts w:ascii="仿宋" w:hAnsi="仿宋" w:eastAsia="仿宋" w:cs="Times New Roman"/>
                <w:bCs/>
                <w:kern w:val="0"/>
                <w:sz w:val="24"/>
                <w:szCs w:val="24"/>
              </w:rPr>
              <w:t>政府门户网站、政务服务平台和网上办事大厅实现信息无障碍,推进各类公共服务网站、手机APP应用无障碍建设,加快食品药品信息识别无障碍,把国家通用手语、盲文作为应急语言文字服务内容。</w:t>
            </w:r>
          </w:p>
          <w:p>
            <w:pPr>
              <w:pageBreakBefore w:val="0"/>
              <w:kinsoku/>
              <w:wordWrap/>
              <w:overflowPunct/>
              <w:topLinePunct w:val="0"/>
              <w:bidi w:val="0"/>
              <w:spacing w:before="0" w:after="0" w:line="600" w:lineRule="exact"/>
              <w:ind w:left="0" w:leftChars="0" w:right="0" w:firstLine="482" w:firstLineChars="200"/>
              <w:textAlignment w:val="auto"/>
              <w:rPr>
                <w:rFonts w:ascii="仿宋" w:hAnsi="仿宋" w:eastAsia="仿宋" w:cs="Times New Roman"/>
                <w:bCs/>
                <w:kern w:val="0"/>
                <w:sz w:val="24"/>
                <w:szCs w:val="24"/>
              </w:rPr>
            </w:pPr>
            <w:r>
              <w:rPr>
                <w:rFonts w:ascii="仿宋" w:hAnsi="仿宋" w:eastAsia="仿宋" w:cs="Times New Roman"/>
                <w:b/>
                <w:kern w:val="0"/>
                <w:sz w:val="24"/>
                <w:szCs w:val="24"/>
              </w:rPr>
              <w:t>4.政务服务无障碍建设项目。</w:t>
            </w:r>
            <w:r>
              <w:rPr>
                <w:rFonts w:ascii="仿宋" w:hAnsi="仿宋" w:eastAsia="仿宋" w:cs="Times New Roman"/>
                <w:bCs/>
                <w:kern w:val="0"/>
                <w:sz w:val="24"/>
                <w:szCs w:val="24"/>
              </w:rPr>
              <w:t>政府新闻发布会配备同步速录字幕、通用手语翻译,政务服务大厅和公共服务场所为残疾人提供字幕、手语、语音等信息无障碍服务</w:t>
            </w:r>
            <w:r>
              <w:rPr>
                <w:rFonts w:hint="eastAsia" w:ascii="仿宋" w:hAnsi="仿宋" w:eastAsia="仿宋" w:cs="Times New Roman"/>
                <w:bCs/>
                <w:kern w:val="0"/>
                <w:sz w:val="24"/>
                <w:szCs w:val="24"/>
              </w:rPr>
              <w:t>，</w:t>
            </w:r>
            <w:r>
              <w:rPr>
                <w:rFonts w:ascii="仿宋" w:hAnsi="仿宋" w:eastAsia="仿宋" w:cs="Times New Roman"/>
                <w:bCs/>
                <w:kern w:val="0"/>
                <w:sz w:val="24"/>
                <w:szCs w:val="24"/>
              </w:rPr>
              <w:t>医院、疏散避险场所、集中隔离场所等设置语音、字幕应急信息提示装置。</w:t>
            </w:r>
          </w:p>
          <w:p>
            <w:pPr>
              <w:pageBreakBefore w:val="0"/>
              <w:kinsoku/>
              <w:wordWrap/>
              <w:overflowPunct/>
              <w:topLinePunct w:val="0"/>
              <w:bidi w:val="0"/>
              <w:spacing w:before="0" w:after="0" w:line="600" w:lineRule="exact"/>
              <w:ind w:left="0" w:leftChars="0" w:right="0" w:firstLine="482" w:firstLineChars="200"/>
              <w:textAlignment w:val="auto"/>
              <w:rPr>
                <w:rFonts w:hint="eastAsia" w:ascii="仿宋" w:hAnsi="仿宋" w:eastAsia="仿宋"/>
                <w:bCs/>
                <w:sz w:val="24"/>
                <w:szCs w:val="24"/>
                <w:highlight w:val="none"/>
              </w:rPr>
            </w:pPr>
            <w:r>
              <w:rPr>
                <w:rFonts w:ascii="仿宋" w:hAnsi="仿宋" w:eastAsia="仿宋" w:cs="Times New Roman"/>
                <w:b/>
                <w:kern w:val="0"/>
                <w:sz w:val="24"/>
                <w:szCs w:val="24"/>
                <w:highlight w:val="none"/>
              </w:rPr>
              <w:t>5.国家通用手语、盲文推广项目。</w:t>
            </w:r>
            <w:r>
              <w:rPr>
                <w:rFonts w:ascii="仿宋" w:hAnsi="仿宋" w:eastAsia="仿宋" w:cs="Times New Roman"/>
                <w:bCs/>
                <w:kern w:val="0"/>
                <w:sz w:val="24"/>
                <w:szCs w:val="24"/>
                <w:highlight w:val="none"/>
              </w:rPr>
              <w:t>培养手</w:t>
            </w:r>
            <w:r>
              <w:rPr>
                <w:rFonts w:ascii="仿宋" w:hAnsi="仿宋" w:eastAsia="仿宋" w:cs="Times New Roman"/>
                <w:bCs/>
                <w:kern w:val="0"/>
                <w:sz w:val="24"/>
                <w:szCs w:val="24"/>
              </w:rPr>
              <w:t>语、盲文专业人才</w:t>
            </w:r>
            <w:r>
              <w:rPr>
                <w:rFonts w:hint="eastAsia" w:ascii="仿宋" w:hAnsi="仿宋" w:eastAsia="仿宋" w:cs="Times New Roman"/>
                <w:bCs/>
                <w:kern w:val="0"/>
                <w:sz w:val="24"/>
                <w:szCs w:val="24"/>
                <w:lang w:val="en-US" w:eastAsia="zh-CN"/>
              </w:rPr>
              <w:t>2</w:t>
            </w:r>
            <w:r>
              <w:rPr>
                <w:rFonts w:ascii="仿宋" w:hAnsi="仿宋" w:eastAsia="仿宋" w:cs="Times New Roman"/>
                <w:bCs/>
                <w:kern w:val="0"/>
                <w:sz w:val="24"/>
                <w:szCs w:val="24"/>
              </w:rPr>
              <w:t>名以上。</w:t>
            </w:r>
          </w:p>
        </w:tc>
      </w:tr>
    </w:tbl>
    <w:p>
      <w:pPr>
        <w:pStyle w:val="10"/>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val="0"/>
        <w:autoSpaceDN w:val="0"/>
        <w:bidi w:val="0"/>
        <w:adjustRightInd/>
        <w:snapToGrid/>
        <w:spacing w:before="0" w:beforeAutospacing="0" w:after="0" w:afterAutospacing="0" w:line="600" w:lineRule="exact"/>
        <w:ind w:left="0" w:leftChars="0" w:right="0" w:rightChars="0"/>
        <w:jc w:val="both"/>
        <w:textAlignment w:val="auto"/>
        <w:rPr>
          <w:rFonts w:hint="eastAsia" w:ascii="仿宋" w:hAnsi="仿宋" w:eastAsia="仿宋" w:cs="仿宋"/>
          <w:i w:val="0"/>
          <w:iCs w:val="0"/>
          <w:caps w:val="0"/>
          <w:color w:val="auto"/>
          <w:spacing w:val="0"/>
          <w:sz w:val="32"/>
          <w:szCs w:val="32"/>
          <w:highlight w:val="none"/>
          <w:shd w:val="clear" w:fill="FFFFFF"/>
        </w:rPr>
      </w:pPr>
    </w:p>
    <w:p>
      <w:pPr>
        <w:pStyle w:val="4"/>
        <w:pageBreakBefore w:val="0"/>
        <w:kinsoku/>
        <w:wordWrap/>
        <w:overflowPunct/>
        <w:topLinePunct w:val="0"/>
        <w:bidi w:val="0"/>
        <w:spacing w:before="0" w:beforeLines="0" w:after="0" w:afterLines="0" w:line="600" w:lineRule="exact"/>
        <w:ind w:left="0" w:leftChars="0" w:right="0"/>
        <w:textAlignment w:val="auto"/>
        <w:rPr>
          <w:rFonts w:hint="eastAsia"/>
        </w:rPr>
      </w:pPr>
      <w:bookmarkStart w:id="22" w:name="_Toc394"/>
      <w:r>
        <w:rPr>
          <w:rFonts w:hint="eastAsia"/>
          <w:lang w:eastAsia="zh-CN"/>
        </w:rPr>
        <w:t>（</w:t>
      </w:r>
      <w:r>
        <w:rPr>
          <w:rFonts w:hint="eastAsia"/>
          <w:lang w:val="en-US" w:eastAsia="zh-CN"/>
        </w:rPr>
        <w:t>七</w:t>
      </w:r>
      <w:r>
        <w:rPr>
          <w:rFonts w:hint="eastAsia"/>
          <w:lang w:eastAsia="zh-CN"/>
        </w:rPr>
        <w:t>）</w:t>
      </w:r>
      <w:r>
        <w:rPr>
          <w:rFonts w:hint="eastAsia"/>
        </w:rPr>
        <w:t>保障残疾人平等权利，营造扶残助残良好氛围</w:t>
      </w:r>
      <w:bookmarkEnd w:id="22"/>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val="0"/>
        <w:autoSpaceDN w:val="0"/>
        <w:bidi w:val="0"/>
        <w:adjustRightInd/>
        <w:snapToGrid/>
        <w:spacing w:before="0" w:beforeAutospacing="0" w:after="0" w:afterAutospacing="0" w:line="600" w:lineRule="exact"/>
        <w:ind w:left="0" w:leftChars="0" w:right="0" w:firstLine="643" w:firstLineChars="200"/>
        <w:jc w:val="both"/>
        <w:textAlignment w:val="auto"/>
        <w:rPr>
          <w:rFonts w:hint="eastAsia" w:ascii="仿宋" w:hAnsi="仿宋" w:eastAsia="仿宋" w:cs="仿宋"/>
          <w:b w:val="0"/>
          <w:bCs w:val="0"/>
          <w:i w:val="0"/>
          <w:iCs w:val="0"/>
          <w:caps w:val="0"/>
          <w:color w:val="auto"/>
          <w:spacing w:val="0"/>
          <w:sz w:val="32"/>
          <w:szCs w:val="32"/>
          <w:highlight w:val="none"/>
          <w:shd w:val="clear" w:fill="FFFFFF"/>
        </w:rPr>
      </w:pPr>
      <w:r>
        <w:rPr>
          <w:rFonts w:hint="eastAsia" w:ascii="仿宋" w:hAnsi="仿宋" w:eastAsia="仿宋" w:cs="仿宋"/>
          <w:b/>
          <w:bCs/>
          <w:i w:val="0"/>
          <w:iCs w:val="0"/>
          <w:caps w:val="0"/>
          <w:color w:val="auto"/>
          <w:spacing w:val="0"/>
          <w:sz w:val="32"/>
          <w:szCs w:val="32"/>
          <w:highlight w:val="none"/>
          <w:shd w:val="clear" w:fill="FFFFFF"/>
        </w:rPr>
        <w:t>1</w:t>
      </w:r>
      <w:r>
        <w:rPr>
          <w:rFonts w:hint="eastAsia" w:ascii="仿宋" w:hAnsi="仿宋" w:eastAsia="仿宋" w:cs="仿宋"/>
          <w:b/>
          <w:bCs/>
          <w:i w:val="0"/>
          <w:iCs w:val="0"/>
          <w:caps w:val="0"/>
          <w:color w:val="auto"/>
          <w:spacing w:val="0"/>
          <w:sz w:val="32"/>
          <w:szCs w:val="32"/>
          <w:highlight w:val="none"/>
          <w:shd w:val="clear" w:fill="FFFFFF"/>
          <w:lang w:val="en-US" w:eastAsia="zh-CN"/>
        </w:rPr>
        <w:t>.</w:t>
      </w:r>
      <w:r>
        <w:rPr>
          <w:rFonts w:hint="eastAsia" w:ascii="仿宋" w:hAnsi="仿宋" w:eastAsia="仿宋" w:cs="仿宋"/>
          <w:b/>
          <w:bCs/>
          <w:i w:val="0"/>
          <w:iCs w:val="0"/>
          <w:caps w:val="0"/>
          <w:color w:val="auto"/>
          <w:spacing w:val="0"/>
          <w:sz w:val="32"/>
          <w:szCs w:val="32"/>
          <w:highlight w:val="none"/>
          <w:shd w:val="clear" w:fill="FFFFFF"/>
        </w:rPr>
        <w:t>提高残疾人事业法治化水平。</w:t>
      </w:r>
      <w:r>
        <w:rPr>
          <w:rFonts w:hint="eastAsia" w:ascii="仿宋" w:hAnsi="仿宋" w:eastAsia="仿宋" w:cs="仿宋"/>
          <w:b w:val="0"/>
          <w:bCs w:val="0"/>
          <w:i w:val="0"/>
          <w:iCs w:val="0"/>
          <w:caps w:val="0"/>
          <w:color w:val="auto"/>
          <w:spacing w:val="0"/>
          <w:sz w:val="32"/>
          <w:szCs w:val="32"/>
          <w:highlight w:val="none"/>
          <w:shd w:val="clear" w:fill="FFFFFF"/>
        </w:rPr>
        <w:t>落实宪法、民法典、残疾人保障法等法律法规关于保障残疾人权益的规定。认真落实“谁执法谁普法”普法责任制，加大媒体普法宣传力度。配合</w:t>
      </w:r>
      <w:r>
        <w:rPr>
          <w:rFonts w:hint="eastAsia" w:ascii="仿宋" w:hAnsi="仿宋" w:eastAsia="仿宋" w:cs="仿宋"/>
          <w:b w:val="0"/>
          <w:bCs w:val="0"/>
          <w:i w:val="0"/>
          <w:iCs w:val="0"/>
          <w:caps w:val="0"/>
          <w:color w:val="auto"/>
          <w:spacing w:val="0"/>
          <w:sz w:val="32"/>
          <w:szCs w:val="32"/>
          <w:highlight w:val="none"/>
          <w:shd w:val="clear" w:fill="FFFFFF"/>
          <w:lang w:eastAsia="zh-CN"/>
        </w:rPr>
        <w:t>相关单位</w:t>
      </w:r>
      <w:r>
        <w:rPr>
          <w:rFonts w:hint="eastAsia" w:ascii="仿宋" w:hAnsi="仿宋" w:eastAsia="仿宋" w:cs="仿宋"/>
          <w:b w:val="0"/>
          <w:bCs w:val="0"/>
          <w:i w:val="0"/>
          <w:iCs w:val="0"/>
          <w:caps w:val="0"/>
          <w:color w:val="auto"/>
          <w:spacing w:val="0"/>
          <w:sz w:val="32"/>
          <w:szCs w:val="32"/>
          <w:highlight w:val="none"/>
          <w:shd w:val="clear" w:fill="FFFFFF"/>
        </w:rPr>
        <w:t>开展残疾人保障法等法律法规执法检查、视察和调研。</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val="0"/>
        <w:autoSpaceDN w:val="0"/>
        <w:bidi w:val="0"/>
        <w:adjustRightInd/>
        <w:snapToGrid/>
        <w:spacing w:before="0" w:beforeAutospacing="0" w:after="0" w:afterAutospacing="0" w:line="600" w:lineRule="exact"/>
        <w:ind w:left="0" w:leftChars="0" w:right="0" w:firstLine="643" w:firstLineChars="200"/>
        <w:jc w:val="both"/>
        <w:textAlignment w:val="auto"/>
        <w:rPr>
          <w:rFonts w:hint="eastAsia" w:ascii="仿宋" w:hAnsi="仿宋" w:eastAsia="仿宋" w:cs="仿宋"/>
          <w:b w:val="0"/>
          <w:bCs w:val="0"/>
          <w:i w:val="0"/>
          <w:iCs w:val="0"/>
          <w:caps w:val="0"/>
          <w:color w:val="auto"/>
          <w:spacing w:val="0"/>
          <w:sz w:val="32"/>
          <w:szCs w:val="32"/>
          <w:highlight w:val="none"/>
        </w:rPr>
      </w:pPr>
      <w:r>
        <w:rPr>
          <w:rFonts w:hint="eastAsia" w:ascii="仿宋" w:hAnsi="仿宋" w:eastAsia="仿宋" w:cs="仿宋"/>
          <w:b/>
          <w:bCs/>
          <w:i w:val="0"/>
          <w:iCs w:val="0"/>
          <w:caps w:val="0"/>
          <w:color w:val="auto"/>
          <w:spacing w:val="0"/>
          <w:sz w:val="32"/>
          <w:szCs w:val="32"/>
          <w:highlight w:val="none"/>
          <w:shd w:val="clear" w:fill="FFFFFF"/>
        </w:rPr>
        <w:t>2</w:t>
      </w:r>
      <w:r>
        <w:rPr>
          <w:rFonts w:hint="eastAsia" w:ascii="仿宋" w:hAnsi="仿宋" w:eastAsia="仿宋" w:cs="仿宋"/>
          <w:b/>
          <w:bCs/>
          <w:i w:val="0"/>
          <w:iCs w:val="0"/>
          <w:caps w:val="0"/>
          <w:color w:val="auto"/>
          <w:spacing w:val="0"/>
          <w:sz w:val="32"/>
          <w:szCs w:val="32"/>
          <w:highlight w:val="none"/>
          <w:shd w:val="clear" w:fill="FFFFFF"/>
          <w:lang w:val="en-US" w:eastAsia="zh-CN"/>
        </w:rPr>
        <w:t>.</w:t>
      </w:r>
      <w:r>
        <w:rPr>
          <w:rFonts w:hint="eastAsia" w:ascii="仿宋" w:hAnsi="仿宋" w:eastAsia="仿宋" w:cs="仿宋"/>
          <w:b/>
          <w:bCs/>
          <w:i w:val="0"/>
          <w:iCs w:val="0"/>
          <w:caps w:val="0"/>
          <w:color w:val="auto"/>
          <w:spacing w:val="0"/>
          <w:sz w:val="32"/>
          <w:szCs w:val="32"/>
          <w:highlight w:val="none"/>
          <w:shd w:val="clear" w:fill="FFFFFF"/>
        </w:rPr>
        <w:t>创新残疾人法律服务和权益维护。</w:t>
      </w:r>
      <w:r>
        <w:rPr>
          <w:rFonts w:hint="eastAsia" w:ascii="仿宋" w:hAnsi="仿宋" w:eastAsia="仿宋" w:cs="仿宋"/>
          <w:b w:val="0"/>
          <w:bCs w:val="0"/>
          <w:i w:val="0"/>
          <w:iCs w:val="0"/>
          <w:caps w:val="0"/>
          <w:color w:val="auto"/>
          <w:spacing w:val="0"/>
          <w:sz w:val="32"/>
          <w:szCs w:val="32"/>
          <w:highlight w:val="none"/>
          <w:shd w:val="clear" w:fill="FFFFFF"/>
        </w:rPr>
        <w:t>开展残疾人尊法学法守法用法专项行动。将残疾人作为公共法律服务的重点对象，进一步降低残疾人享受法律援助门槛，扩大援助范围，提升法律援助质量。培养助残公益律师队伍，开展法律援助志愿助残行动，为残疾人提供及时有效的法律救助服务。依法加强残疾人信访工作，发挥“12385”残疾人服务热线和网络信访平台作用，建立健全残疾人权益维护应急处置机制。加强对残疾人的司法保护，坚决打击侵害残疾人权益的违法犯罪行为。</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val="0"/>
        <w:autoSpaceDN w:val="0"/>
        <w:bidi w:val="0"/>
        <w:adjustRightInd/>
        <w:snapToGrid/>
        <w:spacing w:before="0" w:beforeAutospacing="0" w:after="0" w:afterAutospacing="0" w:line="600" w:lineRule="exact"/>
        <w:ind w:left="0" w:leftChars="0" w:right="0" w:firstLine="643" w:firstLineChars="200"/>
        <w:jc w:val="both"/>
        <w:textAlignment w:val="auto"/>
        <w:rPr>
          <w:rFonts w:hint="eastAsia" w:ascii="仿宋" w:hAnsi="仿宋" w:eastAsia="仿宋" w:cs="仿宋"/>
          <w:color w:val="auto"/>
          <w:sz w:val="32"/>
          <w:szCs w:val="32"/>
          <w:highlight w:val="none"/>
        </w:rPr>
      </w:pPr>
      <w:r>
        <w:rPr>
          <w:rFonts w:hint="eastAsia" w:ascii="仿宋" w:hAnsi="仿宋" w:eastAsia="仿宋" w:cs="仿宋"/>
          <w:b/>
          <w:bCs/>
          <w:i w:val="0"/>
          <w:iCs w:val="0"/>
          <w:caps w:val="0"/>
          <w:color w:val="auto"/>
          <w:spacing w:val="0"/>
          <w:sz w:val="32"/>
          <w:szCs w:val="32"/>
          <w:highlight w:val="none"/>
          <w:shd w:val="clear" w:fill="FFFFFF"/>
        </w:rPr>
        <w:t>3</w:t>
      </w:r>
      <w:r>
        <w:rPr>
          <w:rFonts w:hint="eastAsia" w:ascii="仿宋" w:hAnsi="仿宋" w:eastAsia="仿宋" w:cs="仿宋"/>
          <w:b/>
          <w:bCs/>
          <w:i w:val="0"/>
          <w:iCs w:val="0"/>
          <w:caps w:val="0"/>
          <w:color w:val="auto"/>
          <w:spacing w:val="0"/>
          <w:sz w:val="32"/>
          <w:szCs w:val="32"/>
          <w:highlight w:val="none"/>
          <w:shd w:val="clear" w:fill="FFFFFF"/>
          <w:lang w:val="en-US" w:eastAsia="zh-CN"/>
        </w:rPr>
        <w:t>.</w:t>
      </w:r>
      <w:r>
        <w:rPr>
          <w:rFonts w:hint="eastAsia" w:ascii="仿宋" w:hAnsi="仿宋" w:eastAsia="仿宋" w:cs="仿宋"/>
          <w:b/>
          <w:bCs/>
          <w:i w:val="0"/>
          <w:iCs w:val="0"/>
          <w:caps w:val="0"/>
          <w:color w:val="auto"/>
          <w:spacing w:val="0"/>
          <w:sz w:val="32"/>
          <w:szCs w:val="32"/>
          <w:highlight w:val="none"/>
          <w:shd w:val="clear" w:fill="FFFFFF"/>
        </w:rPr>
        <w:t>加强社会助残宣传。</w:t>
      </w:r>
      <w:r>
        <w:rPr>
          <w:rFonts w:hint="eastAsia" w:ascii="仿宋" w:hAnsi="仿宋" w:eastAsia="仿宋" w:cs="仿宋"/>
          <w:b w:val="0"/>
          <w:bCs w:val="0"/>
          <w:i w:val="0"/>
          <w:iCs w:val="0"/>
          <w:caps w:val="0"/>
          <w:color w:val="auto"/>
          <w:spacing w:val="0"/>
          <w:sz w:val="32"/>
          <w:szCs w:val="32"/>
          <w:highlight w:val="none"/>
          <w:shd w:val="clear" w:fill="FFFFFF"/>
        </w:rPr>
        <w:t>深入学习宣传习近平总书记关于残疾人事业的重要指示批示精神，以社会主义核心价值观为引领，大力弘扬人道主义精神和扶残助残传统美德，营造理解、尊重、关心、帮助残疾人的文明社会氛围。加强残疾人事业媒体</w:t>
      </w:r>
      <w:r>
        <w:rPr>
          <w:rFonts w:hint="eastAsia" w:ascii="仿宋" w:hAnsi="仿宋" w:eastAsia="仿宋" w:cs="仿宋"/>
          <w:i w:val="0"/>
          <w:iCs w:val="0"/>
          <w:caps w:val="0"/>
          <w:color w:val="auto"/>
          <w:spacing w:val="0"/>
          <w:sz w:val="32"/>
          <w:szCs w:val="32"/>
          <w:highlight w:val="none"/>
          <w:shd w:val="clear" w:fill="FFFFFF"/>
        </w:rPr>
        <w:t>传播能力建设，办好全国助残日、国际残疾人日等主题宣传活动，支持残疾人题材公益广告、网络视听节目等制作播出。鼓励残联、工会、共青团、妇联、科协、红十字会、慈善总会等群团组织和社会组织、企事业单位、个人等参与实施助残慈善项目。</w:t>
      </w:r>
    </w:p>
    <w:p>
      <w:pPr>
        <w:pStyle w:val="4"/>
        <w:pageBreakBefore w:val="0"/>
        <w:kinsoku/>
        <w:wordWrap/>
        <w:overflowPunct/>
        <w:topLinePunct w:val="0"/>
        <w:bidi w:val="0"/>
        <w:spacing w:before="0" w:beforeLines="0" w:after="0" w:afterLines="0" w:line="600" w:lineRule="exact"/>
        <w:ind w:left="0" w:leftChars="0" w:right="0"/>
        <w:textAlignment w:val="auto"/>
        <w:rPr>
          <w:rFonts w:hint="eastAsia"/>
        </w:rPr>
      </w:pPr>
      <w:bookmarkStart w:id="23" w:name="_Toc10846"/>
      <w:r>
        <w:rPr>
          <w:rFonts w:hint="eastAsia"/>
          <w:lang w:eastAsia="zh-CN"/>
        </w:rPr>
        <w:t>（</w:t>
      </w:r>
      <w:r>
        <w:rPr>
          <w:rFonts w:hint="eastAsia"/>
          <w:lang w:val="en-US" w:eastAsia="zh-CN"/>
        </w:rPr>
        <w:t>八</w:t>
      </w:r>
      <w:r>
        <w:rPr>
          <w:rFonts w:hint="eastAsia"/>
          <w:lang w:eastAsia="zh-CN"/>
        </w:rPr>
        <w:t>）</w:t>
      </w:r>
      <w:r>
        <w:rPr>
          <w:rFonts w:hint="eastAsia"/>
        </w:rPr>
        <w:t>完善支持保障条件，推动残疾人事业高质量发展</w:t>
      </w:r>
      <w:bookmarkEnd w:id="23"/>
    </w:p>
    <w:p>
      <w:pPr>
        <w:keepNext w:val="0"/>
        <w:keepLines w:val="0"/>
        <w:pageBreakBefore w:val="0"/>
        <w:widowControl/>
        <w:kinsoku/>
        <w:wordWrap/>
        <w:overflowPunct/>
        <w:topLinePunct w:val="0"/>
        <w:autoSpaceDE w:val="0"/>
        <w:autoSpaceDN w:val="0"/>
        <w:bidi w:val="0"/>
        <w:adjustRightInd/>
        <w:snapToGrid/>
        <w:spacing w:before="0" w:after="0" w:line="600" w:lineRule="exact"/>
        <w:ind w:left="0" w:leftChars="0" w:right="0" w:firstLine="640" w:firstLineChars="200"/>
        <w:jc w:val="both"/>
        <w:textAlignment w:val="auto"/>
        <w:rPr>
          <w:rFonts w:hint="eastAsia" w:ascii="仿宋" w:hAnsi="仿宋" w:eastAsia="仿宋" w:cs="仿宋"/>
          <w:i w:val="0"/>
          <w:iCs w:val="0"/>
          <w:caps w:val="0"/>
          <w:color w:val="auto"/>
          <w:spacing w:val="0"/>
          <w:sz w:val="32"/>
          <w:szCs w:val="32"/>
          <w:highlight w:val="none"/>
          <w:shd w:val="clear" w:fill="FFFFFF"/>
        </w:rPr>
      </w:pPr>
      <w:r>
        <w:rPr>
          <w:rFonts w:hint="eastAsia" w:ascii="仿宋" w:hAnsi="仿宋" w:eastAsia="仿宋" w:cs="仿宋"/>
          <w:b w:val="0"/>
          <w:bCs w:val="0"/>
          <w:color w:val="auto"/>
          <w:sz w:val="32"/>
          <w:szCs w:val="32"/>
          <w:highlight w:val="none"/>
          <w:lang w:val="en-US" w:eastAsia="zh-CN"/>
        </w:rPr>
        <w:t>1.</w:t>
      </w:r>
      <w:r>
        <w:rPr>
          <w:rFonts w:hint="eastAsia" w:ascii="仿宋" w:hAnsi="仿宋" w:eastAsia="仿宋" w:cs="仿宋"/>
          <w:b/>
          <w:bCs/>
          <w:i w:val="0"/>
          <w:iCs w:val="0"/>
          <w:caps w:val="0"/>
          <w:color w:val="auto"/>
          <w:spacing w:val="0"/>
          <w:sz w:val="32"/>
          <w:szCs w:val="32"/>
          <w:highlight w:val="none"/>
          <w:shd w:val="clear" w:fill="FFFFFF"/>
        </w:rPr>
        <w:t>强化党委领导、政府负责的领导体制。</w:t>
      </w:r>
      <w:r>
        <w:rPr>
          <w:rFonts w:hint="eastAsia" w:ascii="仿宋" w:hAnsi="仿宋" w:eastAsia="仿宋" w:cs="仿宋"/>
          <w:i w:val="0"/>
          <w:iCs w:val="0"/>
          <w:caps w:val="0"/>
          <w:color w:val="auto"/>
          <w:spacing w:val="0"/>
          <w:sz w:val="32"/>
          <w:szCs w:val="32"/>
          <w:highlight w:val="none"/>
          <w:shd w:val="clear" w:fill="FFFFFF"/>
        </w:rPr>
        <w:t>坚持党对残疾人工作的全面领导，确保习近平总书记关于残疾人事业的重要指示批示精神，党中央、国务院决策部署和</w:t>
      </w:r>
      <w:r>
        <w:rPr>
          <w:rFonts w:hint="eastAsia" w:ascii="仿宋" w:hAnsi="仿宋" w:eastAsia="仿宋" w:cs="仿宋"/>
          <w:i w:val="0"/>
          <w:iCs w:val="0"/>
          <w:caps w:val="0"/>
          <w:color w:val="auto"/>
          <w:spacing w:val="0"/>
          <w:sz w:val="32"/>
          <w:szCs w:val="32"/>
          <w:highlight w:val="none"/>
          <w:shd w:val="clear" w:fill="FFFFFF"/>
          <w:lang w:eastAsia="zh-CN"/>
        </w:rPr>
        <w:t>自治区党</w:t>
      </w:r>
      <w:r>
        <w:rPr>
          <w:rFonts w:hint="eastAsia" w:ascii="仿宋" w:hAnsi="仿宋" w:eastAsia="仿宋" w:cs="仿宋"/>
          <w:i w:val="0"/>
          <w:iCs w:val="0"/>
          <w:caps w:val="0"/>
          <w:color w:val="auto"/>
          <w:spacing w:val="0"/>
          <w:sz w:val="32"/>
          <w:szCs w:val="32"/>
          <w:highlight w:val="none"/>
          <w:shd w:val="clear" w:fill="FFFFFF"/>
        </w:rPr>
        <w:t>委、政府工作要求有效落实。完善党委领导、政府负责、部门协同、社会参与、市场推动、残疾人组织充分发挥作用的领导体制和工作机制，发挥政府残疾人工作委员会的统筹协调作用，有关部门分工协作、履职尽责，形成协同高效的工作合力。</w:t>
      </w:r>
    </w:p>
    <w:p>
      <w:pPr>
        <w:keepNext w:val="0"/>
        <w:keepLines w:val="0"/>
        <w:pageBreakBefore w:val="0"/>
        <w:widowControl/>
        <w:kinsoku/>
        <w:wordWrap/>
        <w:overflowPunct/>
        <w:topLinePunct w:val="0"/>
        <w:autoSpaceDE w:val="0"/>
        <w:autoSpaceDN w:val="0"/>
        <w:bidi w:val="0"/>
        <w:adjustRightInd/>
        <w:snapToGrid/>
        <w:spacing w:before="0" w:after="0" w:line="600" w:lineRule="exact"/>
        <w:ind w:left="0" w:leftChars="0" w:right="0" w:firstLine="643" w:firstLineChars="200"/>
        <w:jc w:val="both"/>
        <w:textAlignment w:val="auto"/>
        <w:rPr>
          <w:rFonts w:hint="eastAsia" w:ascii="仿宋" w:hAnsi="仿宋" w:eastAsia="仿宋" w:cs="仿宋"/>
          <w:color w:val="auto"/>
          <w:sz w:val="32"/>
          <w:szCs w:val="32"/>
          <w:highlight w:val="none"/>
          <w:lang w:val="en-US" w:eastAsia="zh-CN"/>
        </w:rPr>
      </w:pPr>
      <w:r>
        <w:rPr>
          <w:rFonts w:hint="eastAsia" w:ascii="仿宋" w:hAnsi="仿宋" w:eastAsia="仿宋" w:cs="仿宋"/>
          <w:b/>
          <w:bCs/>
          <w:color w:val="auto"/>
          <w:kern w:val="0"/>
          <w:sz w:val="32"/>
          <w:szCs w:val="32"/>
          <w:highlight w:val="none"/>
          <w:lang w:val="en-US" w:eastAsia="zh-CN"/>
        </w:rPr>
        <w:t>2.</w:t>
      </w:r>
      <w:r>
        <w:rPr>
          <w:rFonts w:hint="eastAsia" w:ascii="仿宋" w:hAnsi="仿宋" w:eastAsia="仿宋" w:cs="仿宋"/>
          <w:b/>
          <w:bCs/>
          <w:color w:val="auto"/>
          <w:kern w:val="0"/>
          <w:sz w:val="32"/>
          <w:szCs w:val="32"/>
          <w:highlight w:val="none"/>
        </w:rPr>
        <w:t>加强残疾人组织建设。</w:t>
      </w:r>
      <w:r>
        <w:rPr>
          <w:rFonts w:hint="eastAsia" w:ascii="仿宋" w:hAnsi="仿宋" w:eastAsia="仿宋" w:cs="仿宋"/>
          <w:b w:val="0"/>
          <w:bCs w:val="0"/>
          <w:color w:val="auto"/>
          <w:kern w:val="0"/>
          <w:sz w:val="32"/>
          <w:szCs w:val="32"/>
          <w:highlight w:val="none"/>
          <w:lang w:eastAsia="zh-CN"/>
        </w:rPr>
        <w:t>残疾人联合会</w:t>
      </w:r>
      <w:r>
        <w:rPr>
          <w:rFonts w:hint="eastAsia" w:ascii="仿宋" w:hAnsi="仿宋" w:eastAsia="仿宋" w:cs="仿宋"/>
          <w:color w:val="auto"/>
          <w:kern w:val="0"/>
          <w:sz w:val="32"/>
          <w:szCs w:val="32"/>
          <w:highlight w:val="none"/>
        </w:rPr>
        <w:t>切实履行“代表、服务、管理”职能，充分发挥桥梁纽带作用。</w:t>
      </w:r>
      <w:r>
        <w:rPr>
          <w:rFonts w:hint="eastAsia" w:ascii="仿宋" w:hAnsi="仿宋" w:eastAsia="仿宋" w:cs="仿宋"/>
          <w:color w:val="auto"/>
          <w:sz w:val="32"/>
          <w:szCs w:val="32"/>
          <w:highlight w:val="none"/>
          <w:lang w:val="en-US" w:eastAsia="zh-CN"/>
        </w:rPr>
        <w:t>县级残疾人专门协会全部完成社会组织法人登记,建立残疾人、助残爱心人士、志愿者参与协会工作制度和残疾人专门协会监督管理制度,保障残疾人各专门协会办公场所、活动阵地和办公设备需要,加大残疾人各专门协会助残活动资金扶持力度,鼓励支持残疾人各专门协会承接政府购买助残服务项目。抓好残疾人干部培养工作,严格残联班子配备残疾人干部要求,选优秀残疾人干部到残联任职。加大残疾人康复、教育、托养等专业队伍培养力度。</w:t>
      </w:r>
    </w:p>
    <w:p>
      <w:pPr>
        <w:pStyle w:val="2"/>
        <w:pageBreakBefore w:val="0"/>
        <w:kinsoku/>
        <w:wordWrap/>
        <w:overflowPunct/>
        <w:topLinePunct w:val="0"/>
        <w:bidi w:val="0"/>
        <w:spacing w:before="0" w:after="0" w:line="600" w:lineRule="exact"/>
        <w:ind w:left="0" w:leftChars="0" w:right="0" w:firstLine="643" w:firstLineChars="200"/>
        <w:jc w:val="both"/>
        <w:textAlignment w:val="auto"/>
        <w:rPr>
          <w:rFonts w:hint="default" w:ascii="仿宋" w:hAnsi="仿宋" w:eastAsia="仿宋" w:cs="仿宋"/>
          <w:b w:val="0"/>
          <w:bCs w:val="0"/>
          <w:color w:val="auto"/>
          <w:kern w:val="0"/>
          <w:sz w:val="32"/>
          <w:szCs w:val="32"/>
          <w:highlight w:val="none"/>
          <w:lang w:val="en-US" w:eastAsia="zh-CN" w:bidi="zh-CN"/>
        </w:rPr>
      </w:pPr>
      <w:r>
        <w:rPr>
          <w:rFonts w:hint="eastAsia" w:ascii="仿宋" w:hAnsi="仿宋" w:eastAsia="仿宋" w:cs="仿宋"/>
          <w:b/>
          <w:bCs/>
          <w:color w:val="auto"/>
          <w:kern w:val="0"/>
          <w:sz w:val="32"/>
          <w:szCs w:val="32"/>
          <w:highlight w:val="none"/>
          <w:lang w:val="en-US" w:eastAsia="zh-CN" w:bidi="zh-CN"/>
        </w:rPr>
        <w:t>3.加强基础设施和信息化建设。</w:t>
      </w:r>
      <w:r>
        <w:rPr>
          <w:rFonts w:hint="eastAsia" w:ascii="仿宋" w:hAnsi="仿宋" w:eastAsia="仿宋" w:cs="仿宋"/>
          <w:b w:val="0"/>
          <w:bCs w:val="0"/>
          <w:color w:val="auto"/>
          <w:kern w:val="0"/>
          <w:sz w:val="32"/>
          <w:szCs w:val="32"/>
          <w:highlight w:val="none"/>
          <w:lang w:val="en-US" w:eastAsia="zh-CN" w:bidi="zh-CN"/>
        </w:rPr>
        <w:t>推进残疾人服务设施科学布局、均衡配置、实现残疾人服务设施全覆盖。建好用好残疾人服务设施，采取多种方式引导社会力量参与服务设施运营，积极推广政府购买服务模式，鼓励将政府投资建设的公共服务设施无偿或低价提供给公益性、普惠性残疾人服务机构使用。加强特殊教育学校、残疾人服务设施和基层残疾人组织的信息化建设。坚持传统服务方式和智能化服务创新并行，建立线上线下相结合的残疾人服务体系。完善残疾人口基础数据库，改进残疾人服务需求和服务供给调查统计，加强残疾人服务大数据建设。</w:t>
      </w:r>
    </w:p>
    <w:p>
      <w:pPr>
        <w:pStyle w:val="3"/>
        <w:pageBreakBefore w:val="0"/>
        <w:kinsoku/>
        <w:wordWrap/>
        <w:overflowPunct/>
        <w:topLinePunct w:val="0"/>
        <w:bidi w:val="0"/>
        <w:spacing w:before="0" w:beforeLines="0" w:after="0" w:afterLines="0" w:line="600" w:lineRule="exact"/>
        <w:ind w:left="0" w:leftChars="0" w:right="0"/>
        <w:textAlignment w:val="auto"/>
        <w:rPr>
          <w:rFonts w:hint="eastAsia"/>
          <w:b w:val="0"/>
          <w:bCs/>
        </w:rPr>
      </w:pPr>
      <w:bookmarkStart w:id="24" w:name="_Toc9339"/>
      <w:r>
        <w:rPr>
          <w:rFonts w:hint="eastAsia"/>
          <w:b w:val="0"/>
          <w:bCs/>
          <w:lang w:val="en-US" w:eastAsia="zh-CN"/>
        </w:rPr>
        <w:t>四、实施保障</w:t>
      </w:r>
      <w:bookmarkEnd w:id="24"/>
    </w:p>
    <w:p>
      <w:pPr>
        <w:pStyle w:val="4"/>
        <w:pageBreakBefore w:val="0"/>
        <w:kinsoku/>
        <w:wordWrap/>
        <w:overflowPunct/>
        <w:topLinePunct w:val="0"/>
        <w:bidi w:val="0"/>
        <w:spacing w:before="0" w:beforeLines="0" w:after="0" w:afterLines="0" w:line="600" w:lineRule="exact"/>
        <w:ind w:left="0" w:leftChars="0" w:right="0"/>
        <w:textAlignment w:val="auto"/>
        <w:rPr>
          <w:rFonts w:hint="eastAsia"/>
        </w:rPr>
      </w:pPr>
      <w:bookmarkStart w:id="25" w:name="_Toc31876"/>
      <w:r>
        <w:rPr>
          <w:rFonts w:hint="eastAsia"/>
        </w:rPr>
        <w:t>（一）加强组织领导</w:t>
      </w:r>
      <w:bookmarkEnd w:id="25"/>
    </w:p>
    <w:p>
      <w:pPr>
        <w:pageBreakBefore w:val="0"/>
        <w:kinsoku/>
        <w:wordWrap/>
        <w:overflowPunct/>
        <w:topLinePunct w:val="0"/>
        <w:bidi w:val="0"/>
        <w:spacing w:before="0" w:after="0" w:line="600" w:lineRule="exact"/>
        <w:ind w:left="0" w:leftChars="0" w:right="0" w:firstLine="645"/>
        <w:jc w:val="both"/>
        <w:textAlignment w:val="auto"/>
        <w:rPr>
          <w:rFonts w:hint="eastAsia" w:ascii="仿宋" w:hAnsi="仿宋" w:eastAsia="仿宋" w:cs="仿宋"/>
          <w:bCs/>
          <w:sz w:val="32"/>
          <w:szCs w:val="32"/>
          <w:highlight w:val="none"/>
        </w:rPr>
      </w:pPr>
      <w:r>
        <w:rPr>
          <w:rFonts w:hint="eastAsia" w:ascii="仿宋" w:hAnsi="仿宋" w:eastAsia="仿宋" w:cs="仿宋"/>
          <w:bCs/>
          <w:sz w:val="32"/>
          <w:szCs w:val="32"/>
          <w:highlight w:val="none"/>
          <w:lang w:eastAsia="zh-CN"/>
        </w:rPr>
        <w:t>县</w:t>
      </w:r>
      <w:r>
        <w:rPr>
          <w:rFonts w:hint="eastAsia" w:ascii="仿宋" w:hAnsi="仿宋" w:eastAsia="仿宋" w:cs="仿宋"/>
          <w:bCs/>
          <w:sz w:val="32"/>
          <w:szCs w:val="32"/>
          <w:highlight w:val="none"/>
        </w:rPr>
        <w:t>人民政府要加强对残疾人工作的组织领导，充分发挥政府残疾人工作委员会作用，统筹协调有关促进残疾人事业发展的政策、规划的制定和实施。残疾人工作委员会定期研究残疾人工作，对本规划和政府重点助残实事落实情况组织督查并通报。残疾人工作委员会成员单位及相关部门要切实履行残疾人工作职责，将本规划的主要任务指标纳入部门规划和年度工作目标，明确专人负责，抓好任务落实。</w:t>
      </w:r>
    </w:p>
    <w:p>
      <w:pPr>
        <w:pStyle w:val="4"/>
        <w:pageBreakBefore w:val="0"/>
        <w:kinsoku/>
        <w:wordWrap/>
        <w:overflowPunct/>
        <w:topLinePunct w:val="0"/>
        <w:bidi w:val="0"/>
        <w:spacing w:before="0" w:beforeLines="0" w:after="0" w:afterLines="0" w:line="600" w:lineRule="exact"/>
        <w:ind w:left="0" w:leftChars="0" w:right="0"/>
        <w:textAlignment w:val="auto"/>
        <w:rPr>
          <w:rFonts w:hint="eastAsia"/>
        </w:rPr>
      </w:pPr>
      <w:bookmarkStart w:id="26" w:name="_Toc29887"/>
      <w:r>
        <w:rPr>
          <w:rFonts w:hint="eastAsia"/>
        </w:rPr>
        <w:t>（二）强化经费保障</w:t>
      </w:r>
      <w:bookmarkEnd w:id="26"/>
    </w:p>
    <w:p>
      <w:pPr>
        <w:pageBreakBefore w:val="0"/>
        <w:kinsoku/>
        <w:wordWrap/>
        <w:overflowPunct/>
        <w:topLinePunct w:val="0"/>
        <w:bidi w:val="0"/>
        <w:spacing w:before="0" w:after="0" w:line="600" w:lineRule="exact"/>
        <w:ind w:left="0" w:leftChars="0" w:right="0" w:firstLine="645"/>
        <w:jc w:val="both"/>
        <w:textAlignment w:val="auto"/>
        <w:rPr>
          <w:rFonts w:hint="eastAsia" w:ascii="仿宋" w:hAnsi="仿宋" w:eastAsia="仿宋" w:cs="仿宋"/>
          <w:bCs/>
          <w:sz w:val="32"/>
          <w:szCs w:val="32"/>
          <w:highlight w:val="none"/>
        </w:rPr>
      </w:pPr>
      <w:r>
        <w:rPr>
          <w:rFonts w:hint="eastAsia" w:ascii="仿宋" w:hAnsi="仿宋" w:eastAsia="仿宋" w:cs="仿宋"/>
          <w:bCs/>
          <w:sz w:val="32"/>
          <w:szCs w:val="32"/>
          <w:highlight w:val="none"/>
          <w:lang w:eastAsia="zh-CN"/>
        </w:rPr>
        <w:t>县</w:t>
      </w:r>
      <w:r>
        <w:rPr>
          <w:rFonts w:hint="eastAsia" w:ascii="仿宋" w:hAnsi="仿宋" w:eastAsia="仿宋" w:cs="仿宋"/>
          <w:bCs/>
          <w:sz w:val="32"/>
          <w:szCs w:val="32"/>
          <w:highlight w:val="none"/>
        </w:rPr>
        <w:t>人民政府要不断加大对残疾人事业的经费保障力度，根据支出责任安排经费，并随着经济发展同步增长。加大残疾人就业保障金征收力度，确保按时足额征收。发展残疾人慈善事业，加强残疾人福利基金会募捐能力，不断扩大助残服务覆盖面。注重政策引导，鼓励更多社会资金参与残疾人事业，形成多渠道、全方位的资金投入格局。加强残疾人事业经费绩效评价，提高财政资金的使用效率和管理水平。</w:t>
      </w:r>
    </w:p>
    <w:p>
      <w:pPr>
        <w:pStyle w:val="4"/>
        <w:pageBreakBefore w:val="0"/>
        <w:kinsoku/>
        <w:wordWrap/>
        <w:overflowPunct/>
        <w:topLinePunct w:val="0"/>
        <w:bidi w:val="0"/>
        <w:spacing w:before="0" w:beforeLines="0" w:after="0" w:afterLines="0" w:line="600" w:lineRule="exact"/>
        <w:ind w:left="0" w:leftChars="0" w:right="0"/>
        <w:textAlignment w:val="auto"/>
        <w:rPr>
          <w:rFonts w:hint="eastAsia"/>
        </w:rPr>
      </w:pPr>
      <w:bookmarkStart w:id="27" w:name="_Toc20669"/>
      <w:r>
        <w:rPr>
          <w:rFonts w:hint="eastAsia"/>
        </w:rPr>
        <w:t>（三）扩大有效供给</w:t>
      </w:r>
      <w:bookmarkEnd w:id="27"/>
    </w:p>
    <w:p>
      <w:pPr>
        <w:pageBreakBefore w:val="0"/>
        <w:kinsoku/>
        <w:wordWrap/>
        <w:overflowPunct/>
        <w:topLinePunct w:val="0"/>
        <w:bidi w:val="0"/>
        <w:spacing w:before="0" w:after="0" w:line="600" w:lineRule="exact"/>
        <w:ind w:left="0" w:leftChars="0" w:right="0" w:firstLine="645"/>
        <w:jc w:val="both"/>
        <w:textAlignment w:val="auto"/>
        <w:rPr>
          <w:rFonts w:hint="eastAsia" w:ascii="仿宋" w:hAnsi="仿宋" w:eastAsia="仿宋" w:cs="仿宋"/>
          <w:bCs/>
          <w:sz w:val="32"/>
          <w:szCs w:val="32"/>
          <w:highlight w:val="none"/>
        </w:rPr>
      </w:pPr>
      <w:r>
        <w:rPr>
          <w:rFonts w:hint="eastAsia" w:ascii="仿宋" w:hAnsi="仿宋" w:eastAsia="仿宋" w:cs="仿宋"/>
          <w:bCs/>
          <w:sz w:val="32"/>
          <w:szCs w:val="32"/>
          <w:highlight w:val="none"/>
        </w:rPr>
        <w:t>全面落实残疾人群体基本公共服务保障标准，强化财政支出责任，确保内容无缺项、财力有保障、服务可持续。创新设施运行和服务供给的机制和方式，对已建设的康复、托养、“残疾人之家”等服务设施，通过公办合营、公建民营、政府购买服务等方式，引导和支持社会力量参与设施运行，有效发挥设施作用。进一步加强政府购买助残服务力度，对助残产业在用地、用房、人才培育和引进等方面给予优待、扶持，不断提升残疾人服务社会化、专业化、市场化水平。</w:t>
      </w:r>
    </w:p>
    <w:p>
      <w:pPr>
        <w:pStyle w:val="4"/>
        <w:pageBreakBefore w:val="0"/>
        <w:kinsoku/>
        <w:wordWrap/>
        <w:overflowPunct/>
        <w:topLinePunct w:val="0"/>
        <w:bidi w:val="0"/>
        <w:spacing w:before="0" w:beforeLines="0" w:after="0" w:afterLines="0" w:line="600" w:lineRule="exact"/>
        <w:ind w:left="0" w:leftChars="0" w:right="0"/>
        <w:textAlignment w:val="auto"/>
        <w:rPr>
          <w:rFonts w:hint="eastAsia"/>
        </w:rPr>
      </w:pPr>
      <w:bookmarkStart w:id="28" w:name="_Toc23974"/>
      <w:r>
        <w:rPr>
          <w:rFonts w:hint="eastAsia"/>
        </w:rPr>
        <w:t>（四）开展评估总结</w:t>
      </w:r>
      <w:bookmarkEnd w:id="28"/>
    </w:p>
    <w:p>
      <w:pPr>
        <w:pageBreakBefore w:val="0"/>
        <w:kinsoku/>
        <w:wordWrap/>
        <w:overflowPunct/>
        <w:topLinePunct w:val="0"/>
        <w:bidi w:val="0"/>
        <w:spacing w:before="0" w:after="0" w:line="600" w:lineRule="exact"/>
        <w:ind w:left="0" w:leftChars="0" w:right="0" w:firstLine="645"/>
        <w:jc w:val="both"/>
        <w:textAlignment w:val="auto"/>
        <w:rPr>
          <w:rFonts w:hint="eastAsia" w:ascii="宋体" w:hAnsi="宋体" w:eastAsia="宋体" w:cs="宋体"/>
          <w:color w:val="auto"/>
          <w:highlight w:val="none"/>
        </w:rPr>
      </w:pPr>
      <w:r>
        <w:rPr>
          <w:rFonts w:hint="eastAsia" w:ascii="仿宋" w:hAnsi="仿宋" w:eastAsia="仿宋" w:cs="仿宋"/>
          <w:bCs/>
          <w:sz w:val="32"/>
          <w:szCs w:val="32"/>
          <w:highlight w:val="none"/>
        </w:rPr>
        <w:t>政府残疾人工作委员会及相关部门要加强规划实施动态监测和跟踪问效，及时发现和解决执行中的问题，在“十四五”中期、期末对规划实施情况进行评估总结。开展第三方评估和社会满意度调查，及时公开有关信息，接受社会监督。</w:t>
      </w:r>
    </w:p>
    <w:sectPr>
      <w:footerReference r:id="rId5" w:type="default"/>
      <w:pgSz w:w="11920" w:h="16850"/>
      <w:pgMar w:top="1600" w:right="1420" w:bottom="280" w:left="1440" w:header="720" w:footer="72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仿宋">
    <w:panose1 w:val="02010609060101010101"/>
    <w:charset w:val="86"/>
    <w:family w:val="auto"/>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5E20B25"/>
    <w:multiLevelType w:val="singleLevel"/>
    <w:tmpl w:val="F5E20B25"/>
    <w:lvl w:ilvl="0" w:tentative="0">
      <w:start w:val="1"/>
      <w:numFmt w:val="decimal"/>
      <w:lvlText w:val="%1."/>
      <w:lvlJc w:val="left"/>
      <w:pPr>
        <w:tabs>
          <w:tab w:val="left" w:pos="312"/>
        </w:tabs>
      </w:pPr>
    </w:lvl>
  </w:abstractNum>
  <w:abstractNum w:abstractNumId="1">
    <w:nsid w:val="6D0AFB16"/>
    <w:multiLevelType w:val="singleLevel"/>
    <w:tmpl w:val="6D0AFB16"/>
    <w:lvl w:ilvl="0" w:tentative="0">
      <w:start w:val="4"/>
      <w:numFmt w:val="decimal"/>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hmNWEwN2M2OWNiNzBhZjcxYTlmYTU4ZmJjNTc2OGMifQ=="/>
  </w:docVars>
  <w:rsids>
    <w:rsidRoot w:val="62887014"/>
    <w:rsid w:val="00A95A9A"/>
    <w:rsid w:val="00AD10E6"/>
    <w:rsid w:val="011B2681"/>
    <w:rsid w:val="01213882"/>
    <w:rsid w:val="0179546C"/>
    <w:rsid w:val="018D33AA"/>
    <w:rsid w:val="019A6B82"/>
    <w:rsid w:val="019C1590"/>
    <w:rsid w:val="01A73854"/>
    <w:rsid w:val="01FE5971"/>
    <w:rsid w:val="020F601C"/>
    <w:rsid w:val="022B0E5C"/>
    <w:rsid w:val="023F66B6"/>
    <w:rsid w:val="027C3466"/>
    <w:rsid w:val="02DD7EE1"/>
    <w:rsid w:val="03701ADE"/>
    <w:rsid w:val="03B64756"/>
    <w:rsid w:val="03EE6273"/>
    <w:rsid w:val="04051239"/>
    <w:rsid w:val="041016D5"/>
    <w:rsid w:val="04251C94"/>
    <w:rsid w:val="04922F30"/>
    <w:rsid w:val="04ED41A7"/>
    <w:rsid w:val="050D65F7"/>
    <w:rsid w:val="052D0A47"/>
    <w:rsid w:val="053C7745"/>
    <w:rsid w:val="05481B54"/>
    <w:rsid w:val="056130D0"/>
    <w:rsid w:val="058F1702"/>
    <w:rsid w:val="061834A6"/>
    <w:rsid w:val="061F2A86"/>
    <w:rsid w:val="062E0F1B"/>
    <w:rsid w:val="062F259D"/>
    <w:rsid w:val="063522A9"/>
    <w:rsid w:val="06420522"/>
    <w:rsid w:val="06457DC9"/>
    <w:rsid w:val="065B7836"/>
    <w:rsid w:val="065E2E82"/>
    <w:rsid w:val="06606BFB"/>
    <w:rsid w:val="0680729D"/>
    <w:rsid w:val="06DE46EF"/>
    <w:rsid w:val="06E35C4B"/>
    <w:rsid w:val="06EB0BBA"/>
    <w:rsid w:val="071D0C26"/>
    <w:rsid w:val="0731694F"/>
    <w:rsid w:val="0786790A"/>
    <w:rsid w:val="078F7797"/>
    <w:rsid w:val="07AD40C1"/>
    <w:rsid w:val="07D21968"/>
    <w:rsid w:val="080B3C3D"/>
    <w:rsid w:val="08527848"/>
    <w:rsid w:val="08713341"/>
    <w:rsid w:val="087A3E49"/>
    <w:rsid w:val="08940DDD"/>
    <w:rsid w:val="08FF26FB"/>
    <w:rsid w:val="096802A0"/>
    <w:rsid w:val="09AB4631"/>
    <w:rsid w:val="09CD5404"/>
    <w:rsid w:val="0A245EBD"/>
    <w:rsid w:val="0A256191"/>
    <w:rsid w:val="0A4D5922"/>
    <w:rsid w:val="0A783CCF"/>
    <w:rsid w:val="0A913826"/>
    <w:rsid w:val="0A960E3D"/>
    <w:rsid w:val="0AC75ED1"/>
    <w:rsid w:val="0B220922"/>
    <w:rsid w:val="0B3A4517"/>
    <w:rsid w:val="0B6E0AC6"/>
    <w:rsid w:val="0B8E5FB8"/>
    <w:rsid w:val="0B995089"/>
    <w:rsid w:val="0BB27EF8"/>
    <w:rsid w:val="0BB43C70"/>
    <w:rsid w:val="0BB579E9"/>
    <w:rsid w:val="0BFF6974"/>
    <w:rsid w:val="0C2661F0"/>
    <w:rsid w:val="0D464D9C"/>
    <w:rsid w:val="0D5079C9"/>
    <w:rsid w:val="0D562B05"/>
    <w:rsid w:val="0D624DB8"/>
    <w:rsid w:val="0D6E42F3"/>
    <w:rsid w:val="0D74267A"/>
    <w:rsid w:val="0E0451DD"/>
    <w:rsid w:val="0E1E3623"/>
    <w:rsid w:val="0E72571D"/>
    <w:rsid w:val="0EE728DC"/>
    <w:rsid w:val="0F072309"/>
    <w:rsid w:val="0F1F3579"/>
    <w:rsid w:val="0F4B48EC"/>
    <w:rsid w:val="0F5C08A7"/>
    <w:rsid w:val="0F6B33BA"/>
    <w:rsid w:val="0F9744FE"/>
    <w:rsid w:val="0FB111DC"/>
    <w:rsid w:val="0FBD50BE"/>
    <w:rsid w:val="0FDE750E"/>
    <w:rsid w:val="10550D0C"/>
    <w:rsid w:val="10645539"/>
    <w:rsid w:val="106D0892"/>
    <w:rsid w:val="10A35BB7"/>
    <w:rsid w:val="10E2302E"/>
    <w:rsid w:val="10FE773C"/>
    <w:rsid w:val="11825695"/>
    <w:rsid w:val="11943BFC"/>
    <w:rsid w:val="119F0F1F"/>
    <w:rsid w:val="1202500A"/>
    <w:rsid w:val="12077D55"/>
    <w:rsid w:val="1212683A"/>
    <w:rsid w:val="121C62AC"/>
    <w:rsid w:val="122F22A3"/>
    <w:rsid w:val="123029BC"/>
    <w:rsid w:val="125515DD"/>
    <w:rsid w:val="12564A7C"/>
    <w:rsid w:val="12753A2E"/>
    <w:rsid w:val="12776BDC"/>
    <w:rsid w:val="12C03A36"/>
    <w:rsid w:val="12C66CF6"/>
    <w:rsid w:val="12CD062D"/>
    <w:rsid w:val="12D270D2"/>
    <w:rsid w:val="12E60488"/>
    <w:rsid w:val="12F3193B"/>
    <w:rsid w:val="13280AA0"/>
    <w:rsid w:val="13313DF9"/>
    <w:rsid w:val="134A0A16"/>
    <w:rsid w:val="13525B1D"/>
    <w:rsid w:val="136A2E67"/>
    <w:rsid w:val="141F00F5"/>
    <w:rsid w:val="147C09AD"/>
    <w:rsid w:val="14BC1DE8"/>
    <w:rsid w:val="14BF71E2"/>
    <w:rsid w:val="14D902A4"/>
    <w:rsid w:val="14E136B6"/>
    <w:rsid w:val="15003A82"/>
    <w:rsid w:val="15267261"/>
    <w:rsid w:val="154A11A2"/>
    <w:rsid w:val="156C736A"/>
    <w:rsid w:val="15973CBB"/>
    <w:rsid w:val="15A22D8C"/>
    <w:rsid w:val="15E44E86"/>
    <w:rsid w:val="15FC6940"/>
    <w:rsid w:val="168E50BE"/>
    <w:rsid w:val="16B03286"/>
    <w:rsid w:val="16D3210F"/>
    <w:rsid w:val="17044094"/>
    <w:rsid w:val="17172DF4"/>
    <w:rsid w:val="172C05B5"/>
    <w:rsid w:val="175C5BC1"/>
    <w:rsid w:val="17AE6CE7"/>
    <w:rsid w:val="17B172B6"/>
    <w:rsid w:val="17BD5C21"/>
    <w:rsid w:val="17CC40F0"/>
    <w:rsid w:val="17FE0021"/>
    <w:rsid w:val="18631A12"/>
    <w:rsid w:val="1888270D"/>
    <w:rsid w:val="189015C1"/>
    <w:rsid w:val="18A81A8B"/>
    <w:rsid w:val="18CC6279"/>
    <w:rsid w:val="18F52AF6"/>
    <w:rsid w:val="194F6D87"/>
    <w:rsid w:val="195B397D"/>
    <w:rsid w:val="19821D2A"/>
    <w:rsid w:val="19960E59"/>
    <w:rsid w:val="19A90B8D"/>
    <w:rsid w:val="19BF6263"/>
    <w:rsid w:val="19CA45C7"/>
    <w:rsid w:val="19CB0357"/>
    <w:rsid w:val="19CC03D7"/>
    <w:rsid w:val="19EE2A43"/>
    <w:rsid w:val="1A15303F"/>
    <w:rsid w:val="1A4102BA"/>
    <w:rsid w:val="1A9C2D15"/>
    <w:rsid w:val="1AE23C2A"/>
    <w:rsid w:val="1AFC1190"/>
    <w:rsid w:val="1B117275"/>
    <w:rsid w:val="1B2515A5"/>
    <w:rsid w:val="1B2711AE"/>
    <w:rsid w:val="1B43410D"/>
    <w:rsid w:val="1B486183"/>
    <w:rsid w:val="1B5C1C2F"/>
    <w:rsid w:val="1B732B9D"/>
    <w:rsid w:val="1B746F78"/>
    <w:rsid w:val="1B7E7A42"/>
    <w:rsid w:val="1BD619E1"/>
    <w:rsid w:val="1BD95538"/>
    <w:rsid w:val="1BEE56E9"/>
    <w:rsid w:val="1C0F6CA1"/>
    <w:rsid w:val="1C116575"/>
    <w:rsid w:val="1C224C26"/>
    <w:rsid w:val="1C295FB5"/>
    <w:rsid w:val="1C3404B6"/>
    <w:rsid w:val="1C591C9E"/>
    <w:rsid w:val="1C60574F"/>
    <w:rsid w:val="1C9F1DD3"/>
    <w:rsid w:val="1D156539"/>
    <w:rsid w:val="1D8C1C9C"/>
    <w:rsid w:val="1D8E3BF5"/>
    <w:rsid w:val="1D922BCD"/>
    <w:rsid w:val="1D9A6016"/>
    <w:rsid w:val="1DAD6772"/>
    <w:rsid w:val="1DB21FDA"/>
    <w:rsid w:val="1DC45617"/>
    <w:rsid w:val="1DD91315"/>
    <w:rsid w:val="1DE8684D"/>
    <w:rsid w:val="1E104084"/>
    <w:rsid w:val="1E320440"/>
    <w:rsid w:val="1E5A33D0"/>
    <w:rsid w:val="1E5B7260"/>
    <w:rsid w:val="1E6F1C79"/>
    <w:rsid w:val="1E766B63"/>
    <w:rsid w:val="1E83505C"/>
    <w:rsid w:val="1EB819D6"/>
    <w:rsid w:val="1EBA33F2"/>
    <w:rsid w:val="1EC737ED"/>
    <w:rsid w:val="1ED33FB6"/>
    <w:rsid w:val="1EDE355A"/>
    <w:rsid w:val="1F120F82"/>
    <w:rsid w:val="1F3335E4"/>
    <w:rsid w:val="1F4B6242"/>
    <w:rsid w:val="1F6A2B6C"/>
    <w:rsid w:val="1F922DFA"/>
    <w:rsid w:val="1FD07CDC"/>
    <w:rsid w:val="20107B10"/>
    <w:rsid w:val="203803E9"/>
    <w:rsid w:val="204A4CC3"/>
    <w:rsid w:val="20906921"/>
    <w:rsid w:val="20DA24D0"/>
    <w:rsid w:val="20F17935"/>
    <w:rsid w:val="20F701B2"/>
    <w:rsid w:val="20FC3C98"/>
    <w:rsid w:val="21634CC2"/>
    <w:rsid w:val="21E40288"/>
    <w:rsid w:val="220B3A67"/>
    <w:rsid w:val="22140B6D"/>
    <w:rsid w:val="22501874"/>
    <w:rsid w:val="225071F5"/>
    <w:rsid w:val="226C22A1"/>
    <w:rsid w:val="2274785E"/>
    <w:rsid w:val="227C6712"/>
    <w:rsid w:val="227F0C5F"/>
    <w:rsid w:val="228E4DC3"/>
    <w:rsid w:val="22B8599C"/>
    <w:rsid w:val="22F91BED"/>
    <w:rsid w:val="233F1C1A"/>
    <w:rsid w:val="23517B9F"/>
    <w:rsid w:val="235A6AF5"/>
    <w:rsid w:val="23723ED6"/>
    <w:rsid w:val="23C41200"/>
    <w:rsid w:val="23C860B3"/>
    <w:rsid w:val="23D82448"/>
    <w:rsid w:val="23E32EED"/>
    <w:rsid w:val="23ED3D6C"/>
    <w:rsid w:val="241A61E3"/>
    <w:rsid w:val="24630BE2"/>
    <w:rsid w:val="2479115B"/>
    <w:rsid w:val="24AF2DCF"/>
    <w:rsid w:val="24F33D72"/>
    <w:rsid w:val="250749B9"/>
    <w:rsid w:val="252C08C4"/>
    <w:rsid w:val="25387269"/>
    <w:rsid w:val="254554E2"/>
    <w:rsid w:val="254C061E"/>
    <w:rsid w:val="256834DB"/>
    <w:rsid w:val="25CF5355"/>
    <w:rsid w:val="25E76599"/>
    <w:rsid w:val="264D28A0"/>
    <w:rsid w:val="26667E05"/>
    <w:rsid w:val="268A2611"/>
    <w:rsid w:val="268D0EEE"/>
    <w:rsid w:val="26A2458C"/>
    <w:rsid w:val="26B3500E"/>
    <w:rsid w:val="26CC2A53"/>
    <w:rsid w:val="274A3D27"/>
    <w:rsid w:val="278F0C96"/>
    <w:rsid w:val="2839283E"/>
    <w:rsid w:val="283A6665"/>
    <w:rsid w:val="28485A15"/>
    <w:rsid w:val="286E723B"/>
    <w:rsid w:val="28731BE5"/>
    <w:rsid w:val="28C055AB"/>
    <w:rsid w:val="28D225A1"/>
    <w:rsid w:val="28D56B7C"/>
    <w:rsid w:val="28DF17A9"/>
    <w:rsid w:val="28E966D8"/>
    <w:rsid w:val="290869FD"/>
    <w:rsid w:val="29D443D6"/>
    <w:rsid w:val="2A063491"/>
    <w:rsid w:val="2A6401B8"/>
    <w:rsid w:val="2A64465C"/>
    <w:rsid w:val="2AA42CAA"/>
    <w:rsid w:val="2AF23A16"/>
    <w:rsid w:val="2B204A27"/>
    <w:rsid w:val="2B282726"/>
    <w:rsid w:val="2B4C1378"/>
    <w:rsid w:val="2B6F4C50"/>
    <w:rsid w:val="2BCA0776"/>
    <w:rsid w:val="2C1448C1"/>
    <w:rsid w:val="2C1B71C5"/>
    <w:rsid w:val="2C1F4678"/>
    <w:rsid w:val="2C414237"/>
    <w:rsid w:val="2C536736"/>
    <w:rsid w:val="2C6E17C2"/>
    <w:rsid w:val="2C8A732B"/>
    <w:rsid w:val="2CAA6701"/>
    <w:rsid w:val="2CB73169"/>
    <w:rsid w:val="2CC43190"/>
    <w:rsid w:val="2CC7444C"/>
    <w:rsid w:val="2CF03F85"/>
    <w:rsid w:val="2D02651D"/>
    <w:rsid w:val="2D145EC5"/>
    <w:rsid w:val="2D2D67F2"/>
    <w:rsid w:val="2E3600BD"/>
    <w:rsid w:val="2E417798"/>
    <w:rsid w:val="2E5C5D76"/>
    <w:rsid w:val="2E7D5CEC"/>
    <w:rsid w:val="2E8250B1"/>
    <w:rsid w:val="2ED578D6"/>
    <w:rsid w:val="2F0F6900"/>
    <w:rsid w:val="2F155F25"/>
    <w:rsid w:val="2F57653D"/>
    <w:rsid w:val="2F7013AD"/>
    <w:rsid w:val="2F8F217B"/>
    <w:rsid w:val="2FA01C92"/>
    <w:rsid w:val="2FAF45CB"/>
    <w:rsid w:val="2FB775BB"/>
    <w:rsid w:val="30121E60"/>
    <w:rsid w:val="30131E06"/>
    <w:rsid w:val="301D1535"/>
    <w:rsid w:val="303B7C0D"/>
    <w:rsid w:val="304C3BC8"/>
    <w:rsid w:val="306A22A0"/>
    <w:rsid w:val="308710A4"/>
    <w:rsid w:val="308A4921"/>
    <w:rsid w:val="30E43E01"/>
    <w:rsid w:val="311B5807"/>
    <w:rsid w:val="31432CDB"/>
    <w:rsid w:val="3164364B"/>
    <w:rsid w:val="316D2048"/>
    <w:rsid w:val="317653A0"/>
    <w:rsid w:val="317C672F"/>
    <w:rsid w:val="32002EBC"/>
    <w:rsid w:val="321626E0"/>
    <w:rsid w:val="322546D1"/>
    <w:rsid w:val="322D17D7"/>
    <w:rsid w:val="32635D54"/>
    <w:rsid w:val="32B93F6A"/>
    <w:rsid w:val="32BD2B5B"/>
    <w:rsid w:val="32FB3683"/>
    <w:rsid w:val="3301513E"/>
    <w:rsid w:val="330C4722"/>
    <w:rsid w:val="33836C53"/>
    <w:rsid w:val="3390201E"/>
    <w:rsid w:val="339820A3"/>
    <w:rsid w:val="33A957F9"/>
    <w:rsid w:val="33B10912"/>
    <w:rsid w:val="340B56D8"/>
    <w:rsid w:val="341E587B"/>
    <w:rsid w:val="34360742"/>
    <w:rsid w:val="34993154"/>
    <w:rsid w:val="34E02B31"/>
    <w:rsid w:val="35047206"/>
    <w:rsid w:val="350B22A4"/>
    <w:rsid w:val="350C3926"/>
    <w:rsid w:val="351475CE"/>
    <w:rsid w:val="35243365"/>
    <w:rsid w:val="353F5AA9"/>
    <w:rsid w:val="355C665B"/>
    <w:rsid w:val="3563527D"/>
    <w:rsid w:val="356E45E1"/>
    <w:rsid w:val="35853AA1"/>
    <w:rsid w:val="35BB4AC8"/>
    <w:rsid w:val="35BC0625"/>
    <w:rsid w:val="35E14DB3"/>
    <w:rsid w:val="35EF4E1B"/>
    <w:rsid w:val="3639699D"/>
    <w:rsid w:val="36E83F1F"/>
    <w:rsid w:val="370A09FB"/>
    <w:rsid w:val="373553B6"/>
    <w:rsid w:val="37533A8E"/>
    <w:rsid w:val="37735EDE"/>
    <w:rsid w:val="377F2AD5"/>
    <w:rsid w:val="37A20571"/>
    <w:rsid w:val="37DA41AF"/>
    <w:rsid w:val="37F25A39"/>
    <w:rsid w:val="3805122C"/>
    <w:rsid w:val="3810068D"/>
    <w:rsid w:val="381E22EE"/>
    <w:rsid w:val="384E001C"/>
    <w:rsid w:val="388A71C3"/>
    <w:rsid w:val="38AA3B82"/>
    <w:rsid w:val="38D54819"/>
    <w:rsid w:val="38D70F06"/>
    <w:rsid w:val="390B72A1"/>
    <w:rsid w:val="390F6D1F"/>
    <w:rsid w:val="3922196A"/>
    <w:rsid w:val="392D4479"/>
    <w:rsid w:val="3959418E"/>
    <w:rsid w:val="39A95AB4"/>
    <w:rsid w:val="39BA7DF4"/>
    <w:rsid w:val="39C66799"/>
    <w:rsid w:val="39D569DC"/>
    <w:rsid w:val="39E14E1B"/>
    <w:rsid w:val="3A1219DE"/>
    <w:rsid w:val="3A2070B4"/>
    <w:rsid w:val="3A272E2A"/>
    <w:rsid w:val="3A6F0AF6"/>
    <w:rsid w:val="3AD73EC4"/>
    <w:rsid w:val="3AFE0888"/>
    <w:rsid w:val="3B0C0B24"/>
    <w:rsid w:val="3B2D6CB0"/>
    <w:rsid w:val="3B5F5BD6"/>
    <w:rsid w:val="3B712735"/>
    <w:rsid w:val="3BEB287D"/>
    <w:rsid w:val="3C495460"/>
    <w:rsid w:val="3C705F78"/>
    <w:rsid w:val="3C8A1D00"/>
    <w:rsid w:val="3D1B38A6"/>
    <w:rsid w:val="3D2959BD"/>
    <w:rsid w:val="3D2C2DB7"/>
    <w:rsid w:val="3D3103CE"/>
    <w:rsid w:val="3D6C7658"/>
    <w:rsid w:val="3D8B5CA4"/>
    <w:rsid w:val="3DD1395F"/>
    <w:rsid w:val="3DE6141D"/>
    <w:rsid w:val="3E7C38CA"/>
    <w:rsid w:val="3EBE3EE3"/>
    <w:rsid w:val="3ED25BE0"/>
    <w:rsid w:val="3EE252F7"/>
    <w:rsid w:val="3F32667F"/>
    <w:rsid w:val="3F991E95"/>
    <w:rsid w:val="3FC714BD"/>
    <w:rsid w:val="3FE536F1"/>
    <w:rsid w:val="40061FE5"/>
    <w:rsid w:val="401364B0"/>
    <w:rsid w:val="401B5692"/>
    <w:rsid w:val="40275AB8"/>
    <w:rsid w:val="40BE4012"/>
    <w:rsid w:val="40D13ECD"/>
    <w:rsid w:val="40F1761A"/>
    <w:rsid w:val="412546ED"/>
    <w:rsid w:val="414A028A"/>
    <w:rsid w:val="41750BE2"/>
    <w:rsid w:val="420A743F"/>
    <w:rsid w:val="420F3FF5"/>
    <w:rsid w:val="422E0AE0"/>
    <w:rsid w:val="4230102B"/>
    <w:rsid w:val="42554B5E"/>
    <w:rsid w:val="42693D5E"/>
    <w:rsid w:val="4269685C"/>
    <w:rsid w:val="427B5B61"/>
    <w:rsid w:val="42894808"/>
    <w:rsid w:val="42C47DE7"/>
    <w:rsid w:val="42CF3436"/>
    <w:rsid w:val="42F80F52"/>
    <w:rsid w:val="431D0347"/>
    <w:rsid w:val="43482915"/>
    <w:rsid w:val="435427EE"/>
    <w:rsid w:val="435B43F6"/>
    <w:rsid w:val="43615785"/>
    <w:rsid w:val="436410D9"/>
    <w:rsid w:val="438F40A0"/>
    <w:rsid w:val="43E837B0"/>
    <w:rsid w:val="43EF4B3E"/>
    <w:rsid w:val="43F565F9"/>
    <w:rsid w:val="44311730"/>
    <w:rsid w:val="44476729"/>
    <w:rsid w:val="445948A4"/>
    <w:rsid w:val="44A818BD"/>
    <w:rsid w:val="44BE6CAF"/>
    <w:rsid w:val="44EA6BF5"/>
    <w:rsid w:val="44FB0C04"/>
    <w:rsid w:val="452C2035"/>
    <w:rsid w:val="4550785F"/>
    <w:rsid w:val="45847BF8"/>
    <w:rsid w:val="459B4F7E"/>
    <w:rsid w:val="45B002FD"/>
    <w:rsid w:val="45C03E43"/>
    <w:rsid w:val="45F36B68"/>
    <w:rsid w:val="46004DE1"/>
    <w:rsid w:val="463860C6"/>
    <w:rsid w:val="465B295F"/>
    <w:rsid w:val="46674E60"/>
    <w:rsid w:val="46AF05B5"/>
    <w:rsid w:val="46D73106"/>
    <w:rsid w:val="470C415C"/>
    <w:rsid w:val="470E1780"/>
    <w:rsid w:val="477F5FDE"/>
    <w:rsid w:val="47C92658"/>
    <w:rsid w:val="47E91A68"/>
    <w:rsid w:val="48054931"/>
    <w:rsid w:val="481130A7"/>
    <w:rsid w:val="483F7CE8"/>
    <w:rsid w:val="48415783"/>
    <w:rsid w:val="487732FB"/>
    <w:rsid w:val="489D3865"/>
    <w:rsid w:val="48A356CF"/>
    <w:rsid w:val="48EC5C5B"/>
    <w:rsid w:val="49117305"/>
    <w:rsid w:val="494269A7"/>
    <w:rsid w:val="49804BB7"/>
    <w:rsid w:val="498447A6"/>
    <w:rsid w:val="49885819"/>
    <w:rsid w:val="49B60B96"/>
    <w:rsid w:val="49C03CBE"/>
    <w:rsid w:val="49E669E4"/>
    <w:rsid w:val="4A2A47A2"/>
    <w:rsid w:val="4A742241"/>
    <w:rsid w:val="4ACE1952"/>
    <w:rsid w:val="4AE40334"/>
    <w:rsid w:val="4B1156CF"/>
    <w:rsid w:val="4B1C090F"/>
    <w:rsid w:val="4B5160DF"/>
    <w:rsid w:val="4B7047B7"/>
    <w:rsid w:val="4B7324F9"/>
    <w:rsid w:val="4B883830"/>
    <w:rsid w:val="4B976BE3"/>
    <w:rsid w:val="4BAB1C93"/>
    <w:rsid w:val="4BD1574D"/>
    <w:rsid w:val="4BF268EA"/>
    <w:rsid w:val="4C03387D"/>
    <w:rsid w:val="4C1670EB"/>
    <w:rsid w:val="4C9230BB"/>
    <w:rsid w:val="4D07114B"/>
    <w:rsid w:val="4D0B0C3B"/>
    <w:rsid w:val="4D6E4D26"/>
    <w:rsid w:val="4D7367E0"/>
    <w:rsid w:val="4D8E3EC5"/>
    <w:rsid w:val="4DE855A6"/>
    <w:rsid w:val="4E7445BE"/>
    <w:rsid w:val="4E900D48"/>
    <w:rsid w:val="4E994025"/>
    <w:rsid w:val="4EBC7FA1"/>
    <w:rsid w:val="4ECC61A8"/>
    <w:rsid w:val="4F4F0B87"/>
    <w:rsid w:val="4F9D5368"/>
    <w:rsid w:val="4FB35515"/>
    <w:rsid w:val="4FD03A76"/>
    <w:rsid w:val="4FE94B38"/>
    <w:rsid w:val="501169B1"/>
    <w:rsid w:val="50251479"/>
    <w:rsid w:val="502B6EFE"/>
    <w:rsid w:val="50454464"/>
    <w:rsid w:val="504B2B91"/>
    <w:rsid w:val="5051612F"/>
    <w:rsid w:val="50610B72"/>
    <w:rsid w:val="50630D8E"/>
    <w:rsid w:val="50697A27"/>
    <w:rsid w:val="507A014C"/>
    <w:rsid w:val="508C6CF4"/>
    <w:rsid w:val="50A67666"/>
    <w:rsid w:val="50AA4C28"/>
    <w:rsid w:val="50CE26AB"/>
    <w:rsid w:val="50E41247"/>
    <w:rsid w:val="510559A1"/>
    <w:rsid w:val="51401982"/>
    <w:rsid w:val="51691159"/>
    <w:rsid w:val="517570F1"/>
    <w:rsid w:val="51840248"/>
    <w:rsid w:val="51890380"/>
    <w:rsid w:val="51B11685"/>
    <w:rsid w:val="51F85506"/>
    <w:rsid w:val="52081BED"/>
    <w:rsid w:val="52144E81"/>
    <w:rsid w:val="52232CE4"/>
    <w:rsid w:val="525246BA"/>
    <w:rsid w:val="525E7A5F"/>
    <w:rsid w:val="52AA2CA4"/>
    <w:rsid w:val="52D54930"/>
    <w:rsid w:val="52F65EE9"/>
    <w:rsid w:val="530F0D59"/>
    <w:rsid w:val="539113EF"/>
    <w:rsid w:val="53CB1124"/>
    <w:rsid w:val="53DF5950"/>
    <w:rsid w:val="542F2FBE"/>
    <w:rsid w:val="544607AB"/>
    <w:rsid w:val="547E031E"/>
    <w:rsid w:val="54AB2D04"/>
    <w:rsid w:val="54B971CF"/>
    <w:rsid w:val="54D27141"/>
    <w:rsid w:val="550B4434"/>
    <w:rsid w:val="550F5BC2"/>
    <w:rsid w:val="551710CE"/>
    <w:rsid w:val="552955C8"/>
    <w:rsid w:val="55353EBD"/>
    <w:rsid w:val="554F18E1"/>
    <w:rsid w:val="557C1FAA"/>
    <w:rsid w:val="55A428C2"/>
    <w:rsid w:val="55B33C1E"/>
    <w:rsid w:val="55C71477"/>
    <w:rsid w:val="55C75890"/>
    <w:rsid w:val="55CF6BFB"/>
    <w:rsid w:val="56186177"/>
    <w:rsid w:val="563D3E2F"/>
    <w:rsid w:val="56707D61"/>
    <w:rsid w:val="56714844"/>
    <w:rsid w:val="56AB6FEB"/>
    <w:rsid w:val="56E34D32"/>
    <w:rsid w:val="56F6387A"/>
    <w:rsid w:val="57544F8D"/>
    <w:rsid w:val="57AC301B"/>
    <w:rsid w:val="57EC1669"/>
    <w:rsid w:val="57F47C1C"/>
    <w:rsid w:val="58005E8E"/>
    <w:rsid w:val="582E2382"/>
    <w:rsid w:val="583F79EB"/>
    <w:rsid w:val="58825B29"/>
    <w:rsid w:val="58E12575"/>
    <w:rsid w:val="59084281"/>
    <w:rsid w:val="593212FE"/>
    <w:rsid w:val="59437323"/>
    <w:rsid w:val="597015E9"/>
    <w:rsid w:val="597933D0"/>
    <w:rsid w:val="597F5E17"/>
    <w:rsid w:val="59884501"/>
    <w:rsid w:val="59B83EF9"/>
    <w:rsid w:val="59C7413C"/>
    <w:rsid w:val="59CC52AE"/>
    <w:rsid w:val="59E24AD2"/>
    <w:rsid w:val="5A474FCD"/>
    <w:rsid w:val="5A7B6CD4"/>
    <w:rsid w:val="5A9012D1"/>
    <w:rsid w:val="5AA67121"/>
    <w:rsid w:val="5AD719F4"/>
    <w:rsid w:val="5ADF54B5"/>
    <w:rsid w:val="5AE900E2"/>
    <w:rsid w:val="5AF251E8"/>
    <w:rsid w:val="5B431834"/>
    <w:rsid w:val="5B433C96"/>
    <w:rsid w:val="5B596B4C"/>
    <w:rsid w:val="5B6634E0"/>
    <w:rsid w:val="5B874078"/>
    <w:rsid w:val="5B90055D"/>
    <w:rsid w:val="5BB4249E"/>
    <w:rsid w:val="5BFE4F6F"/>
    <w:rsid w:val="5C186ED1"/>
    <w:rsid w:val="5C4F21C6"/>
    <w:rsid w:val="5C7077EC"/>
    <w:rsid w:val="5CA97B29"/>
    <w:rsid w:val="5CFA0384"/>
    <w:rsid w:val="5D211DB5"/>
    <w:rsid w:val="5D277240"/>
    <w:rsid w:val="5D323DDE"/>
    <w:rsid w:val="5D641CA2"/>
    <w:rsid w:val="5D803A77"/>
    <w:rsid w:val="5D9D4A63"/>
    <w:rsid w:val="5DBE3F61"/>
    <w:rsid w:val="5DD5494D"/>
    <w:rsid w:val="5DED1C97"/>
    <w:rsid w:val="5E6261E1"/>
    <w:rsid w:val="5E7B5956"/>
    <w:rsid w:val="5ED2780B"/>
    <w:rsid w:val="5EE237C6"/>
    <w:rsid w:val="5F20157C"/>
    <w:rsid w:val="5F3D220B"/>
    <w:rsid w:val="5FB7255D"/>
    <w:rsid w:val="5FCC24AC"/>
    <w:rsid w:val="5FE5531C"/>
    <w:rsid w:val="60947C38"/>
    <w:rsid w:val="60997EB4"/>
    <w:rsid w:val="61057B8E"/>
    <w:rsid w:val="61826B9A"/>
    <w:rsid w:val="6183303E"/>
    <w:rsid w:val="61B50D1E"/>
    <w:rsid w:val="61D4389A"/>
    <w:rsid w:val="61E42170"/>
    <w:rsid w:val="620D2908"/>
    <w:rsid w:val="623065F6"/>
    <w:rsid w:val="62887014"/>
    <w:rsid w:val="62AA63A9"/>
    <w:rsid w:val="62B611F1"/>
    <w:rsid w:val="62C456BC"/>
    <w:rsid w:val="630E2DDB"/>
    <w:rsid w:val="6320666B"/>
    <w:rsid w:val="637C5E53"/>
    <w:rsid w:val="639F5050"/>
    <w:rsid w:val="63B22767"/>
    <w:rsid w:val="64B259E8"/>
    <w:rsid w:val="64E060B2"/>
    <w:rsid w:val="6511270F"/>
    <w:rsid w:val="654900FB"/>
    <w:rsid w:val="65493C57"/>
    <w:rsid w:val="658C7FE7"/>
    <w:rsid w:val="65E46075"/>
    <w:rsid w:val="65F938CF"/>
    <w:rsid w:val="661029C7"/>
    <w:rsid w:val="6626269F"/>
    <w:rsid w:val="663C292C"/>
    <w:rsid w:val="66546D57"/>
    <w:rsid w:val="666F6B5A"/>
    <w:rsid w:val="66B6793E"/>
    <w:rsid w:val="66BE68C6"/>
    <w:rsid w:val="66ED58A1"/>
    <w:rsid w:val="66F17E41"/>
    <w:rsid w:val="66F82146"/>
    <w:rsid w:val="67013B25"/>
    <w:rsid w:val="671D2F7A"/>
    <w:rsid w:val="672B361C"/>
    <w:rsid w:val="67705E13"/>
    <w:rsid w:val="67A96C2F"/>
    <w:rsid w:val="67AC4971"/>
    <w:rsid w:val="67BF6452"/>
    <w:rsid w:val="68287486"/>
    <w:rsid w:val="683F57E5"/>
    <w:rsid w:val="684D7F02"/>
    <w:rsid w:val="689C6793"/>
    <w:rsid w:val="68A35D74"/>
    <w:rsid w:val="68C301C4"/>
    <w:rsid w:val="68CC437A"/>
    <w:rsid w:val="68F4037D"/>
    <w:rsid w:val="68FA110A"/>
    <w:rsid w:val="690535AB"/>
    <w:rsid w:val="69054339"/>
    <w:rsid w:val="691E231E"/>
    <w:rsid w:val="692C078A"/>
    <w:rsid w:val="69470F40"/>
    <w:rsid w:val="694A2693"/>
    <w:rsid w:val="698F00A6"/>
    <w:rsid w:val="69915610"/>
    <w:rsid w:val="69AC7EC2"/>
    <w:rsid w:val="69C53AC8"/>
    <w:rsid w:val="69F30635"/>
    <w:rsid w:val="6A3A2708"/>
    <w:rsid w:val="6A957F94"/>
    <w:rsid w:val="6ACB3360"/>
    <w:rsid w:val="6AD16A82"/>
    <w:rsid w:val="6AD42215"/>
    <w:rsid w:val="6AFC6CCC"/>
    <w:rsid w:val="6B0D6952"/>
    <w:rsid w:val="6B3C7DBA"/>
    <w:rsid w:val="6B563571"/>
    <w:rsid w:val="6B5E2426"/>
    <w:rsid w:val="6B96396E"/>
    <w:rsid w:val="6BA442DD"/>
    <w:rsid w:val="6BD51D7C"/>
    <w:rsid w:val="6BEE041D"/>
    <w:rsid w:val="6C21607E"/>
    <w:rsid w:val="6C3F7B62"/>
    <w:rsid w:val="6C7517D5"/>
    <w:rsid w:val="6CA67BE1"/>
    <w:rsid w:val="6CCF6806"/>
    <w:rsid w:val="6CE32A24"/>
    <w:rsid w:val="6CF7043C"/>
    <w:rsid w:val="6CF81CF6"/>
    <w:rsid w:val="6D196605"/>
    <w:rsid w:val="6D1F14B6"/>
    <w:rsid w:val="6D264EAC"/>
    <w:rsid w:val="6D5C4743"/>
    <w:rsid w:val="6D7426B3"/>
    <w:rsid w:val="6DD4077E"/>
    <w:rsid w:val="6E045343"/>
    <w:rsid w:val="6E0B2371"/>
    <w:rsid w:val="6E0C7F17"/>
    <w:rsid w:val="6E1868BC"/>
    <w:rsid w:val="6E292877"/>
    <w:rsid w:val="6E3000AA"/>
    <w:rsid w:val="6E3B5E52"/>
    <w:rsid w:val="6E5C0E9F"/>
    <w:rsid w:val="6E8B3D98"/>
    <w:rsid w:val="6E906D9A"/>
    <w:rsid w:val="6E926080"/>
    <w:rsid w:val="6EA36ACE"/>
    <w:rsid w:val="6EAE5472"/>
    <w:rsid w:val="6EB760D5"/>
    <w:rsid w:val="6EC03BC4"/>
    <w:rsid w:val="6ED6693F"/>
    <w:rsid w:val="6EF56BFD"/>
    <w:rsid w:val="6EFD048A"/>
    <w:rsid w:val="6F0E7CBF"/>
    <w:rsid w:val="6F2F210F"/>
    <w:rsid w:val="6F316EE3"/>
    <w:rsid w:val="6F3C65DA"/>
    <w:rsid w:val="6F742218"/>
    <w:rsid w:val="6FA1273B"/>
    <w:rsid w:val="6FAC19B2"/>
    <w:rsid w:val="6FEC1DAE"/>
    <w:rsid w:val="7005368F"/>
    <w:rsid w:val="70293C1B"/>
    <w:rsid w:val="704936A5"/>
    <w:rsid w:val="705B0CE2"/>
    <w:rsid w:val="70715A11"/>
    <w:rsid w:val="707B68BA"/>
    <w:rsid w:val="70812E3F"/>
    <w:rsid w:val="708741CD"/>
    <w:rsid w:val="70DA60AB"/>
    <w:rsid w:val="70DF5DB7"/>
    <w:rsid w:val="70FD7FEB"/>
    <w:rsid w:val="71476BA3"/>
    <w:rsid w:val="715A7171"/>
    <w:rsid w:val="718D136F"/>
    <w:rsid w:val="718F158B"/>
    <w:rsid w:val="71D5225A"/>
    <w:rsid w:val="7238752D"/>
    <w:rsid w:val="72444124"/>
    <w:rsid w:val="727A4C38"/>
    <w:rsid w:val="7298446F"/>
    <w:rsid w:val="72A921D9"/>
    <w:rsid w:val="72CA214F"/>
    <w:rsid w:val="72E7208B"/>
    <w:rsid w:val="72F54B54"/>
    <w:rsid w:val="72F6710A"/>
    <w:rsid w:val="73013DC3"/>
    <w:rsid w:val="731A1328"/>
    <w:rsid w:val="736B1B84"/>
    <w:rsid w:val="73722F12"/>
    <w:rsid w:val="73AF7CC3"/>
    <w:rsid w:val="73B21561"/>
    <w:rsid w:val="73C0588D"/>
    <w:rsid w:val="741A4408"/>
    <w:rsid w:val="74373814"/>
    <w:rsid w:val="74387CB8"/>
    <w:rsid w:val="747177B2"/>
    <w:rsid w:val="748A428C"/>
    <w:rsid w:val="74941E95"/>
    <w:rsid w:val="74B80DF9"/>
    <w:rsid w:val="74FC6F38"/>
    <w:rsid w:val="75306BE1"/>
    <w:rsid w:val="753F0BD2"/>
    <w:rsid w:val="758D7B90"/>
    <w:rsid w:val="75976C60"/>
    <w:rsid w:val="759929D8"/>
    <w:rsid w:val="75A36FD0"/>
    <w:rsid w:val="75A86872"/>
    <w:rsid w:val="75CF1482"/>
    <w:rsid w:val="75D02172"/>
    <w:rsid w:val="75DB2B23"/>
    <w:rsid w:val="75EC6625"/>
    <w:rsid w:val="75F26EEC"/>
    <w:rsid w:val="76045978"/>
    <w:rsid w:val="7612218A"/>
    <w:rsid w:val="762F50EB"/>
    <w:rsid w:val="766C59F7"/>
    <w:rsid w:val="76960CC6"/>
    <w:rsid w:val="76D0242A"/>
    <w:rsid w:val="76F15E0E"/>
    <w:rsid w:val="77420E4E"/>
    <w:rsid w:val="774B485B"/>
    <w:rsid w:val="775E5C88"/>
    <w:rsid w:val="776B2153"/>
    <w:rsid w:val="77882D05"/>
    <w:rsid w:val="778C3E77"/>
    <w:rsid w:val="78011C71"/>
    <w:rsid w:val="78355967"/>
    <w:rsid w:val="78A007DF"/>
    <w:rsid w:val="794F2D12"/>
    <w:rsid w:val="79517126"/>
    <w:rsid w:val="795F1F28"/>
    <w:rsid w:val="79C32B85"/>
    <w:rsid w:val="79C61C14"/>
    <w:rsid w:val="7A016304"/>
    <w:rsid w:val="7A18206C"/>
    <w:rsid w:val="7A232871"/>
    <w:rsid w:val="7A811C8D"/>
    <w:rsid w:val="7A845B45"/>
    <w:rsid w:val="7AA80FC8"/>
    <w:rsid w:val="7AB83901"/>
    <w:rsid w:val="7B346CFF"/>
    <w:rsid w:val="7B467BBC"/>
    <w:rsid w:val="7B564EC8"/>
    <w:rsid w:val="7B6C0247"/>
    <w:rsid w:val="7B882506"/>
    <w:rsid w:val="7B991B70"/>
    <w:rsid w:val="7B9A4CF6"/>
    <w:rsid w:val="7BB57E40"/>
    <w:rsid w:val="7BDF62D8"/>
    <w:rsid w:val="7C09018C"/>
    <w:rsid w:val="7C174657"/>
    <w:rsid w:val="7C23124E"/>
    <w:rsid w:val="7C460A98"/>
    <w:rsid w:val="7C63209B"/>
    <w:rsid w:val="7C6F6241"/>
    <w:rsid w:val="7CC61BD9"/>
    <w:rsid w:val="7CF44998"/>
    <w:rsid w:val="7CFE5F4B"/>
    <w:rsid w:val="7D275B0A"/>
    <w:rsid w:val="7D28242A"/>
    <w:rsid w:val="7D513B99"/>
    <w:rsid w:val="7D567401"/>
    <w:rsid w:val="7D7653AD"/>
    <w:rsid w:val="7D887032"/>
    <w:rsid w:val="7DA07999"/>
    <w:rsid w:val="7DA95783"/>
    <w:rsid w:val="7DB51CBD"/>
    <w:rsid w:val="7DD01A5F"/>
    <w:rsid w:val="7DD81BC4"/>
    <w:rsid w:val="7DE1316F"/>
    <w:rsid w:val="7DF12C86"/>
    <w:rsid w:val="7E2968C4"/>
    <w:rsid w:val="7E494870"/>
    <w:rsid w:val="7E4B05E8"/>
    <w:rsid w:val="7E525E1A"/>
    <w:rsid w:val="7E53749D"/>
    <w:rsid w:val="7E5971A9"/>
    <w:rsid w:val="7E9C6861"/>
    <w:rsid w:val="7EB64081"/>
    <w:rsid w:val="7F076C05"/>
    <w:rsid w:val="7F3D0100"/>
    <w:rsid w:val="7F597A39"/>
    <w:rsid w:val="7F65392B"/>
    <w:rsid w:val="7F840255"/>
    <w:rsid w:val="7F935F9E"/>
    <w:rsid w:val="7F9E2999"/>
    <w:rsid w:val="7FB623D9"/>
    <w:rsid w:val="7FBC2D04"/>
    <w:rsid w:val="7FDC1E3F"/>
    <w:rsid w:val="7FF27EC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1"/>
    <w:pPr>
      <w:widowControl w:val="0"/>
      <w:autoSpaceDE w:val="0"/>
      <w:autoSpaceDN w:val="0"/>
      <w:spacing w:before="0" w:after="0" w:line="240" w:lineRule="auto"/>
      <w:ind w:left="0" w:right="0"/>
      <w:jc w:val="left"/>
    </w:pPr>
    <w:rPr>
      <w:rFonts w:ascii="宋体" w:hAnsi="宋体" w:eastAsia="宋体" w:cs="宋体"/>
      <w:sz w:val="22"/>
      <w:szCs w:val="22"/>
      <w:lang w:val="zh-CN" w:eastAsia="zh-CN" w:bidi="zh-CN"/>
    </w:rPr>
  </w:style>
  <w:style w:type="paragraph" w:styleId="3">
    <w:name w:val="heading 1"/>
    <w:basedOn w:val="1"/>
    <w:next w:val="1"/>
    <w:qFormat/>
    <w:uiPriority w:val="0"/>
    <w:pPr>
      <w:keepNext/>
      <w:keepLines/>
      <w:spacing w:before="340" w:beforeLines="0" w:beforeAutospacing="0" w:after="330" w:afterLines="0" w:afterAutospacing="0" w:line="360" w:lineRule="auto"/>
      <w:ind w:firstLine="1044" w:firstLineChars="200"/>
      <w:outlineLvl w:val="0"/>
    </w:pPr>
    <w:rPr>
      <w:rFonts w:eastAsia="黑体"/>
      <w:b/>
      <w:kern w:val="44"/>
      <w:sz w:val="32"/>
    </w:rPr>
  </w:style>
  <w:style w:type="paragraph" w:styleId="4">
    <w:name w:val="heading 2"/>
    <w:basedOn w:val="1"/>
    <w:next w:val="1"/>
    <w:unhideWhenUsed/>
    <w:qFormat/>
    <w:uiPriority w:val="0"/>
    <w:pPr>
      <w:keepNext/>
      <w:keepLines/>
      <w:spacing w:before="260" w:beforeLines="0" w:beforeAutospacing="0" w:after="260" w:afterLines="0" w:afterAutospacing="0" w:line="360" w:lineRule="auto"/>
      <w:ind w:firstLine="1044" w:firstLineChars="200"/>
      <w:outlineLvl w:val="1"/>
    </w:pPr>
    <w:rPr>
      <w:rFonts w:ascii="Arial" w:hAnsi="Arial" w:eastAsia="楷体"/>
      <w:b/>
      <w:sz w:val="32"/>
    </w:rPr>
  </w:style>
  <w:style w:type="character" w:default="1" w:styleId="14">
    <w:name w:val="Default Paragraph Font"/>
    <w:semiHidden/>
    <w:qFormat/>
    <w:uiPriority w:val="0"/>
  </w:style>
  <w:style w:type="table" w:default="1" w:styleId="12">
    <w:name w:val="Normal Table"/>
    <w:semiHidden/>
    <w:qFormat/>
    <w:uiPriority w:val="0"/>
    <w:tblPr>
      <w:tblCellMar>
        <w:top w:w="0" w:type="dxa"/>
        <w:left w:w="108" w:type="dxa"/>
        <w:bottom w:w="0" w:type="dxa"/>
        <w:right w:w="108" w:type="dxa"/>
      </w:tblCellMar>
    </w:tblPr>
  </w:style>
  <w:style w:type="paragraph" w:styleId="2">
    <w:name w:val="Block Text"/>
    <w:basedOn w:val="1"/>
    <w:qFormat/>
    <w:uiPriority w:val="0"/>
    <w:pPr>
      <w:jc w:val="left"/>
    </w:pPr>
    <w:rPr>
      <w:szCs w:val="22"/>
    </w:rPr>
  </w:style>
  <w:style w:type="paragraph" w:styleId="5">
    <w:name w:val="Body Text"/>
    <w:basedOn w:val="1"/>
    <w:qFormat/>
    <w:uiPriority w:val="1"/>
    <w:pPr>
      <w:ind w:left="120"/>
    </w:pPr>
    <w:rPr>
      <w:rFonts w:ascii="宋体" w:hAnsi="宋体" w:eastAsia="宋体" w:cs="宋体"/>
      <w:sz w:val="29"/>
      <w:szCs w:val="29"/>
      <w:lang w:val="zh-CN" w:eastAsia="zh-CN" w:bidi="zh-CN"/>
    </w:r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8">
    <w:name w:val="toc 1"/>
    <w:basedOn w:val="1"/>
    <w:next w:val="1"/>
    <w:qFormat/>
    <w:uiPriority w:val="0"/>
  </w:style>
  <w:style w:type="paragraph" w:styleId="9">
    <w:name w:val="toc 2"/>
    <w:basedOn w:val="1"/>
    <w:next w:val="1"/>
    <w:qFormat/>
    <w:uiPriority w:val="0"/>
    <w:pPr>
      <w:ind w:left="420" w:leftChars="200"/>
    </w:pPr>
  </w:style>
  <w:style w:type="paragraph" w:styleId="10">
    <w:name w:val="Normal (Web)"/>
    <w:basedOn w:val="1"/>
    <w:qFormat/>
    <w:uiPriority w:val="0"/>
    <w:pPr>
      <w:spacing w:before="100" w:beforeAutospacing="1" w:after="100" w:afterAutospacing="1"/>
      <w:ind w:left="0" w:right="0"/>
      <w:jc w:val="left"/>
    </w:pPr>
    <w:rPr>
      <w:kern w:val="0"/>
      <w:sz w:val="24"/>
      <w:lang w:val="en-US" w:eastAsia="zh-CN" w:bidi="ar"/>
    </w:rPr>
  </w:style>
  <w:style w:type="paragraph" w:styleId="11">
    <w:name w:val="Title"/>
    <w:basedOn w:val="1"/>
    <w:next w:val="1"/>
    <w:qFormat/>
    <w:uiPriority w:val="0"/>
    <w:pPr>
      <w:spacing w:before="240" w:after="60"/>
      <w:jc w:val="center"/>
      <w:outlineLvl w:val="0"/>
    </w:pPr>
    <w:rPr>
      <w:rFonts w:ascii="Cambria" w:hAnsi="Cambria"/>
      <w:b/>
      <w:bCs/>
      <w:sz w:val="32"/>
      <w:szCs w:val="32"/>
    </w:rPr>
  </w:style>
  <w:style w:type="table" w:styleId="13">
    <w:name w:val="Table Grid"/>
    <w:basedOn w:val="1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5">
    <w:name w:val="Hyperlink"/>
    <w:basedOn w:val="14"/>
    <w:unhideWhenUsed/>
    <w:qFormat/>
    <w:uiPriority w:val="99"/>
    <w:rPr>
      <w:color w:val="0000FF"/>
      <w:u w:val="single"/>
    </w:rPr>
  </w:style>
  <w:style w:type="paragraph" w:customStyle="1" w:styleId="16">
    <w:name w:val="Table Paragraph"/>
    <w:basedOn w:val="1"/>
    <w:qFormat/>
    <w:uiPriority w:val="1"/>
    <w:pPr>
      <w:spacing w:before="89"/>
    </w:pPr>
    <w:rPr>
      <w:rFonts w:ascii="宋体" w:hAnsi="宋体" w:eastAsia="宋体" w:cs="宋体"/>
      <w:lang w:val="zh-CN" w:eastAsia="zh-CN" w:bidi="zh-CN"/>
    </w:rPr>
  </w:style>
  <w:style w:type="table" w:customStyle="1" w:styleId="17">
    <w:name w:val="网格型1"/>
    <w:basedOn w:val="12"/>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8">
    <w:name w:val="网格型5"/>
    <w:basedOn w:val="12"/>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9">
    <w:name w:val="网格型2"/>
    <w:basedOn w:val="12"/>
    <w:qFormat/>
    <w:uiPriority w:val="39"/>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0">
    <w:name w:val="网格型3"/>
    <w:basedOn w:val="12"/>
    <w:qFormat/>
    <w:uiPriority w:val="39"/>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
    <w:name w:val="网格型21"/>
    <w:basedOn w:val="12"/>
    <w:qFormat/>
    <w:uiPriority w:val="39"/>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2">
    <w:name w:val="网格型4"/>
    <w:basedOn w:val="12"/>
    <w:qFormat/>
    <w:uiPriority w:val="39"/>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23">
    <w:name w:val="WPSOffice手动目录 1"/>
    <w:qFormat/>
    <w:uiPriority w:val="0"/>
    <w:pPr>
      <w:ind w:leftChars="0"/>
    </w:pPr>
    <w:rPr>
      <w:rFonts w:ascii="Times New Roman" w:hAnsi="Times New Roman" w:eastAsia="宋体" w:cs="Times New Roman"/>
      <w:sz w:val="20"/>
      <w:szCs w:val="20"/>
    </w:rPr>
  </w:style>
  <w:style w:type="paragraph" w:customStyle="1" w:styleId="24">
    <w:name w:val="WPSOffice手动目录 2"/>
    <w:qFormat/>
    <w:uiPriority w:val="0"/>
    <w:pPr>
      <w:ind w:leftChars="20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25</Pages>
  <Words>14340</Words>
  <Characters>14523</Characters>
  <Lines>0</Lines>
  <Paragraphs>0</Paragraphs>
  <TotalTime>62</TotalTime>
  <ScaleCrop>false</ScaleCrop>
  <LinksUpToDate>false</LinksUpToDate>
  <CharactersWithSpaces>14625</CharactersWithSpaces>
  <Application>WPS Office_11.1.0.11744_F1E327BC-269C-435d-A152-05C5408002CA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2022-03-10T07:05:00Z</dcterms:created>
  <dc:creator>古言</dc:creator>
  <cp:lastModifiedBy>WPS_251659890</cp:lastModifiedBy>
  <dcterms:modified xsi:type="dcterms:W3CDTF">2022-06-07T02:17:32Z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18669373912E4DC89C0FD6805F9A1254</vt:lpwstr>
  </property>
</Properties>
</file>