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rFonts w:ascii="Times New Roman" w:hAnsi="Times New Roman" w:eastAsia="方正小标宋简体" w:cs="Times New Roman"/>
          <w:color w:val="111111"/>
          <w:sz w:val="44"/>
          <w:szCs w:val="44"/>
          <w:shd w:val="clear" w:color="auto" w:fill="FFFFFF"/>
        </w:rPr>
      </w:pPr>
      <w:r>
        <w:rPr>
          <w:rFonts w:ascii="Times New Roman" w:hAnsi="Times New Roman" w:eastAsia="方正小标宋简体" w:cs="Times New Roman"/>
          <w:color w:val="111111"/>
          <w:sz w:val="44"/>
          <w:szCs w:val="44"/>
          <w:shd w:val="clear" w:color="auto" w:fill="FFFFFF"/>
        </w:rPr>
        <w:t>关于</w:t>
      </w:r>
      <w:r>
        <w:rPr>
          <w:rFonts w:hint="eastAsia" w:ascii="方正小标宋简体" w:eastAsia="方正小标宋简体"/>
          <w:color w:val="000000"/>
          <w:sz w:val="44"/>
          <w:szCs w:val="44"/>
        </w:rPr>
        <w:t>《</w:t>
      </w:r>
      <w:r>
        <w:rPr>
          <w:rFonts w:hint="eastAsia" w:ascii="方正小标宋简体" w:hAnsi="黑体" w:eastAsia="方正小标宋简体"/>
          <w:sz w:val="44"/>
          <w:szCs w:val="44"/>
        </w:rPr>
        <w:t>同心县“十四五”综合交通运输发展规划</w:t>
      </w:r>
      <w:r>
        <w:rPr>
          <w:rFonts w:hint="eastAsia" w:ascii="Times New Roman" w:hAnsi="Times New Roman" w:eastAsia="方正小标宋简体" w:cs="Times New Roman"/>
          <w:color w:val="111111"/>
          <w:kern w:val="0"/>
          <w:sz w:val="44"/>
          <w:szCs w:val="44"/>
          <w:shd w:val="clear" w:color="auto" w:fill="FFFFFF"/>
          <w:lang w:bidi="ar"/>
        </w:rPr>
        <w:t>（征求意见稿）</w:t>
      </w:r>
      <w:r>
        <w:rPr>
          <w:rFonts w:ascii="Times New Roman" w:hAnsi="Times New Roman" w:eastAsia="方正小标宋简体" w:cs="Times New Roman"/>
          <w:color w:val="111111"/>
          <w:kern w:val="0"/>
          <w:sz w:val="44"/>
          <w:szCs w:val="44"/>
          <w:shd w:val="clear" w:color="auto" w:fill="FFFFFF"/>
          <w:lang w:bidi="ar"/>
        </w:rPr>
        <w:t>》</w:t>
      </w:r>
      <w:r>
        <w:rPr>
          <w:rFonts w:ascii="Times New Roman" w:hAnsi="Times New Roman" w:eastAsia="方正小标宋简体" w:cs="Times New Roman"/>
          <w:color w:val="111111"/>
          <w:sz w:val="44"/>
          <w:szCs w:val="44"/>
          <w:shd w:val="clear" w:color="auto" w:fill="FFFFFF"/>
        </w:rPr>
        <w:t>的起草说明</w:t>
      </w:r>
    </w:p>
    <w:p>
      <w:pPr>
        <w:spacing w:line="600" w:lineRule="exact"/>
        <w:jc w:val="center"/>
        <w:rPr>
          <w:rFonts w:ascii="Times New Roman" w:hAnsi="Times New Roman" w:eastAsia="方正小标宋简体" w:cs="Times New Roman"/>
          <w:color w:val="111111"/>
          <w:sz w:val="44"/>
          <w:szCs w:val="44"/>
          <w:shd w:val="clear" w:color="auto" w:fill="FFFFFF"/>
        </w:rPr>
      </w:pPr>
    </w:p>
    <w:p>
      <w:pPr>
        <w:spacing w:line="56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一、编制</w:t>
      </w:r>
      <w:r>
        <w:rPr>
          <w:rFonts w:ascii="Times New Roman" w:hAnsi="Times New Roman" w:eastAsia="黑体" w:cs="Times New Roman"/>
          <w:sz w:val="32"/>
          <w:szCs w:val="32"/>
        </w:rPr>
        <w:t>背景</w:t>
      </w:r>
    </w:p>
    <w:p>
      <w:pPr>
        <w:pStyle w:val="2"/>
        <w:spacing w:before="0" w:after="0" w:line="560" w:lineRule="exact"/>
        <w:ind w:firstLine="640" w:firstLineChars="200"/>
        <w:jc w:val="both"/>
      </w:pPr>
      <w:bookmarkStart w:id="0" w:name="_Hlk86848582"/>
      <w:r>
        <w:rPr>
          <w:rFonts w:hint="eastAsia" w:ascii="Times New Roman" w:hAnsi="Times New Roman" w:eastAsia="仿宋_GB2312" w:cs="Times New Roman"/>
          <w:b w:val="0"/>
          <w:bCs w:val="0"/>
        </w:rPr>
        <w:t>“十四五”时期，是开启全面建设社会主义现代化国家新征程的第一个五年期，是同心县与全国同步建成小康社会并向基本实现社会主义现代化迈进的关键时期，是贯彻落实党的十九大和十九届五中、六中全会以及习近平总书记视察宁夏时的重要指示精神，全面落实自治区、市、县党委政府决策部署，深入实施“交通强国战略”、“黄河流域生态保护和高质量发展”、“乡村振兴战略”等重大战略布局，全面深化改革、进入高质量发展的重要时期。交通运输作为引领性、战略性产业和基础性、服务型行业，是县域经济社会持续健康高质量发展的基础保障。现阶段同心县综合交通运输体系仍然处于与高质量发展不相适应的阶段，未来五年是同心县构建综合立体交通网络，实现高质量发展的重要阶段。</w:t>
      </w:r>
      <w:bookmarkEnd w:id="0"/>
    </w:p>
    <w:p>
      <w:pPr>
        <w:pStyle w:val="2"/>
        <w:spacing w:before="0" w:after="0" w:line="560" w:lineRule="exact"/>
        <w:ind w:firstLine="640" w:firstLineChars="200"/>
        <w:jc w:val="both"/>
        <w:rPr>
          <w:rFonts w:ascii="Times New Roman" w:hAnsi="Times New Roman" w:eastAsia="仿宋_GB2312" w:cs="Times New Roman"/>
        </w:rPr>
      </w:pPr>
      <w:r>
        <w:rPr>
          <w:rFonts w:hint="eastAsia" w:ascii="Times New Roman" w:hAnsi="Times New Roman" w:eastAsia="黑体" w:cs="Times New Roman"/>
          <w:b w:val="0"/>
          <w:bCs w:val="0"/>
        </w:rPr>
        <w:t>二、编制依据</w:t>
      </w:r>
    </w:p>
    <w:p>
      <w:pPr>
        <w:spacing w:line="560" w:lineRule="exact"/>
        <w:ind w:firstLine="640" w:firstLineChars="200"/>
        <w:rPr>
          <w:rFonts w:ascii="Times New Roman" w:hAnsi="Times New Roman" w:eastAsia="仿宋_GB2312" w:cs="Times New Roman"/>
          <w:sz w:val="32"/>
          <w:szCs w:val="32"/>
        </w:rPr>
      </w:pPr>
      <w:r>
        <w:rPr>
          <w:rFonts w:hint="eastAsia" w:ascii="仿宋_GB2312" w:hAnsi="Calibri" w:eastAsia="仿宋_GB2312"/>
          <w:sz w:val="32"/>
          <w:szCs w:val="32"/>
        </w:rPr>
        <w:t>根据《</w:t>
      </w:r>
      <w:r>
        <w:rPr>
          <w:rFonts w:ascii="仿宋_GB2312" w:hAnsi="Calibri" w:eastAsia="仿宋_GB2312"/>
          <w:sz w:val="32"/>
          <w:szCs w:val="32"/>
        </w:rPr>
        <w:t>同心县人民政府关于印发</w:t>
      </w:r>
      <w:r>
        <w:rPr>
          <w:rFonts w:hint="eastAsia" w:ascii="仿宋_GB2312" w:hAnsi="Calibri" w:eastAsia="仿宋_GB2312"/>
          <w:sz w:val="32"/>
          <w:szCs w:val="32"/>
        </w:rPr>
        <w:t>&lt;同心县国民</w:t>
      </w:r>
      <w:r>
        <w:rPr>
          <w:rFonts w:ascii="仿宋_GB2312" w:hAnsi="Calibri" w:eastAsia="仿宋_GB2312"/>
          <w:sz w:val="32"/>
          <w:szCs w:val="32"/>
        </w:rPr>
        <w:t>经济</w:t>
      </w:r>
      <w:r>
        <w:rPr>
          <w:rFonts w:hint="eastAsia" w:ascii="仿宋_GB2312" w:hAnsi="Calibri" w:eastAsia="仿宋_GB2312"/>
          <w:sz w:val="32"/>
          <w:szCs w:val="32"/>
        </w:rPr>
        <w:t>和</w:t>
      </w:r>
      <w:r>
        <w:rPr>
          <w:rFonts w:ascii="仿宋_GB2312" w:hAnsi="Calibri" w:eastAsia="仿宋_GB2312"/>
          <w:sz w:val="32"/>
          <w:szCs w:val="32"/>
        </w:rPr>
        <w:t>社会发展第十四</w:t>
      </w:r>
      <w:r>
        <w:rPr>
          <w:rFonts w:hint="eastAsia" w:ascii="仿宋_GB2312" w:hAnsi="Calibri" w:eastAsia="仿宋_GB2312"/>
          <w:sz w:val="32"/>
          <w:szCs w:val="32"/>
        </w:rPr>
        <w:t>个</w:t>
      </w:r>
      <w:r>
        <w:rPr>
          <w:rFonts w:ascii="仿宋_GB2312" w:hAnsi="Calibri" w:eastAsia="仿宋_GB2312"/>
          <w:sz w:val="32"/>
          <w:szCs w:val="32"/>
        </w:rPr>
        <w:t>五年规划和</w:t>
      </w:r>
      <w:r>
        <w:rPr>
          <w:rFonts w:hint="eastAsia" w:ascii="仿宋_GB2312" w:hAnsi="Calibri" w:eastAsia="仿宋_GB2312"/>
          <w:sz w:val="32"/>
          <w:szCs w:val="32"/>
        </w:rPr>
        <w:t>2035年</w:t>
      </w:r>
      <w:r>
        <w:rPr>
          <w:rFonts w:ascii="仿宋_GB2312" w:hAnsi="Calibri" w:eastAsia="仿宋_GB2312"/>
          <w:sz w:val="32"/>
          <w:szCs w:val="32"/>
        </w:rPr>
        <w:t>远景目标纲要</w:t>
      </w:r>
      <w:r>
        <w:rPr>
          <w:rFonts w:hint="eastAsia" w:ascii="仿宋_GB2312" w:hAnsi="Calibri" w:eastAsia="仿宋_GB2312"/>
          <w:sz w:val="32"/>
          <w:szCs w:val="32"/>
        </w:rPr>
        <w:t>&gt;的</w:t>
      </w:r>
      <w:r>
        <w:rPr>
          <w:rFonts w:ascii="仿宋_GB2312" w:hAnsi="Calibri" w:eastAsia="仿宋_GB2312"/>
          <w:sz w:val="32"/>
          <w:szCs w:val="32"/>
        </w:rPr>
        <w:t>通知》</w:t>
      </w:r>
      <w:r>
        <w:rPr>
          <w:rFonts w:hint="eastAsia" w:ascii="仿宋_GB2312" w:hAnsi="Calibri" w:eastAsia="仿宋_GB2312"/>
          <w:sz w:val="32"/>
          <w:szCs w:val="32"/>
        </w:rPr>
        <w:t>和《自治区人民政府</w:t>
      </w:r>
      <w:r>
        <w:rPr>
          <w:rFonts w:ascii="仿宋_GB2312" w:hAnsi="Calibri" w:eastAsia="仿宋_GB2312"/>
          <w:sz w:val="32"/>
          <w:szCs w:val="32"/>
        </w:rPr>
        <w:t>办公厅关于印发</w:t>
      </w:r>
      <w:r>
        <w:rPr>
          <w:rFonts w:hint="eastAsia" w:ascii="仿宋_GB2312" w:hAnsi="Calibri" w:eastAsia="仿宋_GB2312"/>
          <w:sz w:val="32"/>
          <w:szCs w:val="32"/>
        </w:rPr>
        <w:t>&lt;宁夏回族</w:t>
      </w:r>
      <w:r>
        <w:rPr>
          <w:rFonts w:ascii="仿宋_GB2312" w:hAnsi="Calibri" w:eastAsia="仿宋_GB2312"/>
          <w:sz w:val="32"/>
          <w:szCs w:val="32"/>
        </w:rPr>
        <w:t>自治区综合交通运输体系“十四五”发展规划</w:t>
      </w:r>
      <w:r>
        <w:rPr>
          <w:rFonts w:hint="eastAsia" w:ascii="仿宋_GB2312" w:hAnsi="Calibri" w:eastAsia="仿宋_GB2312"/>
          <w:sz w:val="32"/>
          <w:szCs w:val="32"/>
        </w:rPr>
        <w:t>&gt;</w:t>
      </w:r>
      <w:r>
        <w:rPr>
          <w:rFonts w:ascii="仿宋_GB2312" w:hAnsi="Calibri" w:eastAsia="仿宋_GB2312"/>
          <w:sz w:val="32"/>
          <w:szCs w:val="32"/>
        </w:rPr>
        <w:t>的通知</w:t>
      </w:r>
      <w:r>
        <w:rPr>
          <w:rFonts w:hint="eastAsia" w:ascii="仿宋_GB2312" w:hAnsi="Calibri" w:eastAsia="仿宋_GB2312"/>
          <w:sz w:val="32"/>
          <w:szCs w:val="32"/>
        </w:rPr>
        <w:t>》</w:t>
      </w:r>
      <w:r>
        <w:rPr>
          <w:rFonts w:hint="eastAsia" w:ascii="Times New Roman" w:hAnsi="Times New Roman" w:eastAsia="仿宋_GB2312" w:cs="Times New Roman"/>
          <w:sz w:val="32"/>
          <w:szCs w:val="32"/>
        </w:rPr>
        <w:t>等文件制定本方案。</w:t>
      </w:r>
    </w:p>
    <w:p>
      <w:pPr>
        <w:spacing w:line="56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三、起草过程</w:t>
      </w:r>
    </w:p>
    <w:p>
      <w:pPr>
        <w:pStyle w:val="7"/>
        <w:shd w:val="clear" w:color="auto" w:fill="FFFFFF"/>
        <w:spacing w:before="300" w:beforeAutospacing="0" w:after="0" w:afterAutospacing="0"/>
        <w:ind w:firstLine="480"/>
        <w:jc w:val="both"/>
        <w:rPr>
          <w:rFonts w:ascii="Helvetica" w:hAnsi="Helvetica" w:eastAsia="宋体" w:cs="Helvetica"/>
          <w:color w:val="404040"/>
          <w:sz w:val="27"/>
          <w:szCs w:val="27"/>
        </w:rPr>
      </w:pPr>
      <w:r>
        <w:rPr>
          <w:rFonts w:hint="eastAsia" w:ascii="Times New Roman" w:hAnsi="Times New Roman" w:eastAsia="仿宋_GB2312"/>
          <w:b/>
          <w:bCs/>
          <w:sz w:val="32"/>
          <w:szCs w:val="32"/>
        </w:rPr>
        <w:t>一是</w:t>
      </w:r>
      <w:r>
        <w:rPr>
          <w:rFonts w:hint="eastAsia" w:ascii="仿宋_GB2312" w:hAnsi="Calibri" w:eastAsia="仿宋_GB2312"/>
          <w:sz w:val="32"/>
          <w:szCs w:val="32"/>
        </w:rPr>
        <w:t>委托具有专业资质的宁夏公路勘察设计院</w:t>
      </w:r>
      <w:r>
        <w:rPr>
          <w:rFonts w:ascii="仿宋_GB2312" w:hAnsi="Calibri" w:eastAsia="仿宋_GB2312"/>
          <w:sz w:val="32"/>
          <w:szCs w:val="32"/>
        </w:rPr>
        <w:t>按照国家“十四五”规划《纲要》</w:t>
      </w:r>
      <w:r>
        <w:rPr>
          <w:rFonts w:hint="eastAsia" w:ascii="仿宋_GB2312" w:hAnsi="Calibri" w:eastAsia="仿宋_GB2312"/>
          <w:sz w:val="32"/>
          <w:szCs w:val="32"/>
        </w:rPr>
        <w:t>和</w:t>
      </w:r>
      <w:r>
        <w:rPr>
          <w:rFonts w:ascii="仿宋_GB2312" w:hAnsi="Calibri" w:eastAsia="仿宋_GB2312"/>
          <w:sz w:val="32"/>
          <w:szCs w:val="32"/>
        </w:rPr>
        <w:t xml:space="preserve"> </w:t>
      </w:r>
      <w:r>
        <w:rPr>
          <w:rFonts w:hint="eastAsia" w:ascii="仿宋_GB2312" w:hAnsi="Calibri" w:eastAsia="仿宋_GB2312"/>
          <w:sz w:val="32"/>
          <w:szCs w:val="32"/>
        </w:rPr>
        <w:t>交通强</w:t>
      </w:r>
      <w:r>
        <w:rPr>
          <w:rFonts w:ascii="仿宋_GB2312" w:hAnsi="Calibri" w:eastAsia="仿宋_GB2312"/>
          <w:sz w:val="32"/>
          <w:szCs w:val="32"/>
        </w:rPr>
        <w:t>国</w:t>
      </w:r>
      <w:r>
        <w:rPr>
          <w:rFonts w:hint="eastAsia" w:ascii="仿宋_GB2312" w:hAnsi="Calibri" w:eastAsia="仿宋_GB2312"/>
          <w:sz w:val="32"/>
          <w:szCs w:val="32"/>
        </w:rPr>
        <w:t>发展战略及</w:t>
      </w:r>
      <w:r>
        <w:rPr>
          <w:rFonts w:ascii="仿宋_GB2312" w:hAnsi="Calibri" w:eastAsia="仿宋_GB2312"/>
          <w:sz w:val="32"/>
          <w:szCs w:val="32"/>
        </w:rPr>
        <w:t>交通运输高质量发展</w:t>
      </w:r>
      <w:r>
        <w:rPr>
          <w:rFonts w:hint="eastAsia" w:ascii="仿宋_GB2312" w:hAnsi="Calibri" w:eastAsia="仿宋_GB2312"/>
          <w:sz w:val="32"/>
          <w:szCs w:val="32"/>
        </w:rPr>
        <w:t>要求</w:t>
      </w:r>
      <w:r>
        <w:rPr>
          <w:rFonts w:ascii="仿宋_GB2312" w:hAnsi="Calibri" w:eastAsia="仿宋_GB2312"/>
          <w:sz w:val="32"/>
          <w:szCs w:val="32"/>
        </w:rPr>
        <w:t>。</w:t>
      </w:r>
      <w:r>
        <w:rPr>
          <w:rFonts w:hint="eastAsia" w:ascii="仿宋_GB2312" w:hAnsi="Calibri" w:eastAsia="仿宋_GB2312"/>
          <w:sz w:val="32"/>
          <w:szCs w:val="32"/>
        </w:rPr>
        <w:t>根据《宁夏回族</w:t>
      </w:r>
      <w:r>
        <w:rPr>
          <w:rFonts w:ascii="仿宋_GB2312" w:hAnsi="Calibri" w:eastAsia="仿宋_GB2312"/>
          <w:sz w:val="32"/>
          <w:szCs w:val="32"/>
        </w:rPr>
        <w:t>自治区综合交通运输体系“十四五”发展规划</w:t>
      </w:r>
      <w:r>
        <w:rPr>
          <w:rFonts w:hint="eastAsia" w:ascii="仿宋_GB2312" w:hAnsi="Calibri" w:eastAsia="仿宋_GB2312"/>
          <w:sz w:val="32"/>
          <w:szCs w:val="32"/>
        </w:rPr>
        <w:t>》、</w:t>
      </w:r>
      <w:r>
        <w:rPr>
          <w:rFonts w:hint="eastAsia" w:ascii="仿宋_GB2312" w:hAnsi="Calibri" w:eastAsia="仿宋_GB2312"/>
          <w:sz w:val="32"/>
          <w:szCs w:val="32"/>
          <w:lang w:eastAsia="zh-CN"/>
        </w:rPr>
        <w:t>《</w:t>
      </w:r>
      <w:r>
        <w:rPr>
          <w:rFonts w:hint="eastAsia" w:ascii="仿宋_GB2312" w:hAnsi="Calibri" w:eastAsia="仿宋_GB2312"/>
          <w:sz w:val="32"/>
          <w:szCs w:val="32"/>
        </w:rPr>
        <w:t>同心县国民</w:t>
      </w:r>
      <w:r>
        <w:rPr>
          <w:rFonts w:ascii="仿宋_GB2312" w:hAnsi="Calibri" w:eastAsia="仿宋_GB2312"/>
          <w:sz w:val="32"/>
          <w:szCs w:val="32"/>
        </w:rPr>
        <w:t>经济</w:t>
      </w:r>
      <w:r>
        <w:rPr>
          <w:rFonts w:hint="eastAsia" w:ascii="仿宋_GB2312" w:hAnsi="Calibri" w:eastAsia="仿宋_GB2312"/>
          <w:sz w:val="32"/>
          <w:szCs w:val="32"/>
        </w:rPr>
        <w:t>和</w:t>
      </w:r>
      <w:r>
        <w:rPr>
          <w:rFonts w:ascii="仿宋_GB2312" w:hAnsi="Calibri" w:eastAsia="仿宋_GB2312"/>
          <w:sz w:val="32"/>
          <w:szCs w:val="32"/>
        </w:rPr>
        <w:t>社会发展第十四</w:t>
      </w:r>
      <w:r>
        <w:rPr>
          <w:rFonts w:hint="eastAsia" w:ascii="仿宋_GB2312" w:hAnsi="Calibri" w:eastAsia="仿宋_GB2312"/>
          <w:sz w:val="32"/>
          <w:szCs w:val="32"/>
        </w:rPr>
        <w:t>个</w:t>
      </w:r>
      <w:r>
        <w:rPr>
          <w:rFonts w:ascii="仿宋_GB2312" w:hAnsi="Calibri" w:eastAsia="仿宋_GB2312"/>
          <w:sz w:val="32"/>
          <w:szCs w:val="32"/>
        </w:rPr>
        <w:t>五年规划和</w:t>
      </w:r>
      <w:r>
        <w:rPr>
          <w:rFonts w:hint="eastAsia" w:ascii="仿宋_GB2312" w:hAnsi="Calibri" w:eastAsia="仿宋_GB2312"/>
          <w:sz w:val="32"/>
          <w:szCs w:val="32"/>
        </w:rPr>
        <w:t>2035年</w:t>
      </w:r>
      <w:r>
        <w:rPr>
          <w:rFonts w:ascii="仿宋_GB2312" w:hAnsi="Calibri" w:eastAsia="仿宋_GB2312"/>
          <w:sz w:val="32"/>
          <w:szCs w:val="32"/>
        </w:rPr>
        <w:t>远景目标纲要》</w:t>
      </w:r>
      <w:r>
        <w:rPr>
          <w:rFonts w:hint="eastAsia" w:ascii="仿宋_GB2312" w:hAnsi="Calibri" w:eastAsia="仿宋_GB2312"/>
          <w:sz w:val="32"/>
          <w:szCs w:val="32"/>
        </w:rPr>
        <w:t>，</w:t>
      </w:r>
      <w:r>
        <w:rPr>
          <w:rFonts w:ascii="仿宋_GB2312" w:hAnsi="Calibri" w:eastAsia="仿宋_GB2312"/>
          <w:sz w:val="32"/>
          <w:szCs w:val="32"/>
        </w:rPr>
        <w:t>结合</w:t>
      </w:r>
      <w:bookmarkStart w:id="29" w:name="_GoBack"/>
      <w:bookmarkEnd w:id="29"/>
      <w:r>
        <w:rPr>
          <w:rFonts w:ascii="仿宋_GB2312" w:hAnsi="Calibri" w:eastAsia="仿宋_GB2312"/>
          <w:sz w:val="32"/>
          <w:szCs w:val="32"/>
        </w:rPr>
        <w:t>同心交通</w:t>
      </w:r>
      <w:r>
        <w:rPr>
          <w:rFonts w:hint="eastAsia" w:ascii="仿宋_GB2312" w:hAnsi="Calibri" w:eastAsia="仿宋_GB2312"/>
          <w:sz w:val="32"/>
          <w:szCs w:val="32"/>
        </w:rPr>
        <w:t>运输</w:t>
      </w:r>
      <w:r>
        <w:rPr>
          <w:rFonts w:ascii="仿宋_GB2312" w:hAnsi="Calibri" w:eastAsia="仿宋_GB2312"/>
          <w:sz w:val="32"/>
          <w:szCs w:val="32"/>
        </w:rPr>
        <w:t>发展</w:t>
      </w:r>
      <w:r>
        <w:rPr>
          <w:rFonts w:hint="eastAsia" w:ascii="仿宋_GB2312" w:hAnsi="Calibri" w:eastAsia="仿宋_GB2312"/>
          <w:sz w:val="32"/>
          <w:szCs w:val="32"/>
        </w:rPr>
        <w:t>现状，编制完成了</w:t>
      </w:r>
      <w:r>
        <w:rPr>
          <w:rFonts w:hint="eastAsia" w:ascii="Times New Roman" w:hAnsi="Times New Roman" w:eastAsia="仿宋_GB2312"/>
          <w:sz w:val="32"/>
          <w:szCs w:val="32"/>
        </w:rPr>
        <w:t>《同心县“十四五”综合交通运输发展规划》初稿</w:t>
      </w:r>
      <w:r>
        <w:rPr>
          <w:rFonts w:ascii="Times New Roman" w:hAnsi="Times New Roman" w:eastAsia="仿宋_GB2312"/>
          <w:sz w:val="32"/>
          <w:szCs w:val="32"/>
        </w:rPr>
        <w:t>。</w:t>
      </w:r>
      <w:r>
        <w:rPr>
          <w:rFonts w:hint="eastAsia" w:ascii="Times New Roman" w:hAnsi="Times New Roman" w:eastAsia="仿宋_GB2312"/>
          <w:b/>
          <w:bCs/>
          <w:sz w:val="32"/>
          <w:szCs w:val="32"/>
        </w:rPr>
        <w:t>二是</w:t>
      </w:r>
      <w:r>
        <w:rPr>
          <w:rFonts w:hint="eastAsia" w:ascii="Times New Roman" w:hAnsi="Times New Roman" w:eastAsia="仿宋_GB2312"/>
          <w:sz w:val="32"/>
          <w:szCs w:val="32"/>
        </w:rPr>
        <w:t>进行实地调研和</w:t>
      </w:r>
      <w:r>
        <w:rPr>
          <w:rFonts w:ascii="Times New Roman" w:hAnsi="Times New Roman" w:eastAsia="仿宋_GB2312"/>
          <w:sz w:val="32"/>
          <w:szCs w:val="32"/>
        </w:rPr>
        <w:t>勘察</w:t>
      </w:r>
      <w:r>
        <w:rPr>
          <w:rFonts w:hint="eastAsia" w:ascii="Times New Roman" w:hAnsi="Times New Roman" w:eastAsia="仿宋_GB2312"/>
          <w:sz w:val="32"/>
          <w:szCs w:val="32"/>
        </w:rPr>
        <w:t>，并根据有关部门及实际调研情况进行调整，多次</w:t>
      </w:r>
      <w:r>
        <w:rPr>
          <w:rFonts w:ascii="Times New Roman" w:hAnsi="Times New Roman" w:eastAsia="仿宋_GB2312"/>
          <w:sz w:val="32"/>
          <w:szCs w:val="32"/>
        </w:rPr>
        <w:t>反复修改，</w:t>
      </w:r>
      <w:r>
        <w:rPr>
          <w:rFonts w:hint="eastAsia" w:ascii="Times New Roman" w:hAnsi="Times New Roman" w:eastAsia="仿宋_GB2312"/>
          <w:sz w:val="32"/>
          <w:szCs w:val="32"/>
        </w:rPr>
        <w:t>形成最终的《同心县“十四五”综合交通运输发展规划》。于2022年1月14日向社会公开征求意见。</w:t>
      </w:r>
    </w:p>
    <w:p>
      <w:pPr>
        <w:spacing w:line="560" w:lineRule="exact"/>
        <w:ind w:firstLine="640" w:firstLineChars="200"/>
        <w:rPr>
          <w:rFonts w:ascii="Times New Roman" w:hAnsi="Times New Roman" w:eastAsia="黑体" w:cs="Times New Roman"/>
          <w:sz w:val="32"/>
          <w:szCs w:val="32"/>
        </w:rPr>
      </w:pPr>
      <w:r>
        <w:rPr>
          <w:rFonts w:hint="eastAsia" w:ascii="Times New Roman" w:hAnsi="Times New Roman" w:eastAsia="黑体" w:cs="Times New Roman"/>
          <w:sz w:val="32"/>
          <w:szCs w:val="32"/>
        </w:rPr>
        <w:t>四、主要内容</w:t>
      </w:r>
    </w:p>
    <w:p>
      <w:pPr>
        <w:spacing w:line="520" w:lineRule="exact"/>
        <w:ind w:firstLine="640" w:firstLineChars="200"/>
        <w:rPr>
          <w:rFonts w:ascii="仿宋_GB2312" w:hAnsi="Calibri" w:eastAsia="仿宋_GB2312"/>
          <w:sz w:val="32"/>
          <w:szCs w:val="32"/>
        </w:rPr>
      </w:pPr>
      <w:r>
        <w:rPr>
          <w:rFonts w:hint="eastAsia" w:ascii="仿宋_GB2312" w:hAnsi="Calibri" w:eastAsia="仿宋_GB2312"/>
          <w:sz w:val="32"/>
          <w:szCs w:val="32"/>
        </w:rPr>
        <w:t>《</w:t>
      </w:r>
      <w:r>
        <w:rPr>
          <w:rFonts w:ascii="仿宋_GB2312" w:hAnsi="Calibri" w:eastAsia="仿宋_GB2312"/>
          <w:sz w:val="32"/>
          <w:szCs w:val="32"/>
        </w:rPr>
        <w:t>规划》</w:t>
      </w:r>
      <w:r>
        <w:rPr>
          <w:rFonts w:hint="eastAsia" w:ascii="仿宋_GB2312" w:hAnsi="Calibri" w:eastAsia="仿宋_GB2312"/>
          <w:sz w:val="32"/>
          <w:szCs w:val="32"/>
        </w:rPr>
        <w:t>全文共</w:t>
      </w:r>
      <w:r>
        <w:rPr>
          <w:rFonts w:ascii="仿宋_GB2312" w:hAnsi="Calibri" w:eastAsia="仿宋_GB2312"/>
          <w:sz w:val="32"/>
          <w:szCs w:val="32"/>
        </w:rPr>
        <w:t>分为</w:t>
      </w:r>
      <w:r>
        <w:rPr>
          <w:rFonts w:hint="eastAsia" w:ascii="仿宋_GB2312" w:hAnsi="Calibri" w:eastAsia="仿宋_GB2312"/>
          <w:sz w:val="32"/>
          <w:szCs w:val="32"/>
        </w:rPr>
        <w:t>发展回顾、形势要求、发展目标、</w:t>
      </w:r>
      <w:r>
        <w:rPr>
          <w:rFonts w:ascii="仿宋_GB2312" w:hAnsi="Calibri" w:eastAsia="仿宋_GB2312"/>
          <w:sz w:val="32"/>
          <w:szCs w:val="32"/>
        </w:rPr>
        <w:t>重点任务、</w:t>
      </w:r>
      <w:r>
        <w:rPr>
          <w:rFonts w:hint="eastAsia" w:ascii="仿宋_GB2312" w:hAnsi="Calibri" w:eastAsia="仿宋_GB2312"/>
          <w:sz w:val="32"/>
          <w:szCs w:val="32"/>
        </w:rPr>
        <w:t>保障措施5个部分内容，主要内容如下：</w:t>
      </w:r>
      <w:bookmarkStart w:id="1" w:name="_Toc68796512"/>
    </w:p>
    <w:p>
      <w:pPr>
        <w:spacing w:line="520" w:lineRule="exact"/>
        <w:ind w:firstLine="643" w:firstLineChars="200"/>
        <w:rPr>
          <w:rFonts w:ascii="仿宋_GB2312" w:hAnsi="Calibri" w:eastAsia="仿宋_GB2312"/>
          <w:sz w:val="32"/>
          <w:szCs w:val="32"/>
        </w:rPr>
      </w:pPr>
      <w:r>
        <w:rPr>
          <w:rFonts w:hint="eastAsia" w:ascii="仿宋_GB2312" w:hAnsi="Calibri" w:eastAsia="仿宋_GB2312"/>
          <w:b/>
          <w:bCs/>
          <w:sz w:val="32"/>
          <w:szCs w:val="32"/>
        </w:rPr>
        <w:t>（</w:t>
      </w:r>
      <w:r>
        <w:rPr>
          <w:rFonts w:ascii="仿宋_GB2312" w:hAnsi="Calibri" w:eastAsia="仿宋_GB2312"/>
          <w:b/>
          <w:bCs/>
          <w:sz w:val="32"/>
          <w:szCs w:val="32"/>
        </w:rPr>
        <w:t>一）发展回顾。</w:t>
      </w:r>
      <w:bookmarkEnd w:id="1"/>
      <w:r>
        <w:rPr>
          <w:rFonts w:hint="eastAsia" w:ascii="仿宋_GB2312" w:hAnsi="Calibri" w:eastAsia="仿宋_GB2312"/>
          <w:bCs/>
          <w:sz w:val="32"/>
          <w:szCs w:val="32"/>
        </w:rPr>
        <w:t>“</w:t>
      </w:r>
      <w:r>
        <w:rPr>
          <w:rFonts w:hint="eastAsia" w:ascii="仿宋_GB2312" w:hAnsi="Calibri" w:eastAsia="仿宋_GB2312"/>
          <w:sz w:val="32"/>
          <w:szCs w:val="32"/>
        </w:rPr>
        <w:t>十三五”以来，按照交通运输部提出的“保基本、补短板、抓重点、强服务”的方针，着力完善交通网络布局、优化公路等级结构、提升运输服务水平、增强交通安全保障和可持续发展能力，为打赢脱贫攻坚战和全面建成小康社会提供了强有力的保障。</w:t>
      </w:r>
      <w:bookmarkStart w:id="2" w:name="_Toc53932478"/>
      <w:r>
        <w:rPr>
          <w:rFonts w:ascii="仿宋_GB2312" w:hAnsi="Calibri" w:eastAsia="仿宋_GB2312"/>
          <w:sz w:val="32"/>
          <w:szCs w:val="32"/>
        </w:rPr>
        <w:t>发展回顾</w:t>
      </w:r>
      <w:r>
        <w:rPr>
          <w:rFonts w:hint="eastAsia" w:ascii="仿宋_GB2312" w:hAnsi="Calibri" w:eastAsia="仿宋_GB2312"/>
          <w:sz w:val="32"/>
          <w:szCs w:val="32"/>
        </w:rPr>
        <w:t>主要从交通基础设施</w:t>
      </w:r>
      <w:bookmarkEnd w:id="2"/>
      <w:bookmarkStart w:id="3" w:name="_Toc53932479"/>
      <w:bookmarkStart w:id="4" w:name="_Toc53480144"/>
      <w:r>
        <w:rPr>
          <w:rFonts w:hint="eastAsia" w:ascii="仿宋_GB2312" w:hAnsi="Calibri" w:eastAsia="仿宋_GB2312"/>
          <w:sz w:val="32"/>
          <w:szCs w:val="32"/>
        </w:rPr>
        <w:t>网络</w:t>
      </w:r>
      <w:r>
        <w:rPr>
          <w:rFonts w:ascii="仿宋_GB2312" w:hAnsi="Calibri" w:eastAsia="仿宋_GB2312"/>
          <w:sz w:val="32"/>
          <w:szCs w:val="32"/>
        </w:rPr>
        <w:t>不断完善</w:t>
      </w:r>
      <w:r>
        <w:rPr>
          <w:rFonts w:hint="eastAsia" w:ascii="仿宋_GB2312" w:hAnsi="Calibri" w:eastAsia="仿宋_GB2312"/>
          <w:sz w:val="32"/>
          <w:szCs w:val="32"/>
        </w:rPr>
        <w:t>、交通运输服务水平显著提升</w:t>
      </w:r>
      <w:bookmarkEnd w:id="3"/>
      <w:bookmarkEnd w:id="4"/>
      <w:r>
        <w:rPr>
          <w:rFonts w:hint="eastAsia" w:ascii="仿宋_GB2312" w:hAnsi="Calibri" w:eastAsia="仿宋_GB2312"/>
          <w:sz w:val="32"/>
          <w:szCs w:val="32"/>
        </w:rPr>
        <w:t>、</w:t>
      </w:r>
      <w:bookmarkStart w:id="5" w:name="_Toc53932480"/>
      <w:bookmarkStart w:id="6" w:name="_Toc53480145"/>
      <w:r>
        <w:rPr>
          <w:rFonts w:hint="eastAsia" w:ascii="仿宋_GB2312" w:hAnsi="Calibri" w:eastAsia="仿宋_GB2312"/>
          <w:sz w:val="32"/>
          <w:szCs w:val="32"/>
        </w:rPr>
        <w:t>平安绿色智慧交通逐步推进</w:t>
      </w:r>
      <w:bookmarkEnd w:id="5"/>
      <w:bookmarkEnd w:id="6"/>
      <w:r>
        <w:rPr>
          <w:rFonts w:hint="eastAsia" w:ascii="仿宋_GB2312" w:hAnsi="Calibri" w:eastAsia="仿宋_GB2312"/>
          <w:sz w:val="32"/>
          <w:szCs w:val="32"/>
        </w:rPr>
        <w:t>、</w:t>
      </w:r>
      <w:bookmarkStart w:id="7" w:name="_Toc53480146"/>
      <w:bookmarkStart w:id="8" w:name="_Toc53932481"/>
      <w:r>
        <w:rPr>
          <w:rFonts w:hint="eastAsia" w:ascii="仿宋_GB2312" w:hAnsi="Calibri" w:eastAsia="仿宋_GB2312"/>
          <w:sz w:val="32"/>
          <w:szCs w:val="32"/>
        </w:rPr>
        <w:t>交通运输治理能力持续增强</w:t>
      </w:r>
      <w:bookmarkEnd w:id="7"/>
      <w:bookmarkEnd w:id="8"/>
      <w:r>
        <w:rPr>
          <w:rFonts w:hint="eastAsia" w:ascii="仿宋_GB2312" w:hAnsi="Calibri" w:eastAsia="仿宋_GB2312"/>
          <w:sz w:val="32"/>
          <w:szCs w:val="32"/>
        </w:rPr>
        <w:t>等</w:t>
      </w:r>
      <w:r>
        <w:rPr>
          <w:rFonts w:ascii="仿宋_GB2312" w:hAnsi="Calibri" w:eastAsia="仿宋_GB2312"/>
          <w:sz w:val="32"/>
          <w:szCs w:val="32"/>
        </w:rPr>
        <w:t>四个方面</w:t>
      </w:r>
      <w:r>
        <w:rPr>
          <w:rFonts w:hint="eastAsia" w:ascii="仿宋_GB2312" w:hAnsi="Calibri" w:eastAsia="仿宋_GB2312"/>
          <w:sz w:val="32"/>
          <w:szCs w:val="32"/>
        </w:rPr>
        <w:t>对“十三五”发展</w:t>
      </w:r>
      <w:r>
        <w:rPr>
          <w:rFonts w:ascii="仿宋_GB2312" w:hAnsi="Calibri" w:eastAsia="仿宋_GB2312"/>
          <w:sz w:val="32"/>
          <w:szCs w:val="32"/>
        </w:rPr>
        <w:t>成就</w:t>
      </w:r>
      <w:r>
        <w:rPr>
          <w:rFonts w:hint="eastAsia" w:ascii="仿宋_GB2312" w:hAnsi="Calibri" w:eastAsia="仿宋_GB2312"/>
          <w:sz w:val="32"/>
          <w:szCs w:val="32"/>
        </w:rPr>
        <w:t>进行了总结</w:t>
      </w:r>
      <w:r>
        <w:rPr>
          <w:rFonts w:ascii="仿宋_GB2312" w:hAnsi="Calibri" w:eastAsia="仿宋_GB2312"/>
          <w:sz w:val="32"/>
          <w:szCs w:val="32"/>
        </w:rPr>
        <w:t>，</w:t>
      </w:r>
      <w:r>
        <w:rPr>
          <w:rFonts w:hint="eastAsia" w:ascii="仿宋_GB2312" w:hAnsi="Calibri" w:eastAsia="仿宋_GB2312"/>
          <w:sz w:val="32"/>
          <w:szCs w:val="32"/>
        </w:rPr>
        <w:t>对</w:t>
      </w:r>
      <w:r>
        <w:rPr>
          <w:rFonts w:ascii="仿宋_GB2312" w:hAnsi="Calibri" w:eastAsia="仿宋_GB2312"/>
          <w:sz w:val="32"/>
          <w:szCs w:val="32"/>
        </w:rPr>
        <w:t>存在的问题</w:t>
      </w:r>
      <w:r>
        <w:rPr>
          <w:rFonts w:hint="eastAsia" w:ascii="仿宋_GB2312" w:hAnsi="Calibri" w:eastAsia="仿宋_GB2312"/>
          <w:sz w:val="32"/>
          <w:szCs w:val="32"/>
        </w:rPr>
        <w:t>进行了全面</w:t>
      </w:r>
      <w:r>
        <w:rPr>
          <w:rFonts w:ascii="仿宋_GB2312" w:hAnsi="Calibri" w:eastAsia="仿宋_GB2312"/>
          <w:sz w:val="32"/>
          <w:szCs w:val="32"/>
        </w:rPr>
        <w:t>分析。</w:t>
      </w:r>
    </w:p>
    <w:p>
      <w:pPr>
        <w:pStyle w:val="3"/>
        <w:spacing w:before="0" w:beforeLines="0" w:after="0" w:afterLines="0" w:line="520" w:lineRule="exact"/>
        <w:ind w:firstLine="643"/>
        <w:rPr>
          <w:rFonts w:ascii="仿宋_GB2312" w:hAnsi="Calibri" w:eastAsia="仿宋_GB2312"/>
          <w:b w:val="0"/>
          <w:bCs w:val="0"/>
          <w:szCs w:val="32"/>
        </w:rPr>
      </w:pPr>
      <w:r>
        <w:rPr>
          <w:rFonts w:hint="eastAsia" w:ascii="仿宋_GB2312" w:hAnsi="Calibri" w:eastAsia="仿宋_GB2312"/>
          <w:szCs w:val="32"/>
        </w:rPr>
        <w:t>（</w:t>
      </w:r>
      <w:r>
        <w:rPr>
          <w:rFonts w:ascii="仿宋_GB2312" w:hAnsi="Calibri" w:eastAsia="仿宋_GB2312"/>
          <w:szCs w:val="32"/>
        </w:rPr>
        <w:t>二）</w:t>
      </w:r>
      <w:bookmarkStart w:id="9" w:name="_Toc68796514"/>
      <w:r>
        <w:rPr>
          <w:rFonts w:hint="eastAsia" w:ascii="仿宋_GB2312" w:hAnsi="Calibri" w:eastAsia="仿宋_GB2312"/>
          <w:szCs w:val="32"/>
        </w:rPr>
        <w:t>形势要求</w:t>
      </w:r>
      <w:bookmarkEnd w:id="9"/>
      <w:r>
        <w:rPr>
          <w:rFonts w:hint="eastAsia" w:ascii="仿宋_GB2312" w:hAnsi="Calibri" w:eastAsia="仿宋_GB2312"/>
          <w:szCs w:val="32"/>
        </w:rPr>
        <w:t>。</w:t>
      </w:r>
      <w:r>
        <w:rPr>
          <w:rFonts w:hint="eastAsia" w:ascii="仿宋_GB2312" w:hAnsi="Calibri" w:eastAsia="仿宋_GB2312"/>
          <w:b w:val="0"/>
          <w:bCs w:val="0"/>
          <w:szCs w:val="32"/>
        </w:rPr>
        <w:t>主要从转型升级、扩大开放、“交通+”融合、生态绿色、协同一体、智慧创新、需求提高等7个</w:t>
      </w:r>
      <w:r>
        <w:rPr>
          <w:rFonts w:ascii="仿宋_GB2312" w:hAnsi="Calibri" w:eastAsia="仿宋_GB2312"/>
          <w:b w:val="0"/>
          <w:bCs w:val="0"/>
          <w:szCs w:val="32"/>
        </w:rPr>
        <w:t>方面</w:t>
      </w:r>
      <w:r>
        <w:rPr>
          <w:rFonts w:hint="eastAsia" w:ascii="仿宋_GB2312" w:hAnsi="Calibri" w:eastAsia="仿宋_GB2312"/>
          <w:b w:val="0"/>
          <w:bCs w:val="0"/>
          <w:szCs w:val="32"/>
        </w:rPr>
        <w:t>对</w:t>
      </w:r>
      <w:r>
        <w:rPr>
          <w:rFonts w:ascii="仿宋_GB2312" w:hAnsi="Calibri" w:eastAsia="仿宋_GB2312"/>
          <w:b w:val="0"/>
          <w:bCs w:val="0"/>
          <w:szCs w:val="32"/>
        </w:rPr>
        <w:t>交通运输</w:t>
      </w:r>
      <w:r>
        <w:rPr>
          <w:rFonts w:hint="eastAsia" w:ascii="仿宋_GB2312" w:hAnsi="Calibri" w:eastAsia="仿宋_GB2312"/>
          <w:b w:val="0"/>
          <w:bCs w:val="0"/>
          <w:szCs w:val="32"/>
        </w:rPr>
        <w:t>发展形势</w:t>
      </w:r>
      <w:r>
        <w:rPr>
          <w:rFonts w:ascii="仿宋_GB2312" w:hAnsi="Calibri" w:eastAsia="仿宋_GB2312"/>
          <w:b w:val="0"/>
          <w:bCs w:val="0"/>
          <w:szCs w:val="32"/>
        </w:rPr>
        <w:t>要求进行了总结</w:t>
      </w:r>
      <w:r>
        <w:rPr>
          <w:rFonts w:hint="eastAsia" w:ascii="仿宋_GB2312" w:hAnsi="Calibri" w:eastAsia="仿宋_GB2312"/>
          <w:b w:val="0"/>
          <w:bCs w:val="0"/>
          <w:szCs w:val="32"/>
        </w:rPr>
        <w:t>。</w:t>
      </w:r>
    </w:p>
    <w:p>
      <w:pPr>
        <w:spacing w:line="520" w:lineRule="exact"/>
        <w:ind w:firstLine="643" w:firstLineChars="200"/>
        <w:rPr>
          <w:rFonts w:ascii="仿宋_GB2312" w:hAnsi="华文仿宋" w:eastAsia="仿宋_GB2312"/>
          <w:sz w:val="32"/>
        </w:rPr>
      </w:pPr>
      <w:r>
        <w:rPr>
          <w:rFonts w:hint="eastAsia" w:ascii="仿宋_GB2312" w:hAnsi="Calibri" w:eastAsia="仿宋_GB2312"/>
          <w:b/>
          <w:bCs/>
          <w:sz w:val="32"/>
          <w:szCs w:val="32"/>
        </w:rPr>
        <w:t>（</w:t>
      </w:r>
      <w:r>
        <w:rPr>
          <w:rFonts w:ascii="仿宋_GB2312" w:hAnsi="Calibri" w:eastAsia="仿宋_GB2312"/>
          <w:b/>
          <w:bCs/>
          <w:sz w:val="32"/>
          <w:szCs w:val="32"/>
        </w:rPr>
        <w:t>三）</w:t>
      </w:r>
      <w:r>
        <w:rPr>
          <w:rFonts w:hint="eastAsia" w:ascii="仿宋_GB2312" w:hAnsi="Calibri" w:eastAsia="仿宋_GB2312"/>
          <w:b/>
          <w:bCs/>
          <w:sz w:val="32"/>
          <w:szCs w:val="32"/>
        </w:rPr>
        <w:t>发展目标</w:t>
      </w:r>
      <w:r>
        <w:rPr>
          <w:rFonts w:ascii="仿宋_GB2312" w:hAnsi="Calibri" w:eastAsia="仿宋_GB2312"/>
          <w:b/>
          <w:bCs/>
          <w:sz w:val="32"/>
          <w:szCs w:val="32"/>
        </w:rPr>
        <w:t>。</w:t>
      </w:r>
      <w:r>
        <w:rPr>
          <w:rFonts w:hint="eastAsia" w:ascii="华文仿宋" w:hAnsi="华文仿宋" w:eastAsia="华文仿宋"/>
          <w:sz w:val="32"/>
        </w:rPr>
        <w:t>“十四五</w:t>
      </w:r>
      <w:r>
        <w:rPr>
          <w:rFonts w:ascii="华文仿宋" w:hAnsi="华文仿宋" w:eastAsia="华文仿宋"/>
          <w:sz w:val="32"/>
        </w:rPr>
        <w:t>”</w:t>
      </w:r>
      <w:r>
        <w:rPr>
          <w:rFonts w:hint="eastAsia" w:ascii="华文仿宋" w:hAnsi="华文仿宋" w:eastAsia="华文仿宋"/>
          <w:sz w:val="32"/>
        </w:rPr>
        <w:t>期间</w:t>
      </w:r>
      <w:r>
        <w:rPr>
          <w:rFonts w:ascii="华文仿宋" w:hAnsi="华文仿宋" w:eastAsia="华文仿宋"/>
          <w:sz w:val="32"/>
        </w:rPr>
        <w:t>，打造</w:t>
      </w:r>
      <w:r>
        <w:rPr>
          <w:rFonts w:hint="eastAsia" w:ascii="仿宋_GB2312" w:hAnsi="宋体" w:eastAsia="仿宋_GB2312"/>
          <w:color w:val="000000"/>
          <w:sz w:val="32"/>
          <w:szCs w:val="32"/>
        </w:rPr>
        <w:t xml:space="preserve"> “一张网络”、构建“四个体系”，形成“一纵一横”铁路网，“两纵一横”高速公路网，“四横五纵六联”县域干线网。建成以铁路、高速公路为骨架、</w:t>
      </w:r>
      <w:r>
        <w:rPr>
          <w:rFonts w:hint="eastAsia" w:ascii="华文仿宋" w:hAnsi="华文仿宋" w:eastAsia="华文仿宋"/>
          <w:sz w:val="32"/>
        </w:rPr>
        <w:t>干线公路和通用航空为动脉、</w:t>
      </w:r>
      <w:r>
        <w:rPr>
          <w:rFonts w:hint="eastAsia" w:ascii="仿宋_GB2312" w:hAnsi="宋体" w:eastAsia="仿宋_GB2312"/>
          <w:color w:val="000000"/>
          <w:sz w:val="32"/>
          <w:szCs w:val="32"/>
        </w:rPr>
        <w:t>农村公路为毛细血管的综合交通网络，全面提升</w:t>
      </w:r>
      <w:r>
        <w:rPr>
          <w:rFonts w:ascii="仿宋_GB2312" w:hAnsi="宋体" w:eastAsia="仿宋_GB2312"/>
          <w:color w:val="000000"/>
          <w:sz w:val="32"/>
          <w:szCs w:val="32"/>
        </w:rPr>
        <w:t>路网结构</w:t>
      </w:r>
      <w:r>
        <w:rPr>
          <w:rFonts w:hint="eastAsia" w:ascii="仿宋_GB2312" w:hAnsi="宋体" w:eastAsia="仿宋_GB2312"/>
          <w:color w:val="000000"/>
          <w:sz w:val="32"/>
          <w:szCs w:val="32"/>
        </w:rPr>
        <w:t>和</w:t>
      </w:r>
      <w:r>
        <w:rPr>
          <w:rFonts w:ascii="仿宋_GB2312" w:hAnsi="宋体" w:eastAsia="仿宋_GB2312"/>
          <w:color w:val="000000"/>
          <w:sz w:val="32"/>
          <w:szCs w:val="32"/>
        </w:rPr>
        <w:t>通达能力</w:t>
      </w:r>
      <w:r>
        <w:rPr>
          <w:rFonts w:hint="eastAsia" w:ascii="仿宋_GB2312" w:hAnsi="宋体" w:eastAsia="仿宋_GB2312"/>
          <w:color w:val="000000"/>
          <w:sz w:val="32"/>
          <w:szCs w:val="32"/>
        </w:rPr>
        <w:t>，助推交通</w:t>
      </w:r>
      <w:r>
        <w:rPr>
          <w:rFonts w:ascii="仿宋_GB2312" w:hAnsi="宋体" w:eastAsia="仿宋_GB2312"/>
          <w:color w:val="000000"/>
          <w:sz w:val="32"/>
          <w:szCs w:val="32"/>
        </w:rPr>
        <w:t>强国战略和高质量发展</w:t>
      </w:r>
      <w:r>
        <w:rPr>
          <w:rFonts w:hint="eastAsia" w:ascii="仿宋_GB2312" w:hAnsi="宋体" w:eastAsia="仿宋_GB2312"/>
          <w:color w:val="000000"/>
          <w:sz w:val="32"/>
          <w:szCs w:val="32"/>
        </w:rPr>
        <w:t>。</w:t>
      </w:r>
      <w:r>
        <w:rPr>
          <w:rFonts w:hint="eastAsia" w:ascii="仿宋_GB2312" w:eastAsia="仿宋_GB2312"/>
          <w:sz w:val="32"/>
          <w:szCs w:val="22"/>
        </w:rPr>
        <w:t>到2025年，基本建成基础设施外畅内联、运输服务便捷普惠、行业治理一体高效、绿色智慧逐步融入的综合交通运输体系，到2035年，基本形成安全、便捷、高效、绿色、经济的现代化综合交通运输体系。</w:t>
      </w:r>
    </w:p>
    <w:p>
      <w:pPr>
        <w:spacing w:line="520" w:lineRule="exact"/>
        <w:ind w:firstLine="643" w:firstLineChars="200"/>
        <w:rPr>
          <w:rFonts w:ascii="仿宋_GB2312" w:hAnsi="宋体" w:eastAsia="仿宋_GB2312"/>
          <w:color w:val="000000"/>
          <w:sz w:val="32"/>
          <w:szCs w:val="32"/>
        </w:rPr>
      </w:pPr>
      <w:r>
        <w:rPr>
          <w:rFonts w:hint="eastAsia" w:eastAsia="仿宋"/>
          <w:b/>
          <w:sz w:val="32"/>
          <w:szCs w:val="22"/>
        </w:rPr>
        <w:t>（</w:t>
      </w:r>
      <w:r>
        <w:rPr>
          <w:rFonts w:eastAsia="仿宋"/>
          <w:b/>
          <w:sz w:val="32"/>
          <w:szCs w:val="22"/>
        </w:rPr>
        <w:t>四）</w:t>
      </w:r>
      <w:r>
        <w:rPr>
          <w:rFonts w:hint="eastAsia" w:eastAsia="仿宋"/>
          <w:b/>
          <w:sz w:val="32"/>
          <w:szCs w:val="22"/>
        </w:rPr>
        <w:t>重点任务</w:t>
      </w:r>
      <w:r>
        <w:rPr>
          <w:rFonts w:eastAsia="仿宋"/>
          <w:b/>
          <w:sz w:val="32"/>
          <w:szCs w:val="22"/>
        </w:rPr>
        <w:t>。</w:t>
      </w:r>
      <w:r>
        <w:rPr>
          <w:rFonts w:hint="eastAsia" w:ascii="仿宋_GB2312" w:hAnsi="宋体" w:eastAsia="仿宋_GB2312"/>
          <w:color w:val="000000"/>
          <w:sz w:val="32"/>
          <w:szCs w:val="32"/>
        </w:rPr>
        <w:t>主要从</w:t>
      </w:r>
      <w:bookmarkStart w:id="10" w:name="_Toc68796520"/>
      <w:bookmarkStart w:id="11" w:name="_Toc53932525"/>
      <w:r>
        <w:rPr>
          <w:rFonts w:hint="eastAsia" w:ascii="仿宋_GB2312" w:hAnsi="宋体" w:eastAsia="仿宋_GB2312"/>
          <w:color w:val="000000"/>
          <w:sz w:val="32"/>
          <w:szCs w:val="32"/>
        </w:rPr>
        <w:t>打造高质量综合</w:t>
      </w:r>
      <w:r>
        <w:rPr>
          <w:rFonts w:ascii="仿宋_GB2312" w:hAnsi="宋体" w:eastAsia="仿宋_GB2312"/>
          <w:color w:val="000000"/>
          <w:sz w:val="32"/>
          <w:szCs w:val="32"/>
        </w:rPr>
        <w:t>交通基础网络</w:t>
      </w:r>
      <w:bookmarkEnd w:id="10"/>
      <w:bookmarkEnd w:id="11"/>
      <w:r>
        <w:rPr>
          <w:rFonts w:hint="eastAsia" w:ascii="仿宋_GB2312" w:hAnsi="宋体" w:eastAsia="仿宋_GB2312"/>
          <w:color w:val="000000"/>
          <w:sz w:val="32"/>
          <w:szCs w:val="32"/>
        </w:rPr>
        <w:t>、</w:t>
      </w:r>
      <w:bookmarkStart w:id="12" w:name="_Toc53932529"/>
      <w:bookmarkStart w:id="13" w:name="_Toc68796521"/>
      <w:r>
        <w:rPr>
          <w:rFonts w:hint="eastAsia" w:ascii="仿宋_GB2312" w:hAnsi="宋体" w:eastAsia="仿宋_GB2312"/>
          <w:color w:val="000000"/>
          <w:sz w:val="32"/>
          <w:szCs w:val="32"/>
        </w:rPr>
        <w:t>构建</w:t>
      </w:r>
      <w:r>
        <w:rPr>
          <w:rFonts w:ascii="仿宋_GB2312" w:hAnsi="宋体" w:eastAsia="仿宋_GB2312"/>
          <w:color w:val="000000"/>
          <w:sz w:val="32"/>
          <w:szCs w:val="32"/>
        </w:rPr>
        <w:t>高</w:t>
      </w:r>
      <w:r>
        <w:rPr>
          <w:rFonts w:hint="eastAsia" w:ascii="仿宋_GB2312" w:hAnsi="宋体" w:eastAsia="仿宋_GB2312"/>
          <w:color w:val="000000"/>
          <w:sz w:val="32"/>
          <w:szCs w:val="32"/>
        </w:rPr>
        <w:t>品质客运</w:t>
      </w:r>
      <w:r>
        <w:rPr>
          <w:rFonts w:ascii="仿宋_GB2312" w:hAnsi="宋体" w:eastAsia="仿宋_GB2312"/>
          <w:color w:val="000000"/>
          <w:sz w:val="32"/>
          <w:szCs w:val="32"/>
        </w:rPr>
        <w:t>出行</w:t>
      </w:r>
      <w:r>
        <w:rPr>
          <w:rFonts w:hint="eastAsia" w:ascii="仿宋_GB2312" w:hAnsi="宋体" w:eastAsia="仿宋_GB2312"/>
          <w:color w:val="000000"/>
          <w:sz w:val="32"/>
          <w:szCs w:val="32"/>
        </w:rPr>
        <w:t>服务体系</w:t>
      </w:r>
      <w:bookmarkEnd w:id="12"/>
      <w:bookmarkEnd w:id="13"/>
      <w:r>
        <w:rPr>
          <w:rFonts w:hint="eastAsia" w:ascii="仿宋_GB2312" w:hAnsi="宋体" w:eastAsia="仿宋_GB2312"/>
          <w:color w:val="000000"/>
          <w:sz w:val="32"/>
          <w:szCs w:val="32"/>
        </w:rPr>
        <w:t>、</w:t>
      </w:r>
      <w:bookmarkStart w:id="14" w:name="_Toc68796522"/>
      <w:bookmarkStart w:id="15" w:name="_Toc53932532"/>
      <w:r>
        <w:rPr>
          <w:rFonts w:hint="eastAsia" w:ascii="仿宋_GB2312" w:hAnsi="宋体" w:eastAsia="仿宋_GB2312"/>
          <w:color w:val="000000"/>
          <w:sz w:val="32"/>
          <w:szCs w:val="32"/>
        </w:rPr>
        <w:t>构建</w:t>
      </w:r>
      <w:r>
        <w:rPr>
          <w:rFonts w:ascii="仿宋_GB2312" w:hAnsi="宋体" w:eastAsia="仿宋_GB2312"/>
          <w:color w:val="000000"/>
          <w:sz w:val="32"/>
          <w:szCs w:val="32"/>
        </w:rPr>
        <w:t>高效</w:t>
      </w:r>
      <w:r>
        <w:rPr>
          <w:rFonts w:hint="eastAsia" w:ascii="仿宋_GB2312" w:hAnsi="宋体" w:eastAsia="仿宋_GB2312"/>
          <w:color w:val="000000"/>
          <w:sz w:val="32"/>
          <w:szCs w:val="32"/>
        </w:rPr>
        <w:t>率现代</w:t>
      </w:r>
      <w:r>
        <w:rPr>
          <w:rFonts w:ascii="仿宋_GB2312" w:hAnsi="宋体" w:eastAsia="仿宋_GB2312"/>
          <w:color w:val="000000"/>
          <w:sz w:val="32"/>
          <w:szCs w:val="32"/>
        </w:rPr>
        <w:t>物流</w:t>
      </w:r>
      <w:r>
        <w:rPr>
          <w:rFonts w:hint="eastAsia" w:ascii="仿宋_GB2312" w:hAnsi="宋体" w:eastAsia="仿宋_GB2312"/>
          <w:color w:val="000000"/>
          <w:sz w:val="32"/>
          <w:szCs w:val="32"/>
        </w:rPr>
        <w:t>服务</w:t>
      </w:r>
      <w:r>
        <w:rPr>
          <w:rFonts w:ascii="仿宋_GB2312" w:hAnsi="宋体" w:eastAsia="仿宋_GB2312"/>
          <w:color w:val="000000"/>
          <w:sz w:val="32"/>
          <w:szCs w:val="32"/>
        </w:rPr>
        <w:t>体系</w:t>
      </w:r>
      <w:bookmarkEnd w:id="14"/>
      <w:bookmarkEnd w:id="15"/>
      <w:r>
        <w:rPr>
          <w:rFonts w:hint="eastAsia" w:ascii="仿宋_GB2312" w:hAnsi="宋体" w:eastAsia="仿宋_GB2312"/>
          <w:color w:val="000000"/>
          <w:sz w:val="32"/>
          <w:szCs w:val="32"/>
        </w:rPr>
        <w:t>、</w:t>
      </w:r>
      <w:bookmarkStart w:id="16" w:name="_Toc68796523"/>
      <w:bookmarkStart w:id="17" w:name="_Toc53932536"/>
      <w:r>
        <w:rPr>
          <w:rFonts w:hint="eastAsia" w:ascii="仿宋_GB2312" w:hAnsi="宋体" w:eastAsia="仿宋_GB2312"/>
          <w:color w:val="000000"/>
          <w:sz w:val="32"/>
          <w:szCs w:val="32"/>
        </w:rPr>
        <w:t>构建高效能</w:t>
      </w:r>
      <w:r>
        <w:rPr>
          <w:rFonts w:ascii="仿宋_GB2312" w:hAnsi="宋体" w:eastAsia="仿宋_GB2312"/>
          <w:color w:val="000000"/>
          <w:sz w:val="32"/>
          <w:szCs w:val="32"/>
        </w:rPr>
        <w:t>现代交通治理体系</w:t>
      </w:r>
      <w:bookmarkEnd w:id="16"/>
      <w:bookmarkEnd w:id="17"/>
      <w:r>
        <w:rPr>
          <w:rFonts w:hint="eastAsia" w:ascii="仿宋_GB2312" w:hAnsi="宋体" w:eastAsia="仿宋_GB2312"/>
          <w:color w:val="000000"/>
          <w:sz w:val="32"/>
          <w:szCs w:val="32"/>
        </w:rPr>
        <w:t>、</w:t>
      </w:r>
      <w:bookmarkStart w:id="18" w:name="_Toc68796524"/>
      <w:r>
        <w:rPr>
          <w:rFonts w:hint="eastAsia" w:ascii="仿宋_GB2312" w:hAnsi="宋体" w:eastAsia="仿宋_GB2312"/>
          <w:color w:val="000000"/>
          <w:sz w:val="32"/>
          <w:szCs w:val="32"/>
        </w:rPr>
        <w:t>构建高</w:t>
      </w:r>
      <w:r>
        <w:rPr>
          <w:rFonts w:ascii="仿宋_GB2312" w:hAnsi="宋体" w:eastAsia="仿宋_GB2312"/>
          <w:color w:val="000000"/>
          <w:sz w:val="32"/>
          <w:szCs w:val="32"/>
        </w:rPr>
        <w:t>水准</w:t>
      </w:r>
      <w:r>
        <w:rPr>
          <w:rFonts w:hint="eastAsia" w:ascii="仿宋_GB2312" w:hAnsi="宋体" w:eastAsia="仿宋_GB2312"/>
          <w:color w:val="000000"/>
          <w:sz w:val="32"/>
          <w:szCs w:val="32"/>
        </w:rPr>
        <w:t>绿色平安</w:t>
      </w:r>
      <w:r>
        <w:rPr>
          <w:rFonts w:ascii="仿宋_GB2312" w:hAnsi="宋体" w:eastAsia="仿宋_GB2312"/>
          <w:color w:val="000000"/>
          <w:sz w:val="32"/>
          <w:szCs w:val="32"/>
        </w:rPr>
        <w:t>智慧</w:t>
      </w:r>
      <w:r>
        <w:rPr>
          <w:rFonts w:hint="eastAsia" w:ascii="仿宋_GB2312" w:hAnsi="宋体" w:eastAsia="仿宋_GB2312"/>
          <w:color w:val="000000"/>
          <w:sz w:val="32"/>
          <w:szCs w:val="32"/>
        </w:rPr>
        <w:t>体系</w:t>
      </w:r>
      <w:bookmarkEnd w:id="18"/>
      <w:r>
        <w:rPr>
          <w:rFonts w:hint="eastAsia" w:ascii="仿宋_GB2312" w:hAnsi="宋体" w:eastAsia="仿宋_GB2312"/>
          <w:color w:val="000000"/>
          <w:sz w:val="32"/>
          <w:szCs w:val="32"/>
        </w:rPr>
        <w:t>等5个</w:t>
      </w:r>
      <w:r>
        <w:rPr>
          <w:rFonts w:ascii="仿宋_GB2312" w:hAnsi="宋体" w:eastAsia="仿宋_GB2312"/>
          <w:color w:val="000000"/>
          <w:sz w:val="32"/>
          <w:szCs w:val="32"/>
        </w:rPr>
        <w:t>方面</w:t>
      </w:r>
      <w:r>
        <w:rPr>
          <w:rFonts w:hint="eastAsia" w:ascii="仿宋_GB2312" w:hAnsi="宋体" w:eastAsia="仿宋_GB2312"/>
          <w:color w:val="000000"/>
          <w:sz w:val="32"/>
          <w:szCs w:val="32"/>
        </w:rPr>
        <w:t>进行规划。</w:t>
      </w:r>
    </w:p>
    <w:p>
      <w:pPr>
        <w:spacing w:line="520" w:lineRule="exact"/>
        <w:ind w:firstLine="643" w:firstLineChars="200"/>
        <w:rPr>
          <w:rFonts w:ascii="仿宋_GB2312" w:hAnsi="宋体" w:eastAsia="仿宋_GB2312"/>
          <w:color w:val="000000"/>
          <w:sz w:val="32"/>
          <w:szCs w:val="32"/>
        </w:rPr>
      </w:pPr>
      <w:r>
        <w:rPr>
          <w:rFonts w:hint="eastAsia" w:eastAsia="仿宋"/>
          <w:b/>
          <w:sz w:val="32"/>
          <w:szCs w:val="22"/>
        </w:rPr>
        <w:t>（</w:t>
      </w:r>
      <w:r>
        <w:rPr>
          <w:rFonts w:eastAsia="仿宋"/>
          <w:b/>
          <w:sz w:val="32"/>
          <w:szCs w:val="22"/>
        </w:rPr>
        <w:t>五）</w:t>
      </w:r>
      <w:bookmarkStart w:id="19" w:name="_Toc53932541"/>
      <w:bookmarkStart w:id="20" w:name="_Toc53480173"/>
      <w:bookmarkStart w:id="21" w:name="_Toc8916"/>
      <w:bookmarkStart w:id="22" w:name="_Toc53479649"/>
      <w:bookmarkStart w:id="23" w:name="_Toc68796525"/>
      <w:r>
        <w:rPr>
          <w:rFonts w:hint="eastAsia" w:eastAsia="仿宋"/>
          <w:b/>
          <w:sz w:val="32"/>
          <w:szCs w:val="22"/>
        </w:rPr>
        <w:t>保障措施</w:t>
      </w:r>
      <w:bookmarkEnd w:id="19"/>
      <w:bookmarkEnd w:id="20"/>
      <w:bookmarkEnd w:id="21"/>
      <w:bookmarkEnd w:id="22"/>
      <w:bookmarkEnd w:id="23"/>
      <w:r>
        <w:rPr>
          <w:rFonts w:hint="eastAsia" w:eastAsia="仿宋"/>
          <w:b/>
          <w:sz w:val="32"/>
          <w:szCs w:val="22"/>
        </w:rPr>
        <w:t>。</w:t>
      </w:r>
      <w:bookmarkStart w:id="24" w:name="_Toc68796526"/>
      <w:r>
        <w:rPr>
          <w:rFonts w:hint="eastAsia" w:ascii="仿宋_GB2312" w:hAnsi="宋体" w:eastAsia="仿宋_GB2312"/>
          <w:color w:val="000000"/>
          <w:sz w:val="32"/>
          <w:szCs w:val="32"/>
        </w:rPr>
        <w:t>主要从加强组织保障</w:t>
      </w:r>
      <w:bookmarkEnd w:id="24"/>
      <w:r>
        <w:rPr>
          <w:rFonts w:hint="eastAsia" w:ascii="仿宋_GB2312" w:hAnsi="宋体" w:eastAsia="仿宋_GB2312"/>
          <w:color w:val="000000"/>
          <w:sz w:val="32"/>
          <w:szCs w:val="32"/>
        </w:rPr>
        <w:t>、资金保障</w:t>
      </w:r>
      <w:bookmarkStart w:id="25" w:name="_Toc68796528"/>
      <w:r>
        <w:rPr>
          <w:rFonts w:hint="eastAsia" w:ascii="仿宋_GB2312" w:hAnsi="宋体" w:eastAsia="仿宋_GB2312"/>
          <w:color w:val="000000"/>
          <w:sz w:val="32"/>
          <w:szCs w:val="32"/>
        </w:rPr>
        <w:t>、人才保障</w:t>
      </w:r>
      <w:bookmarkEnd w:id="25"/>
      <w:bookmarkStart w:id="26" w:name="_Toc68796529"/>
      <w:r>
        <w:rPr>
          <w:rFonts w:hint="eastAsia" w:ascii="仿宋_GB2312" w:hAnsi="宋体" w:eastAsia="仿宋_GB2312"/>
          <w:color w:val="000000"/>
          <w:sz w:val="32"/>
          <w:szCs w:val="32"/>
        </w:rPr>
        <w:t>、专项研究</w:t>
      </w:r>
      <w:bookmarkEnd w:id="26"/>
      <w:bookmarkStart w:id="27" w:name="_Toc68796530"/>
      <w:r>
        <w:rPr>
          <w:rFonts w:hint="eastAsia" w:ascii="仿宋_GB2312" w:hAnsi="宋体" w:eastAsia="仿宋_GB2312"/>
          <w:color w:val="000000"/>
          <w:sz w:val="32"/>
          <w:szCs w:val="32"/>
        </w:rPr>
        <w:t>、前期工作</w:t>
      </w:r>
      <w:bookmarkEnd w:id="27"/>
      <w:r>
        <w:rPr>
          <w:rFonts w:hint="eastAsia" w:ascii="仿宋_GB2312" w:hAnsi="宋体" w:eastAsia="仿宋_GB2312"/>
          <w:color w:val="000000"/>
          <w:sz w:val="32"/>
          <w:szCs w:val="32"/>
        </w:rPr>
        <w:t>等5个方面</w:t>
      </w:r>
      <w:r>
        <w:rPr>
          <w:rFonts w:ascii="仿宋_GB2312" w:hAnsi="宋体" w:eastAsia="仿宋_GB2312"/>
          <w:color w:val="000000"/>
          <w:sz w:val="32"/>
          <w:szCs w:val="32"/>
        </w:rPr>
        <w:t>进行了</w:t>
      </w:r>
      <w:r>
        <w:rPr>
          <w:rFonts w:hint="eastAsia" w:ascii="仿宋_GB2312" w:hAnsi="宋体" w:eastAsia="仿宋_GB2312"/>
          <w:color w:val="000000"/>
          <w:sz w:val="32"/>
          <w:szCs w:val="32"/>
        </w:rPr>
        <w:t>阐述</w:t>
      </w:r>
      <w:r>
        <w:rPr>
          <w:rFonts w:ascii="仿宋_GB2312" w:hAnsi="宋体" w:eastAsia="仿宋_GB2312"/>
          <w:color w:val="000000"/>
          <w:sz w:val="32"/>
          <w:szCs w:val="32"/>
        </w:rPr>
        <w:t>。</w:t>
      </w:r>
    </w:p>
    <w:p>
      <w:pPr>
        <w:spacing w:line="560" w:lineRule="exact"/>
        <w:ind w:firstLine="640" w:firstLineChars="200"/>
        <w:rPr>
          <w:rFonts w:ascii="Times New Roman" w:hAnsi="Times New Roman" w:eastAsia="仿宋_GB2312" w:cs="Times New Roman"/>
          <w:sz w:val="32"/>
          <w:szCs w:val="32"/>
        </w:rPr>
      </w:pPr>
    </w:p>
    <w:p>
      <w:pPr>
        <w:spacing w:line="600" w:lineRule="exact"/>
        <w:rPr>
          <w:rFonts w:ascii="Times New Roman" w:hAnsi="Times New Roman" w:cs="Times New Roman"/>
        </w:rPr>
      </w:pPr>
      <w:bookmarkStart w:id="28" w:name="br1_1"/>
      <w:bookmarkEnd w:id="28"/>
    </w:p>
    <w:sectPr>
      <w:pgSz w:w="11906" w:h="16838"/>
      <w:pgMar w:top="1417" w:right="1474" w:bottom="1417" w:left="158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Arial">
    <w:panose1 w:val="020B0604020202020204"/>
    <w:charset w:val="00"/>
    <w:family w:val="swiss"/>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2FF" w:usb1="4000045F" w:usb2="0000000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Helvetica">
    <w:altName w:val="Arial"/>
    <w:panose1 w:val="020B0604020202020204"/>
    <w:charset w:val="00"/>
    <w:family w:val="swiss"/>
    <w:pitch w:val="default"/>
    <w:sig w:usb0="00000000" w:usb1="00000000" w:usb2="00000009" w:usb3="00000000" w:csb0="000001FF" w:csb1="00000000"/>
  </w:font>
  <w:font w:name="华文仿宋">
    <w:panose1 w:val="02010600040101010101"/>
    <w:charset w:val="86"/>
    <w:family w:val="auto"/>
    <w:pitch w:val="default"/>
    <w:sig w:usb0="00000287" w:usb1="080F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220F6FE8"/>
    <w:rsid w:val="00410BA2"/>
    <w:rsid w:val="004329A9"/>
    <w:rsid w:val="006B1677"/>
    <w:rsid w:val="00737637"/>
    <w:rsid w:val="009D257A"/>
    <w:rsid w:val="00AC22B8"/>
    <w:rsid w:val="00B06483"/>
    <w:rsid w:val="00C21231"/>
    <w:rsid w:val="00D22459"/>
    <w:rsid w:val="00D4055F"/>
    <w:rsid w:val="00DA698E"/>
    <w:rsid w:val="00ED15FA"/>
    <w:rsid w:val="055E6686"/>
    <w:rsid w:val="1A915072"/>
    <w:rsid w:val="20CA1DFD"/>
    <w:rsid w:val="220F6FE8"/>
    <w:rsid w:val="2347774D"/>
    <w:rsid w:val="260040EA"/>
    <w:rsid w:val="2EC77F11"/>
    <w:rsid w:val="30175F69"/>
    <w:rsid w:val="51CB7567"/>
    <w:rsid w:val="536310FA"/>
    <w:rsid w:val="6CD00D33"/>
    <w:rsid w:val="79DF5779"/>
    <w:rsid w:val="7F24396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iPriority="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4"/>
    <w:basedOn w:val="1"/>
    <w:next w:val="1"/>
    <w:qFormat/>
    <w:uiPriority w:val="0"/>
    <w:pPr>
      <w:adjustRightInd w:val="0"/>
      <w:spacing w:before="30" w:beforeLines="30" w:after="30" w:afterLines="30" w:line="640" w:lineRule="exact"/>
      <w:ind w:firstLine="200" w:firstLineChars="200"/>
      <w:outlineLvl w:val="3"/>
    </w:pPr>
    <w:rPr>
      <w:rFonts w:ascii="黑体" w:hAnsi="Arial" w:eastAsia="仿宋"/>
      <w:b/>
      <w:bCs/>
      <w:sz w:val="32"/>
      <w:szCs w:val="28"/>
    </w:rPr>
  </w:style>
  <w:style w:type="character" w:default="1" w:styleId="9">
    <w:name w:val="Default Paragraph Font"/>
    <w:semiHidden/>
    <w:unhideWhenUsed/>
    <w:qFormat/>
    <w:uiPriority w:val="1"/>
  </w:style>
  <w:style w:type="table" w:default="1" w:styleId="8">
    <w:name w:val="Normal Table"/>
    <w:semiHidden/>
    <w:unhideWhenUsed/>
    <w:uiPriority w:val="99"/>
    <w:tblPr>
      <w:tblCellMar>
        <w:top w:w="0" w:type="dxa"/>
        <w:left w:w="108" w:type="dxa"/>
        <w:bottom w:w="0" w:type="dxa"/>
        <w:right w:w="108" w:type="dxa"/>
      </w:tblCellMar>
    </w:tblPr>
  </w:style>
  <w:style w:type="paragraph" w:styleId="2">
    <w:name w:val="Title"/>
    <w:basedOn w:val="1"/>
    <w:next w:val="1"/>
    <w:qFormat/>
    <w:uiPriority w:val="99"/>
    <w:pPr>
      <w:spacing w:before="240" w:after="60"/>
      <w:jc w:val="center"/>
      <w:outlineLvl w:val="0"/>
    </w:pPr>
    <w:rPr>
      <w:rFonts w:ascii="Cambria" w:hAnsi="Cambria" w:cs="Cambria"/>
      <w:b/>
      <w:bCs/>
      <w:sz w:val="32"/>
      <w:szCs w:val="32"/>
    </w:rPr>
  </w:style>
  <w:style w:type="paragraph" w:styleId="4">
    <w:name w:val="Body Text"/>
    <w:basedOn w:val="1"/>
    <w:qFormat/>
    <w:uiPriority w:val="1"/>
    <w:pPr>
      <w:ind w:left="209"/>
    </w:pPr>
    <w:rPr>
      <w:rFonts w:ascii="宋体" w:hAnsi="宋体" w:eastAsia="宋体" w:cs="宋体"/>
      <w:sz w:val="32"/>
      <w:szCs w:val="32"/>
      <w:lang w:val="zh-CN" w:bidi="zh-CN"/>
    </w:rPr>
  </w:style>
  <w:style w:type="paragraph" w:styleId="5">
    <w:name w:val="footer"/>
    <w:basedOn w:val="1"/>
    <w:link w:val="11"/>
    <w:qFormat/>
    <w:uiPriority w:val="0"/>
    <w:pPr>
      <w:tabs>
        <w:tab w:val="center" w:pos="4153"/>
        <w:tab w:val="right" w:pos="8306"/>
      </w:tabs>
      <w:snapToGrid w:val="0"/>
      <w:jc w:val="left"/>
    </w:pPr>
    <w:rPr>
      <w:sz w:val="18"/>
      <w:szCs w:val="18"/>
    </w:rPr>
  </w:style>
  <w:style w:type="paragraph" w:styleId="6">
    <w:name w:val="header"/>
    <w:basedOn w:val="1"/>
    <w:link w:val="10"/>
    <w:qFormat/>
    <w:uiPriority w:val="0"/>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rFonts w:cs="Times New Roman"/>
      <w:kern w:val="0"/>
      <w:sz w:val="24"/>
    </w:rPr>
  </w:style>
  <w:style w:type="character" w:customStyle="1" w:styleId="10">
    <w:name w:val="页眉 字符"/>
    <w:basedOn w:val="9"/>
    <w:link w:val="6"/>
    <w:qFormat/>
    <w:uiPriority w:val="0"/>
    <w:rPr>
      <w:rFonts w:asciiTheme="minorHAnsi" w:hAnsiTheme="minorHAnsi" w:eastAsiaTheme="minorEastAsia" w:cstheme="minorBidi"/>
      <w:kern w:val="2"/>
      <w:sz w:val="18"/>
      <w:szCs w:val="18"/>
    </w:rPr>
  </w:style>
  <w:style w:type="character" w:customStyle="1" w:styleId="11">
    <w:name w:val="页脚 字符"/>
    <w:basedOn w:val="9"/>
    <w:link w:val="5"/>
    <w:qFormat/>
    <w:uiPriority w:val="0"/>
    <w:rPr>
      <w:rFonts w:asciiTheme="minorHAnsi" w:hAnsiTheme="minorHAnsi" w:eastAsiaTheme="minorEastAsia" w:cstheme="minorBidi"/>
      <w:kern w:val="2"/>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217</Words>
  <Characters>1240</Characters>
  <Lines>10</Lines>
  <Paragraphs>2</Paragraphs>
  <TotalTime>3</TotalTime>
  <ScaleCrop>false</ScaleCrop>
  <LinksUpToDate>false</LinksUpToDate>
  <CharactersWithSpaces>1455</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2022-02-09T03:05:00Z</dcterms:created>
  <dc:creator>吴忠市生态环境局盐池分局收文员</dc:creator>
  <cp:lastModifiedBy>凌娜</cp:lastModifiedBy>
  <cp:lastPrinted>2021-12-29T00:42:00Z</cp:lastPrinted>
  <dcterms:modified xsi:type="dcterms:W3CDTF">2022-02-09T03:10:45Z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7BFD76412BB5469880BAB757C2677BB5</vt:lpwstr>
  </property>
</Properties>
</file>