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widowControl w:val="0"/>
        <w:spacing w:before="0" w:beforeAutospacing="0" w:after="0" w:afterAutospacing="0" w:line="560" w:lineRule="exact"/>
        <w:jc w:val="center"/>
        <w:rPr>
          <w:rFonts w:ascii="方正小标宋简体" w:hAnsi="方正小标宋简体" w:eastAsia="方正小标宋简体" w:cs="方正小标宋简体"/>
          <w:sz w:val="44"/>
          <w:szCs w:val="44"/>
        </w:rPr>
      </w:pPr>
      <w:r>
        <w:rPr>
          <w:rFonts w:hint="eastAsia" w:ascii="方正小标宋简体" w:hAnsi="Times New Roman" w:eastAsia="方正小标宋简体"/>
          <w:kern w:val="2"/>
          <w:sz w:val="44"/>
          <w:szCs w:val="44"/>
          <w:lang w:eastAsia="zh-CN"/>
        </w:rPr>
        <w:t>同心县生态环境保护“十四五”规划</w:t>
      </w:r>
      <w:r>
        <w:rPr>
          <w:rFonts w:hint="eastAsia" w:ascii="方正小标宋简体" w:hAnsi="方正小标宋简体" w:eastAsia="方正小标宋简体" w:cs="方正小标宋简体"/>
          <w:sz w:val="44"/>
          <w:szCs w:val="44"/>
        </w:rPr>
        <w:t>起草说明</w:t>
      </w:r>
    </w:p>
    <w:p>
      <w:pPr>
        <w:spacing w:line="560" w:lineRule="exact"/>
        <w:rPr>
          <w:rFonts w:ascii="仿宋_GB2312" w:hAnsi="仿宋_GB2312" w:eastAsia="仿宋_GB2312" w:cs="仿宋_GB2312"/>
          <w:sz w:val="32"/>
          <w:szCs w:val="32"/>
        </w:rPr>
      </w:pP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w:t>
      </w:r>
      <w:r>
        <w:rPr>
          <w:rFonts w:hint="eastAsia" w:ascii="黑体" w:hAnsi="黑体" w:eastAsia="黑体" w:cs="黑体"/>
          <w:sz w:val="32"/>
          <w:szCs w:val="32"/>
          <w:lang w:val="en-US" w:eastAsia="zh-CN"/>
        </w:rPr>
        <w:t>编制</w:t>
      </w:r>
      <w:r>
        <w:rPr>
          <w:rFonts w:hint="eastAsia" w:ascii="黑体" w:hAnsi="黑体" w:eastAsia="黑体" w:cs="黑体"/>
          <w:sz w:val="32"/>
          <w:szCs w:val="32"/>
        </w:rPr>
        <w:t>背景</w:t>
      </w:r>
    </w:p>
    <w:p>
      <w:pPr>
        <w:spacing w:line="560" w:lineRule="exact"/>
        <w:ind w:firstLine="640" w:firstLineChars="200"/>
        <w:rPr>
          <w:rFonts w:hint="eastAsia" w:ascii="仿宋_GB2312" w:hAnsi="仿宋_GB2312" w:eastAsia="仿宋_GB2312" w:cs="仿宋_GB2312"/>
          <w:sz w:val="32"/>
          <w:szCs w:val="32"/>
          <w:lang w:val="zh-CN" w:eastAsia="zh-CN"/>
        </w:rPr>
      </w:pPr>
      <w:r>
        <w:rPr>
          <w:rFonts w:hint="eastAsia" w:ascii="仿宋_GB2312" w:hAnsi="仿宋_GB2312" w:eastAsia="仿宋_GB2312" w:cs="仿宋_GB2312"/>
          <w:sz w:val="32"/>
          <w:szCs w:val="32"/>
          <w:lang w:val="zh-CN" w:eastAsia="zh-CN"/>
        </w:rPr>
        <w:t>十四五”时期，是全面开启建设社会主义现代化强国新征程的重要机遇期。为深入贯彻落实习近平总书记视察宁夏时的重要讲话精神</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lang w:val="zh-CN" w:eastAsia="zh-CN"/>
        </w:rPr>
        <w:t>自治区《关于全面加强生态环境保护坚决打好污染防治攻坚战的实施意见》，作出守好改善生态环境生命线、走出一条高质量发展新路子的重大战略部署，构建</w:t>
      </w:r>
      <w:r>
        <w:rPr>
          <w:rFonts w:hint="eastAsia" w:ascii="仿宋_GB2312" w:hAnsi="仿宋_GB2312" w:eastAsia="仿宋_GB2312" w:cs="仿宋_GB2312"/>
          <w:sz w:val="32"/>
          <w:szCs w:val="32"/>
          <w:lang w:val="en-US" w:eastAsia="zh-CN"/>
        </w:rPr>
        <w:t>同心县</w:t>
      </w:r>
      <w:r>
        <w:rPr>
          <w:rFonts w:hint="eastAsia" w:ascii="仿宋_GB2312" w:hAnsi="仿宋_GB2312" w:eastAsia="仿宋_GB2312" w:cs="仿宋_GB2312"/>
          <w:sz w:val="32"/>
          <w:szCs w:val="32"/>
          <w:lang w:val="zh-CN" w:eastAsia="zh-CN"/>
        </w:rPr>
        <w:t>以改善生态环境质量为导向，监管统一、执法严明、多方参与的环境治理体系，</w:t>
      </w:r>
      <w:r>
        <w:rPr>
          <w:rFonts w:hint="eastAsia" w:ascii="仿宋_GB2312" w:hAnsi="仿宋_GB2312" w:eastAsia="仿宋_GB2312" w:cs="仿宋_GB2312"/>
          <w:sz w:val="32"/>
          <w:szCs w:val="32"/>
          <w:lang w:val="en-US" w:eastAsia="zh-CN"/>
        </w:rPr>
        <w:t>促进同心县</w:t>
      </w:r>
      <w:r>
        <w:rPr>
          <w:rFonts w:hint="eastAsia" w:ascii="仿宋_GB2312" w:hAnsi="仿宋_GB2312" w:eastAsia="仿宋_GB2312" w:cs="仿宋_GB2312"/>
          <w:sz w:val="32"/>
          <w:szCs w:val="32"/>
          <w:lang w:val="zh-CN" w:eastAsia="zh-CN"/>
        </w:rPr>
        <w:t>生态环境保护</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lang w:val="zh-CN" w:eastAsia="zh-CN"/>
        </w:rPr>
        <w:t>生态文明建设</w:t>
      </w:r>
      <w:r>
        <w:rPr>
          <w:rFonts w:hint="eastAsia" w:ascii="仿宋_GB2312" w:hAnsi="仿宋_GB2312" w:eastAsia="仿宋_GB2312" w:cs="仿宋_GB2312"/>
          <w:sz w:val="32"/>
          <w:szCs w:val="32"/>
          <w:lang w:val="en-US" w:eastAsia="zh-CN"/>
        </w:rPr>
        <w:t>具有重要意义</w:t>
      </w:r>
      <w:r>
        <w:rPr>
          <w:rFonts w:hint="eastAsia" w:ascii="仿宋_GB2312" w:hAnsi="仿宋_GB2312" w:eastAsia="仿宋_GB2312" w:cs="仿宋_GB2312"/>
          <w:sz w:val="32"/>
          <w:szCs w:val="32"/>
          <w:lang w:val="zh-CN" w:eastAsia="zh-CN"/>
        </w:rPr>
        <w:t>。</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w:t>
      </w:r>
      <w:r>
        <w:rPr>
          <w:rFonts w:hint="eastAsia" w:ascii="黑体" w:hAnsi="黑体" w:eastAsia="黑体" w:cs="黑体"/>
          <w:sz w:val="32"/>
          <w:szCs w:val="32"/>
          <w:lang w:val="en-US" w:eastAsia="zh-CN"/>
        </w:rPr>
        <w:t>编制</w:t>
      </w:r>
      <w:r>
        <w:rPr>
          <w:rFonts w:hint="eastAsia" w:ascii="黑体" w:hAnsi="黑体" w:eastAsia="黑体" w:cs="黑体"/>
          <w:sz w:val="32"/>
          <w:szCs w:val="32"/>
        </w:rPr>
        <w:t>依据</w:t>
      </w:r>
    </w:p>
    <w:p>
      <w:pPr>
        <w:spacing w:line="560" w:lineRule="exact"/>
        <w:ind w:firstLine="640" w:firstLineChars="200"/>
        <w:rPr>
          <w:rFonts w:hint="eastAsia" w:ascii="仿宋_GB2312" w:hAnsi="仿宋_GB2312" w:eastAsia="仿宋_GB2312" w:cs="仿宋_GB2312"/>
          <w:sz w:val="32"/>
          <w:szCs w:val="32"/>
          <w:lang w:val="zh-CN" w:eastAsia="zh-CN"/>
        </w:rPr>
      </w:pPr>
      <w:r>
        <w:rPr>
          <w:rFonts w:hint="eastAsia" w:ascii="仿宋_GB2312" w:hAnsi="仿宋_GB2312" w:eastAsia="仿宋_GB2312" w:cs="仿宋_GB2312"/>
          <w:sz w:val="32"/>
          <w:szCs w:val="32"/>
          <w:lang w:val="zh-CN" w:eastAsia="zh-CN"/>
        </w:rPr>
        <w:t>根据《中华人民共和国环境保护法》、《中华人民共和国水污染防治法》、《中共中央国务院</w:t>
      </w:r>
      <w:r>
        <w:rPr>
          <w:rFonts w:hint="default" w:ascii="仿宋_GB2312" w:hAnsi="仿宋_GB2312" w:eastAsia="仿宋_GB2312" w:cs="仿宋_GB2312"/>
          <w:sz w:val="32"/>
          <w:szCs w:val="32"/>
          <w:lang w:val="zh-CN" w:eastAsia="zh-CN"/>
        </w:rPr>
        <w:t>关于全面加强生态环境保护坚决打好污染防治攻坚战的意见》</w:t>
      </w:r>
      <w:r>
        <w:rPr>
          <w:rFonts w:hint="eastAsia" w:ascii="仿宋_GB2312" w:hAnsi="仿宋_GB2312" w:eastAsia="仿宋_GB2312" w:cs="仿宋_GB2312"/>
          <w:sz w:val="32"/>
          <w:szCs w:val="32"/>
          <w:lang w:val="zh-CN" w:eastAsia="zh-CN"/>
        </w:rPr>
        <w:t>、《中共宁夏回族自治区委员会关于建设黄河流域生态保护和高质量发展先行区的实施意见》、</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zh-CN" w:eastAsia="zh-CN"/>
        </w:rPr>
        <w:t>宁夏回族自治区生态环境保护“十四五”规划》、</w:t>
      </w:r>
      <w:r>
        <w:rPr>
          <w:rFonts w:hint="eastAsia" w:ascii="仿宋_GB2312" w:hAnsi="仿宋_GB2312" w:eastAsia="仿宋_GB2312" w:cs="仿宋_GB2312"/>
          <w:sz w:val="32"/>
          <w:szCs w:val="32"/>
          <w:lang w:val="en-US" w:eastAsia="zh-CN"/>
        </w:rPr>
        <w:t>《吴忠市</w:t>
      </w:r>
      <w:r>
        <w:rPr>
          <w:rFonts w:hint="eastAsia" w:ascii="仿宋_GB2312" w:hAnsi="仿宋_GB2312" w:eastAsia="仿宋_GB2312" w:cs="仿宋_GB2312"/>
          <w:sz w:val="32"/>
          <w:szCs w:val="32"/>
          <w:lang w:val="zh-CN" w:eastAsia="zh-CN"/>
        </w:rPr>
        <w:t>生态环境保护“十四五”规划》、《同心县国民经济和社会发展第十四个五年规划和2035年远景目标纲要》等法律法规特制定本规划。本规划的基准年为2020年，实施期限为2021年至2025年。</w:t>
      </w:r>
    </w:p>
    <w:p>
      <w:pPr>
        <w:spacing w:line="560" w:lineRule="exact"/>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三、起草过程</w:t>
      </w:r>
    </w:p>
    <w:p>
      <w:pPr>
        <w:spacing w:line="56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县委、政府安排工作部署，同心分局组成工作专班开展本《规划》的起草工作，为早日完成规划编制工作，同心分局多次就规划目标指标、重点任务设置等相关内容，积极与区生态环境厅和市生态环境局对接，并与编制单位进行研究探讨与沟通，在遵循上位规划，做好与总体规划和专项规划的衔接，</w:t>
      </w:r>
      <w:r>
        <w:rPr>
          <w:rFonts w:hint="eastAsia" w:ascii="仿宋_GB2312" w:hAnsi="仿宋_GB2312" w:eastAsia="仿宋_GB2312" w:cs="仿宋_GB2312"/>
          <w:sz w:val="32"/>
          <w:szCs w:val="32"/>
          <w:lang w:val="en-US" w:eastAsia="zh-CN"/>
        </w:rPr>
        <w:t>充分听取了相关领域专家和县直相关部门意见</w:t>
      </w:r>
      <w:r>
        <w:rPr>
          <w:rFonts w:hint="eastAsia" w:ascii="仿宋_GB2312" w:hAnsi="仿宋_GB2312" w:eastAsia="仿宋_GB2312" w:cs="仿宋_GB2312"/>
          <w:sz w:val="32"/>
          <w:szCs w:val="32"/>
          <w:lang w:val="en-US" w:eastAsia="zh-CN"/>
        </w:rPr>
        <w:t>基础上，</w:t>
      </w:r>
      <w:r>
        <w:rPr>
          <w:rFonts w:hint="eastAsia" w:ascii="仿宋_GB2312" w:hAnsi="仿宋_GB2312" w:eastAsia="仿宋_GB2312" w:cs="仿宋_GB2312"/>
          <w:sz w:val="32"/>
          <w:szCs w:val="32"/>
          <w:lang w:val="en-US" w:eastAsia="zh-CN"/>
        </w:rPr>
        <w:t>通过专家评审修改完善后，形成本《规划》。</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w:t>
      </w:r>
      <w:r>
        <w:rPr>
          <w:rFonts w:hint="eastAsia" w:ascii="黑体" w:hAnsi="黑体" w:eastAsia="黑体" w:cs="黑体"/>
          <w:sz w:val="32"/>
          <w:szCs w:val="32"/>
          <w:lang w:val="en-US" w:eastAsia="zh-CN"/>
        </w:rPr>
        <w:t>规划框架与</w:t>
      </w:r>
      <w:r>
        <w:rPr>
          <w:rFonts w:hint="eastAsia" w:ascii="黑体" w:hAnsi="黑体" w:eastAsia="黑体" w:cs="黑体"/>
          <w:sz w:val="32"/>
          <w:szCs w:val="32"/>
        </w:rPr>
        <w:t xml:space="preserve">主要内容 </w:t>
      </w:r>
    </w:p>
    <w:p>
      <w:pPr>
        <w:spacing w:line="56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本《规划》分为</w:t>
      </w:r>
      <w:r>
        <w:rPr>
          <w:rFonts w:hint="eastAsia" w:ascii="仿宋_GB2312" w:hAnsi="仿宋_GB2312" w:eastAsia="仿宋_GB2312" w:cs="仿宋_GB2312"/>
          <w:sz w:val="32"/>
          <w:szCs w:val="32"/>
          <w:lang w:val="en-US" w:eastAsia="zh-CN"/>
        </w:rPr>
        <w:t>序言和正文，序言重点明确《规划》编制背景、依据和重要意义；正文共有五个章节组成，第一章发展基础和面临形势主要分析了“十三五”生态环境保护工作取得显著成效和“十四五”生态环境保护工作的形势机遇；第二章明确了</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十四五</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时期生态环境保护的指导思想、基本原则和总体目标；第三至四章强调同心县建设</w:t>
      </w:r>
      <w:r>
        <w:rPr>
          <w:rFonts w:hint="eastAsia" w:ascii="仿宋_GB2312" w:hAnsi="仿宋_GB2312" w:eastAsia="仿宋_GB2312" w:cs="仿宋_GB2312"/>
          <w:sz w:val="32"/>
          <w:szCs w:val="32"/>
          <w:lang w:val="zh-CN" w:eastAsia="zh-CN"/>
        </w:rPr>
        <w:t>黄河流域生态保护和高质量发展先行区，</w:t>
      </w:r>
      <w:r>
        <w:rPr>
          <w:rFonts w:hint="eastAsia" w:ascii="仿宋_GB2312" w:hAnsi="仿宋_GB2312" w:eastAsia="仿宋_GB2312" w:cs="仿宋_GB2312"/>
          <w:sz w:val="32"/>
          <w:szCs w:val="32"/>
          <w:lang w:val="en-US" w:eastAsia="zh-CN"/>
        </w:rPr>
        <w:t>要从优化空间布局、产业结构、提升绿色产业发展质量和通过实施大气污染防治、清水河同心段流域生态环境保护、土壤和地下水污染防治、噪声污染防治、农村环境综合整治工程、固体废物管理处置、生态环境保护、生态环境治理体系建设等八大工程，作为</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十四五</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期间的重点任务和重点工程；第四章提出顺利实现</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十四五</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规划目标和任务，须制定和加强的必要保障措施。</w:t>
      </w:r>
      <w:bookmarkStart w:id="0" w:name="_GoBack"/>
      <w:bookmarkEnd w:id="0"/>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sectPr>
      <w:footerReference r:id="rId3" w:type="default"/>
      <w:pgSz w:w="11906" w:h="16838"/>
      <w:pgMar w:top="1440"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rial">
    <w:panose1 w:val="020B0604020202020204"/>
    <w:charset w:val="00"/>
    <w:family w:val="swiss"/>
    <w:pitch w:val="default"/>
    <w:sig w:usb0="E0002EFF" w:usb1="C0007843" w:usb2="00000009" w:usb3="00000000" w:csb0="400001FF" w:csb1="FFFF0000"/>
  </w:font>
  <w:font w:name="Arial Unicode MS">
    <w:panose1 w:val="020B0604020202020204"/>
    <w:charset w:val="86"/>
    <w:family w:val="swiss"/>
    <w:pitch w:val="default"/>
    <w:sig w:usb0="FFFFFFFF" w:usb1="E9FFFFFF"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方正仿宋_GBK">
    <w:altName w:val="Arial Unicode MS"/>
    <w:panose1 w:val="03000509000000000000"/>
    <w:charset w:val="86"/>
    <w:family w:val="script"/>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41472694"/>
      <w:docPartObj>
        <w:docPartGallery w:val="autotext"/>
      </w:docPartObj>
    </w:sdtPr>
    <w:sdtContent>
      <w:p>
        <w:pPr>
          <w:pStyle w:val="7"/>
          <w:jc w:val="center"/>
        </w:pPr>
        <w:r>
          <w:fldChar w:fldCharType="begin"/>
        </w:r>
        <w:r>
          <w:instrText xml:space="preserve">PAGE   \* MERGEFORMAT</w:instrText>
        </w:r>
        <w:r>
          <w:fldChar w:fldCharType="separate"/>
        </w:r>
        <w:r>
          <w:rPr>
            <w:lang w:val="zh-CN"/>
          </w:rPr>
          <w:t>1</w:t>
        </w:r>
        <w:r>
          <w:fldChar w:fldCharType="end"/>
        </w:r>
      </w:p>
    </w:sdtContent>
  </w:sdt>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854"/>
    <w:rsid w:val="00182DA8"/>
    <w:rsid w:val="003067F1"/>
    <w:rsid w:val="00396A41"/>
    <w:rsid w:val="0093761A"/>
    <w:rsid w:val="00A118C6"/>
    <w:rsid w:val="00A538D0"/>
    <w:rsid w:val="00A53FEC"/>
    <w:rsid w:val="00AD1854"/>
    <w:rsid w:val="10745163"/>
    <w:rsid w:val="1639643C"/>
    <w:rsid w:val="177908BC"/>
    <w:rsid w:val="23963049"/>
    <w:rsid w:val="3548730B"/>
    <w:rsid w:val="4B183D48"/>
    <w:rsid w:val="4B230A50"/>
    <w:rsid w:val="5056320A"/>
    <w:rsid w:val="5EFD0695"/>
    <w:rsid w:val="5FF343DC"/>
    <w:rsid w:val="6425795C"/>
    <w:rsid w:val="66DE3DB4"/>
    <w:rsid w:val="6E272FA3"/>
    <w:rsid w:val="6F7C2A90"/>
    <w:rsid w:val="780025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2">
    <w:name w:val="Default Paragraph Font"/>
    <w:semiHidden/>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2">
    <w:name w:val="Body Text"/>
    <w:basedOn w:val="1"/>
    <w:next w:val="3"/>
    <w:qFormat/>
    <w:uiPriority w:val="1"/>
    <w:rPr>
      <w:rFonts w:ascii="Arial Unicode MS" w:hAnsi="Arial Unicode MS" w:eastAsia="Arial Unicode MS" w:cs="Arial Unicode MS"/>
      <w:sz w:val="32"/>
      <w:szCs w:val="32"/>
      <w:lang w:val="zh-CN" w:bidi="zh-CN"/>
    </w:rPr>
  </w:style>
  <w:style w:type="paragraph" w:styleId="3">
    <w:name w:val="Body Text First Indent"/>
    <w:basedOn w:val="2"/>
    <w:next w:val="2"/>
    <w:qFormat/>
    <w:uiPriority w:val="0"/>
    <w:pPr>
      <w:spacing w:after="120"/>
      <w:ind w:firstLine="420" w:firstLineChars="100"/>
    </w:pPr>
    <w:rPr>
      <w:sz w:val="21"/>
    </w:rPr>
  </w:style>
  <w:style w:type="paragraph" w:styleId="5">
    <w:name w:val="Body Text Indent"/>
    <w:basedOn w:val="1"/>
    <w:next w:val="6"/>
    <w:qFormat/>
    <w:uiPriority w:val="0"/>
    <w:pPr>
      <w:ind w:left="420"/>
    </w:pPr>
    <w:rPr>
      <w:rFonts w:ascii="仿宋_GB2312" w:eastAsia="仿宋_GB2312"/>
      <w:sz w:val="32"/>
    </w:rPr>
  </w:style>
  <w:style w:type="paragraph" w:styleId="6">
    <w:name w:val="footnote text"/>
    <w:qFormat/>
    <w:uiPriority w:val="0"/>
    <w:pPr>
      <w:widowControl w:val="0"/>
    </w:pPr>
    <w:rPr>
      <w:rFonts w:ascii="Times New Roman" w:hAnsi="Times New Roman" w:eastAsia="PMingLiU" w:cs="Arial"/>
      <w:color w:val="000000"/>
      <w:kern w:val="2"/>
      <w:sz w:val="18"/>
      <w:szCs w:val="24"/>
      <w:lang w:val="en-US" w:eastAsia="zh-CN" w:bidi="ar-SA"/>
    </w:rPr>
  </w:style>
  <w:style w:type="paragraph" w:styleId="7">
    <w:name w:val="footer"/>
    <w:basedOn w:val="1"/>
    <w:link w:val="15"/>
    <w:uiPriority w:val="99"/>
    <w:pPr>
      <w:tabs>
        <w:tab w:val="center" w:pos="4153"/>
        <w:tab w:val="right" w:pos="8306"/>
      </w:tabs>
      <w:snapToGrid w:val="0"/>
      <w:jc w:val="left"/>
    </w:pPr>
    <w:rPr>
      <w:sz w:val="18"/>
      <w:szCs w:val="18"/>
    </w:rPr>
  </w:style>
  <w:style w:type="paragraph" w:styleId="8">
    <w:name w:val="header"/>
    <w:basedOn w:val="1"/>
    <w:link w:val="14"/>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uiPriority w:val="0"/>
    <w:pPr>
      <w:widowControl/>
      <w:spacing w:before="100" w:beforeAutospacing="1" w:after="100" w:afterAutospacing="1"/>
      <w:jc w:val="left"/>
    </w:pPr>
    <w:rPr>
      <w:rFonts w:ascii="宋体" w:hAnsi="宋体" w:eastAsia="宋体" w:cs="Times New Roman"/>
      <w:kern w:val="0"/>
      <w:sz w:val="24"/>
    </w:rPr>
  </w:style>
  <w:style w:type="paragraph" w:styleId="10">
    <w:name w:val="Body Text First Indent 2"/>
    <w:basedOn w:val="5"/>
    <w:next w:val="3"/>
    <w:qFormat/>
    <w:uiPriority w:val="0"/>
    <w:pPr>
      <w:spacing w:after="120"/>
      <w:ind w:left="200" w:leftChars="200" w:firstLine="420" w:firstLineChars="200"/>
    </w:pPr>
    <w:rPr>
      <w:rFonts w:ascii="Times New Roman"/>
    </w:rPr>
  </w:style>
  <w:style w:type="character" w:styleId="13">
    <w:name w:val="Emphasis"/>
    <w:basedOn w:val="12"/>
    <w:qFormat/>
    <w:uiPriority w:val="0"/>
    <w:rPr>
      <w:i/>
    </w:rPr>
  </w:style>
  <w:style w:type="character" w:customStyle="1" w:styleId="14">
    <w:name w:val="页眉 Char"/>
    <w:basedOn w:val="12"/>
    <w:link w:val="8"/>
    <w:uiPriority w:val="0"/>
    <w:rPr>
      <w:kern w:val="2"/>
      <w:sz w:val="18"/>
      <w:szCs w:val="18"/>
    </w:rPr>
  </w:style>
  <w:style w:type="character" w:customStyle="1" w:styleId="15">
    <w:name w:val="页脚 Char"/>
    <w:basedOn w:val="12"/>
    <w:link w:val="7"/>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189</Words>
  <Characters>1080</Characters>
  <Lines>9</Lines>
  <Paragraphs>2</Paragraphs>
  <TotalTime>4</TotalTime>
  <ScaleCrop>false</ScaleCrop>
  <LinksUpToDate>false</LinksUpToDate>
  <CharactersWithSpaces>1267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2021-12-06T12:57:00Z</dcterms:created>
  <dc:creator>DYF</dc:creator>
  <cp:lastModifiedBy>天方地圆</cp:lastModifiedBy>
  <dcterms:modified xsi:type="dcterms:W3CDTF">2022-01-18T09:17:25Z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48F6EC91BDDF4D169EEC82D69C20F68D</vt:lpwstr>
  </property>
</Properties>
</file>