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</w:rPr>
        <w:t>附件：</w:t>
      </w:r>
    </w:p>
    <w:p>
      <w:pPr>
        <w:pStyle w:val="4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专项整治</w:t>
      </w:r>
      <w:r>
        <w:rPr>
          <w:rFonts w:hint="eastAsia" w:ascii="方正小标宋简体" w:hAnsi="方正小标宋简体" w:eastAsia="方正小标宋简体" w:cs="方正小标宋简体"/>
          <w:b w:val="0"/>
          <w:kern w:val="0"/>
          <w:sz w:val="44"/>
          <w:szCs w:val="44"/>
          <w:shd w:val="clear" w:color="auto" w:fill="FFFFFF"/>
          <w:lang w:bidi="ar"/>
        </w:rPr>
        <w:t>工作情况统计表</w:t>
      </w:r>
      <w:bookmarkEnd w:id="0"/>
    </w:p>
    <w:tbl>
      <w:tblPr>
        <w:tblStyle w:val="5"/>
        <w:tblW w:w="912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30"/>
        <w:gridCol w:w="5630"/>
        <w:gridCol w:w="12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9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ascii="Times New Roman" w:hAnsi="Times New Roman" w:eastAsia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填报单位：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7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2"/>
              </w:rPr>
              <w:t xml:space="preserve">基本情况   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辖区内持证学校食堂数（家）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 xml:space="preserve">    实施五常、6T等食品安全管理的单位数（家）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 xml:space="preserve">    建立HACCP或ISO22000管理体系的单位数（家）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 xml:space="preserve">    实施“互联网+明厨亮灶”数（家）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辖区内持证学生集体用餐配送单位数（家）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 xml:space="preserve">    供应的学校数（个）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 xml:space="preserve">    建立HACCP或ISO22000管理体系的单位数（家）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 xml:space="preserve">    通过HACCP或ISO22000管理体系认证的单位数（家）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 xml:space="preserve">    实施“互联网+明厨亮灶”数（家）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color w:val="000000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  <w:t>辖区内校外托管机构（家）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督促整改情况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学校食堂整改问题数量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原料进货查验把关不严格（家）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食品加工制作行为不规范（家）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餐具用具清洗消毒不彻底（家）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加工制作环境不清洁（家）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其他食品安全问题（家）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供餐单位整改问题数量</w:t>
            </w: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原料进货查验把关不严格（家）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食品加工制作行为不规范（家）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餐具用具清洗消毒不彻底（家）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加工制作环境不清洁（家）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食品分餐配送过程不合规（家）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1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其他食品安全问题（家）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  <w:r>
              <w:rPr>
                <w:rFonts w:ascii="Times New Roman" w:hAnsi="Times New Roman" w:eastAsia="黑体"/>
                <w:kern w:val="0"/>
                <w:sz w:val="22"/>
              </w:rPr>
              <w:t>监督检查和案件查处情况</w:t>
            </w: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监督检查数（户次）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下达责令改正通知书（份）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行政处罚立案数（起）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罚没金额（万元）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吊销许可证（家）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取缔无证经营（家）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移送公安机关案件数（起）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exact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/>
                <w:kern w:val="0"/>
                <w:sz w:val="22"/>
              </w:rPr>
            </w:pPr>
          </w:p>
        </w:tc>
        <w:tc>
          <w:tcPr>
            <w:tcW w:w="6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刑事立案数（起）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</w:tbl>
    <w:p>
      <w:pPr>
        <w:pStyle w:val="7"/>
        <w:ind w:firstLine="0" w:firstLineChars="0"/>
        <w:rPr>
          <w:rFonts w:ascii="Times New Roman" w:hAnsi="Times New Roman" w:eastAsia="仿宋_GB2312"/>
          <w:color w:val="0C0C0C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992" w:gutter="0"/>
      <w:pgNumType w:fmt="numberInDash"/>
      <w:cols w:space="720" w:num="1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600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25A6C"/>
    <w:rsid w:val="3422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Cambria" w:hAnsi="Cambria"/>
      <w:b/>
      <w:bCs/>
    </w:rPr>
  </w:style>
  <w:style w:type="paragraph" w:customStyle="1" w:styleId="7">
    <w:name w:val="Normal Indent1"/>
    <w:basedOn w:val="1"/>
    <w:qFormat/>
    <w:uiPriority w:val="0"/>
    <w:pPr>
      <w:ind w:firstLine="200" w:firstLineChars="200"/>
    </w:pPr>
    <w:rPr>
      <w:rFonts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2021-11-11T02:59:00Z</dcterms:created>
  <dc:creator>Administrator</dc:creator>
  <cp:lastModifiedBy>Administrator</cp:lastModifiedBy>
  <dcterms:modified xsi:type="dcterms:W3CDTF">2021-11-11T02:59:29Z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