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2"/>
        <w:tblW w:w="900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7"/>
        <w:gridCol w:w="2878"/>
        <w:gridCol w:w="2157"/>
        <w:gridCol w:w="10"/>
        <w:gridCol w:w="27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建设项目</w:t>
            </w:r>
          </w:p>
          <w:p>
            <w:pPr>
              <w:adjustRightInd w:val="0"/>
              <w:snapToGrid w:val="0"/>
              <w:jc w:val="center"/>
              <w:rPr>
                <w:sz w:val="24"/>
              </w:rPr>
            </w:pPr>
            <w:r>
              <w:rPr>
                <w:rFonts w:hint="eastAsia"/>
                <w:sz w:val="24"/>
              </w:rPr>
              <w:t>名称</w:t>
            </w:r>
          </w:p>
        </w:tc>
        <w:tc>
          <w:tcPr>
            <w:tcW w:w="7749" w:type="dxa"/>
            <w:gridSpan w:val="4"/>
            <w:vAlign w:val="center"/>
          </w:tcPr>
          <w:p>
            <w:pPr>
              <w:adjustRightInd w:val="0"/>
              <w:snapToGrid w:val="0"/>
              <w:jc w:val="center"/>
              <w:rPr>
                <w:sz w:val="24"/>
              </w:rPr>
            </w:pPr>
            <w:r>
              <w:rPr>
                <w:rFonts w:hint="eastAsia"/>
                <w:sz w:val="24"/>
              </w:rPr>
              <w:t>宁夏吴忠市青龙山北段杜家圈南白云岩矿开采加工项目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项目代码</w:t>
            </w:r>
          </w:p>
        </w:tc>
        <w:tc>
          <w:tcPr>
            <w:tcW w:w="7749" w:type="dxa"/>
            <w:gridSpan w:val="4"/>
            <w:vAlign w:val="center"/>
          </w:tcPr>
          <w:p>
            <w:pPr>
              <w:adjustRightInd w:val="0"/>
              <w:snapToGrid w:val="0"/>
              <w:jc w:val="center"/>
              <w:rPr>
                <w:sz w:val="24"/>
              </w:rPr>
            </w:pPr>
            <w:r>
              <w:rPr>
                <w:rFonts w:hint="eastAsia"/>
                <w:sz w:val="24"/>
              </w:rPr>
              <w:t>2301-640324-15-01-820809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建设单位</w:t>
            </w:r>
          </w:p>
          <w:p>
            <w:pPr>
              <w:adjustRightInd w:val="0"/>
              <w:snapToGrid w:val="0"/>
              <w:jc w:val="center"/>
              <w:rPr>
                <w:sz w:val="24"/>
              </w:rPr>
            </w:pPr>
            <w:r>
              <w:rPr>
                <w:rFonts w:hint="eastAsia"/>
                <w:sz w:val="24"/>
              </w:rPr>
              <w:t>联系人</w:t>
            </w:r>
          </w:p>
        </w:tc>
        <w:tc>
          <w:tcPr>
            <w:tcW w:w="2878" w:type="dxa"/>
            <w:vAlign w:val="center"/>
          </w:tcPr>
          <w:p>
            <w:pPr>
              <w:adjustRightInd w:val="0"/>
              <w:snapToGrid w:val="0"/>
              <w:jc w:val="center"/>
              <w:rPr>
                <w:sz w:val="24"/>
              </w:rPr>
            </w:pPr>
            <w:r>
              <w:rPr>
                <w:rFonts w:hint="eastAsia"/>
                <w:sz w:val="24"/>
              </w:rPr>
              <w:t>杨建军</w:t>
            </w:r>
          </w:p>
        </w:tc>
        <w:tc>
          <w:tcPr>
            <w:tcW w:w="2167" w:type="dxa"/>
            <w:gridSpan w:val="2"/>
            <w:vAlign w:val="center"/>
          </w:tcPr>
          <w:p>
            <w:pPr>
              <w:adjustRightInd w:val="0"/>
              <w:snapToGrid w:val="0"/>
              <w:jc w:val="center"/>
              <w:rPr>
                <w:sz w:val="24"/>
              </w:rPr>
            </w:pPr>
            <w:r>
              <w:rPr>
                <w:rFonts w:hint="eastAsia"/>
                <w:sz w:val="24"/>
              </w:rPr>
              <w:t>联系方式</w:t>
            </w:r>
          </w:p>
        </w:tc>
        <w:tc>
          <w:tcPr>
            <w:tcW w:w="2704" w:type="dxa"/>
            <w:vAlign w:val="center"/>
          </w:tcPr>
          <w:p>
            <w:pPr>
              <w:adjustRightInd w:val="0"/>
              <w:snapToGrid w:val="0"/>
              <w:jc w:val="center"/>
              <w:rPr>
                <w:sz w:val="24"/>
              </w:rPr>
            </w:pPr>
            <w:r>
              <w:rPr>
                <w:rFonts w:hint="eastAsia"/>
                <w:sz w:val="24"/>
              </w:rPr>
              <w:t>13995018785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建设地点</w:t>
            </w:r>
          </w:p>
        </w:tc>
        <w:tc>
          <w:tcPr>
            <w:tcW w:w="7749" w:type="dxa"/>
            <w:gridSpan w:val="4"/>
            <w:vAlign w:val="center"/>
          </w:tcPr>
          <w:p>
            <w:pPr>
              <w:adjustRightInd w:val="0"/>
              <w:snapToGrid w:val="0"/>
              <w:jc w:val="center"/>
              <w:rPr>
                <w:sz w:val="24"/>
              </w:rPr>
            </w:pPr>
            <w:r>
              <w:rPr>
                <w:rFonts w:hint="eastAsia"/>
                <w:sz w:val="24"/>
                <w:u w:val="single"/>
              </w:rPr>
              <w:t>宁夏回族自治区吴忠</w:t>
            </w:r>
            <w:r>
              <w:rPr>
                <w:rFonts w:hint="eastAsia"/>
                <w:sz w:val="24"/>
              </w:rPr>
              <w:t>市</w:t>
            </w:r>
            <w:r>
              <w:rPr>
                <w:rFonts w:hint="eastAsia"/>
                <w:sz w:val="24"/>
                <w:u w:val="single"/>
              </w:rPr>
              <w:t>同心</w:t>
            </w:r>
            <w:r>
              <w:rPr>
                <w:rFonts w:hint="eastAsia"/>
                <w:sz w:val="24"/>
              </w:rPr>
              <w:t>县</w:t>
            </w:r>
            <w:r>
              <w:rPr>
                <w:rFonts w:hint="eastAsia"/>
                <w:sz w:val="24"/>
                <w:u w:val="single"/>
              </w:rPr>
              <w:t>韦州镇青龙山北段杜家圈南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地理坐标</w:t>
            </w:r>
          </w:p>
        </w:tc>
        <w:tc>
          <w:tcPr>
            <w:tcW w:w="7749" w:type="dxa"/>
            <w:gridSpan w:val="4"/>
            <w:vAlign w:val="center"/>
          </w:tcPr>
          <w:p>
            <w:pPr>
              <w:jc w:val="center"/>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建设项目</w:t>
            </w:r>
          </w:p>
          <w:p>
            <w:pPr>
              <w:adjustRightInd w:val="0"/>
              <w:snapToGrid w:val="0"/>
              <w:jc w:val="center"/>
              <w:rPr>
                <w:sz w:val="24"/>
              </w:rPr>
            </w:pPr>
            <w:r>
              <w:rPr>
                <w:rFonts w:hint="eastAsia"/>
                <w:sz w:val="24"/>
              </w:rPr>
              <w:t>行业类别</w:t>
            </w:r>
          </w:p>
        </w:tc>
        <w:tc>
          <w:tcPr>
            <w:tcW w:w="2878" w:type="dxa"/>
            <w:vAlign w:val="center"/>
          </w:tcPr>
          <w:p>
            <w:pPr>
              <w:pStyle w:val="64"/>
              <w:ind w:firstLine="0"/>
              <w:rPr>
                <w:sz w:val="24"/>
              </w:rPr>
            </w:pPr>
            <w:r>
              <w:rPr>
                <w:rFonts w:hint="eastAsia"/>
                <w:sz w:val="24"/>
              </w:rPr>
              <w:t>八、非金属矿采选业10；11土砂石开采101；其他</w:t>
            </w:r>
          </w:p>
        </w:tc>
        <w:tc>
          <w:tcPr>
            <w:tcW w:w="2157" w:type="dxa"/>
            <w:vAlign w:val="center"/>
          </w:tcPr>
          <w:p>
            <w:pPr>
              <w:adjustRightInd w:val="0"/>
              <w:snapToGrid w:val="0"/>
              <w:jc w:val="center"/>
              <w:rPr>
                <w:sz w:val="24"/>
              </w:rPr>
            </w:pPr>
            <w:r>
              <w:rPr>
                <w:rFonts w:hint="eastAsia"/>
                <w:sz w:val="24"/>
              </w:rPr>
              <w:t>用地（用海）面积（m</w:t>
            </w:r>
            <w:r>
              <w:rPr>
                <w:rFonts w:hint="eastAsia"/>
                <w:sz w:val="24"/>
                <w:vertAlign w:val="superscript"/>
              </w:rPr>
              <w:t>2</w:t>
            </w:r>
            <w:r>
              <w:rPr>
                <w:rFonts w:hint="eastAsia"/>
                <w:sz w:val="24"/>
              </w:rPr>
              <w:t>）/长度（km）</w:t>
            </w:r>
          </w:p>
        </w:tc>
        <w:tc>
          <w:tcPr>
            <w:tcW w:w="2714" w:type="dxa"/>
            <w:gridSpan w:val="2"/>
            <w:vAlign w:val="center"/>
          </w:tcPr>
          <w:p>
            <w:pPr>
              <w:adjustRightInd w:val="0"/>
              <w:snapToGrid w:val="0"/>
              <w:jc w:val="center"/>
              <w:rPr>
                <w:sz w:val="24"/>
              </w:rPr>
            </w:pPr>
            <w:r>
              <w:rPr>
                <w:rFonts w:hint="eastAsia"/>
                <w:kern w:val="1"/>
                <w:sz w:val="24"/>
              </w:rPr>
              <w:t>310000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建设性质</w:t>
            </w:r>
          </w:p>
        </w:tc>
        <w:tc>
          <w:tcPr>
            <w:tcW w:w="2878" w:type="dxa"/>
            <w:vAlign w:val="center"/>
          </w:tcPr>
          <w:p>
            <w:pPr>
              <w:adjustRightInd w:val="0"/>
              <w:snapToGrid w:val="0"/>
              <w:jc w:val="left"/>
              <w:rPr>
                <w:sz w:val="24"/>
              </w:rPr>
            </w:pPr>
            <w:r>
              <w:rPr>
                <w:rFonts w:hint="eastAsia"/>
                <w:sz w:val="24"/>
              </w:rPr>
              <w:sym w:font="Wingdings" w:char="00FE"/>
            </w:r>
            <w:r>
              <w:rPr>
                <w:rFonts w:hint="eastAsia"/>
                <w:sz w:val="24"/>
              </w:rPr>
              <w:t>新建（迁建）</w:t>
            </w:r>
          </w:p>
          <w:p>
            <w:pPr>
              <w:adjustRightInd w:val="0"/>
              <w:snapToGrid w:val="0"/>
              <w:jc w:val="left"/>
              <w:rPr>
                <w:sz w:val="24"/>
              </w:rPr>
            </w:pPr>
            <w:r>
              <w:rPr>
                <w:rFonts w:hint="eastAsia"/>
                <w:sz w:val="24"/>
              </w:rPr>
              <w:sym w:font="Wingdings" w:char="00A8"/>
            </w:r>
            <w:r>
              <w:rPr>
                <w:rFonts w:hint="eastAsia"/>
                <w:sz w:val="24"/>
              </w:rPr>
              <w:t>改建</w:t>
            </w:r>
          </w:p>
          <w:p>
            <w:pPr>
              <w:adjustRightInd w:val="0"/>
              <w:snapToGrid w:val="0"/>
              <w:jc w:val="left"/>
              <w:rPr>
                <w:sz w:val="24"/>
              </w:rPr>
            </w:pPr>
            <w:r>
              <w:rPr>
                <w:rFonts w:hint="eastAsia"/>
                <w:sz w:val="24"/>
              </w:rPr>
              <w:sym w:font="Wingdings" w:char="00A8"/>
            </w:r>
            <w:r>
              <w:rPr>
                <w:rFonts w:hint="eastAsia"/>
                <w:sz w:val="24"/>
              </w:rPr>
              <w:t>扩建</w:t>
            </w:r>
          </w:p>
          <w:p>
            <w:pPr>
              <w:adjustRightInd w:val="0"/>
              <w:snapToGrid w:val="0"/>
              <w:jc w:val="left"/>
              <w:rPr>
                <w:sz w:val="24"/>
              </w:rPr>
            </w:pPr>
            <w:r>
              <w:rPr>
                <w:rFonts w:hint="eastAsia"/>
                <w:sz w:val="24"/>
              </w:rPr>
              <w:sym w:font="Wingdings" w:char="00A8"/>
            </w:r>
            <w:r>
              <w:rPr>
                <w:rFonts w:hint="eastAsia"/>
                <w:sz w:val="24"/>
              </w:rPr>
              <w:t>技术改造</w:t>
            </w:r>
          </w:p>
        </w:tc>
        <w:tc>
          <w:tcPr>
            <w:tcW w:w="2157" w:type="dxa"/>
            <w:vAlign w:val="center"/>
          </w:tcPr>
          <w:p>
            <w:pPr>
              <w:adjustRightInd w:val="0"/>
              <w:snapToGrid w:val="0"/>
              <w:jc w:val="center"/>
              <w:rPr>
                <w:sz w:val="24"/>
              </w:rPr>
            </w:pPr>
            <w:r>
              <w:rPr>
                <w:rFonts w:hint="eastAsia"/>
                <w:sz w:val="24"/>
              </w:rPr>
              <w:t>建设项目</w:t>
            </w:r>
          </w:p>
          <w:p>
            <w:pPr>
              <w:adjustRightInd w:val="0"/>
              <w:snapToGrid w:val="0"/>
              <w:jc w:val="center"/>
              <w:rPr>
                <w:sz w:val="24"/>
              </w:rPr>
            </w:pPr>
            <w:r>
              <w:rPr>
                <w:rFonts w:hint="eastAsia"/>
                <w:sz w:val="24"/>
              </w:rPr>
              <w:t>申报情形</w:t>
            </w:r>
          </w:p>
        </w:tc>
        <w:tc>
          <w:tcPr>
            <w:tcW w:w="2714" w:type="dxa"/>
            <w:gridSpan w:val="2"/>
            <w:vAlign w:val="center"/>
          </w:tcPr>
          <w:p>
            <w:pPr>
              <w:adjustRightInd w:val="0"/>
              <w:snapToGrid w:val="0"/>
              <w:jc w:val="left"/>
              <w:rPr>
                <w:sz w:val="24"/>
              </w:rPr>
            </w:pPr>
            <w:r>
              <w:rPr>
                <w:rFonts w:hint="eastAsia"/>
                <w:sz w:val="24"/>
              </w:rPr>
              <w:sym w:font="Wingdings" w:char="00FE"/>
            </w:r>
            <w:r>
              <w:rPr>
                <w:rFonts w:hint="eastAsia"/>
                <w:sz w:val="24"/>
              </w:rPr>
              <w:t>首次申报项目</w:t>
            </w:r>
          </w:p>
          <w:p>
            <w:pPr>
              <w:adjustRightInd w:val="0"/>
              <w:snapToGrid w:val="0"/>
              <w:jc w:val="left"/>
              <w:rPr>
                <w:sz w:val="24"/>
              </w:rPr>
            </w:pPr>
            <w:r>
              <w:rPr>
                <w:rFonts w:hint="eastAsia"/>
                <w:sz w:val="24"/>
              </w:rPr>
              <w:sym w:font="Wingdings" w:char="00A8"/>
            </w:r>
            <w:r>
              <w:rPr>
                <w:rFonts w:hint="eastAsia"/>
                <w:sz w:val="24"/>
              </w:rPr>
              <w:t>不予批准后再次申报项目</w:t>
            </w:r>
          </w:p>
          <w:p>
            <w:pPr>
              <w:adjustRightInd w:val="0"/>
              <w:snapToGrid w:val="0"/>
              <w:jc w:val="left"/>
              <w:rPr>
                <w:sz w:val="24"/>
              </w:rPr>
            </w:pPr>
            <w:r>
              <w:rPr>
                <w:rFonts w:hint="eastAsia"/>
                <w:sz w:val="24"/>
              </w:rPr>
              <w:sym w:font="Wingdings" w:char="00A8"/>
            </w:r>
            <w:r>
              <w:rPr>
                <w:rFonts w:hint="eastAsia"/>
                <w:sz w:val="24"/>
              </w:rPr>
              <w:t>超五年重新审核项目</w:t>
            </w:r>
          </w:p>
          <w:p>
            <w:pPr>
              <w:adjustRightInd w:val="0"/>
              <w:snapToGrid w:val="0"/>
              <w:rPr>
                <w:sz w:val="24"/>
              </w:rPr>
            </w:pPr>
            <w:r>
              <w:rPr>
                <w:rFonts w:hint="eastAsia"/>
                <w:sz w:val="24"/>
              </w:rPr>
              <w:sym w:font="Wingdings" w:char="00A8"/>
            </w:r>
            <w:r>
              <w:rPr>
                <w:rFonts w:hint="eastAsia"/>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项目审批（核准/</w:t>
            </w:r>
          </w:p>
          <w:p>
            <w:pPr>
              <w:adjustRightInd w:val="0"/>
              <w:snapToGrid w:val="0"/>
              <w:jc w:val="center"/>
              <w:rPr>
                <w:sz w:val="24"/>
              </w:rPr>
            </w:pPr>
            <w:r>
              <w:rPr>
                <w:rFonts w:hint="eastAsia"/>
                <w:sz w:val="24"/>
              </w:rPr>
              <w:t>备案）部门（选填）</w:t>
            </w:r>
          </w:p>
        </w:tc>
        <w:tc>
          <w:tcPr>
            <w:tcW w:w="2878" w:type="dxa"/>
            <w:vAlign w:val="center"/>
          </w:tcPr>
          <w:p>
            <w:pPr>
              <w:adjustRightInd w:val="0"/>
              <w:snapToGrid w:val="0"/>
              <w:jc w:val="center"/>
              <w:rPr>
                <w:sz w:val="24"/>
              </w:rPr>
            </w:pPr>
            <w:r>
              <w:rPr>
                <w:rFonts w:hint="eastAsia"/>
                <w:sz w:val="24"/>
              </w:rPr>
              <w:t>同心县发展和改革局</w:t>
            </w:r>
          </w:p>
        </w:tc>
        <w:tc>
          <w:tcPr>
            <w:tcW w:w="2157" w:type="dxa"/>
            <w:vAlign w:val="center"/>
          </w:tcPr>
          <w:p>
            <w:pPr>
              <w:adjustRightInd w:val="0"/>
              <w:snapToGrid w:val="0"/>
              <w:jc w:val="center"/>
              <w:rPr>
                <w:sz w:val="24"/>
              </w:rPr>
            </w:pPr>
            <w:r>
              <w:rPr>
                <w:rFonts w:hint="eastAsia"/>
                <w:sz w:val="24"/>
              </w:rPr>
              <w:t>项目审批（核准/</w:t>
            </w:r>
          </w:p>
          <w:p>
            <w:pPr>
              <w:adjustRightInd w:val="0"/>
              <w:snapToGrid w:val="0"/>
              <w:jc w:val="center"/>
              <w:rPr>
                <w:sz w:val="24"/>
              </w:rPr>
            </w:pPr>
            <w:r>
              <w:rPr>
                <w:rFonts w:hint="eastAsia"/>
                <w:sz w:val="24"/>
              </w:rPr>
              <w:t>备案）文号（选填）</w:t>
            </w:r>
          </w:p>
        </w:tc>
        <w:tc>
          <w:tcPr>
            <w:tcW w:w="2714" w:type="dxa"/>
            <w:gridSpan w:val="2"/>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总投资</w:t>
            </w:r>
          </w:p>
          <w:p>
            <w:pPr>
              <w:adjustRightInd w:val="0"/>
              <w:snapToGrid w:val="0"/>
              <w:jc w:val="center"/>
              <w:rPr>
                <w:sz w:val="24"/>
              </w:rPr>
            </w:pPr>
            <w:r>
              <w:rPr>
                <w:rFonts w:hint="eastAsia"/>
                <w:sz w:val="24"/>
              </w:rPr>
              <w:t>（万元）</w:t>
            </w:r>
          </w:p>
        </w:tc>
        <w:tc>
          <w:tcPr>
            <w:tcW w:w="2878" w:type="dxa"/>
            <w:vAlign w:val="center"/>
          </w:tcPr>
          <w:p>
            <w:pPr>
              <w:adjustRightInd w:val="0"/>
              <w:snapToGrid w:val="0"/>
              <w:jc w:val="center"/>
              <w:rPr>
                <w:sz w:val="24"/>
              </w:rPr>
            </w:pPr>
            <w:r>
              <w:rPr>
                <w:rFonts w:hint="eastAsia"/>
                <w:sz w:val="24"/>
              </w:rPr>
              <w:t>11000</w:t>
            </w:r>
          </w:p>
        </w:tc>
        <w:tc>
          <w:tcPr>
            <w:tcW w:w="2157" w:type="dxa"/>
            <w:tcMar>
              <w:top w:w="16" w:type="dxa"/>
              <w:left w:w="16" w:type="dxa"/>
              <w:right w:w="16" w:type="dxa"/>
            </w:tcMar>
            <w:vAlign w:val="center"/>
          </w:tcPr>
          <w:p>
            <w:pPr>
              <w:adjustRightInd w:val="0"/>
              <w:snapToGrid w:val="0"/>
              <w:jc w:val="center"/>
              <w:rPr>
                <w:sz w:val="24"/>
              </w:rPr>
            </w:pPr>
            <w:r>
              <w:rPr>
                <w:rFonts w:hint="eastAsia"/>
                <w:sz w:val="24"/>
              </w:rPr>
              <w:t>环保投资（万元）</w:t>
            </w:r>
          </w:p>
        </w:tc>
        <w:tc>
          <w:tcPr>
            <w:tcW w:w="2714" w:type="dxa"/>
            <w:gridSpan w:val="2"/>
            <w:vAlign w:val="center"/>
          </w:tcPr>
          <w:p>
            <w:pPr>
              <w:adjustRightInd w:val="0"/>
              <w:snapToGrid w:val="0"/>
              <w:jc w:val="center"/>
              <w:rPr>
                <w:sz w:val="24"/>
              </w:rPr>
            </w:pPr>
            <w:r>
              <w:rPr>
                <w:rFonts w:hint="eastAsia"/>
                <w:sz w:val="24"/>
              </w:rPr>
              <w:t>1499.8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环保投资</w:t>
            </w:r>
          </w:p>
          <w:p>
            <w:pPr>
              <w:adjustRightInd w:val="0"/>
              <w:snapToGrid w:val="0"/>
              <w:jc w:val="center"/>
              <w:rPr>
                <w:sz w:val="24"/>
              </w:rPr>
            </w:pPr>
            <w:r>
              <w:rPr>
                <w:rFonts w:hint="eastAsia"/>
                <w:sz w:val="24"/>
              </w:rPr>
              <w:t>占比（%）</w:t>
            </w:r>
          </w:p>
        </w:tc>
        <w:tc>
          <w:tcPr>
            <w:tcW w:w="2878" w:type="dxa"/>
            <w:vAlign w:val="center"/>
          </w:tcPr>
          <w:p>
            <w:pPr>
              <w:adjustRightInd w:val="0"/>
              <w:snapToGrid w:val="0"/>
              <w:jc w:val="center"/>
              <w:rPr>
                <w:sz w:val="24"/>
              </w:rPr>
            </w:pPr>
            <w:r>
              <w:rPr>
                <w:rFonts w:hint="eastAsia"/>
                <w:sz w:val="24"/>
              </w:rPr>
              <w:t>13.6</w:t>
            </w:r>
          </w:p>
        </w:tc>
        <w:tc>
          <w:tcPr>
            <w:tcW w:w="2157" w:type="dxa"/>
            <w:tcMar>
              <w:top w:w="16" w:type="dxa"/>
              <w:left w:w="16" w:type="dxa"/>
              <w:right w:w="16" w:type="dxa"/>
            </w:tcMar>
            <w:vAlign w:val="center"/>
          </w:tcPr>
          <w:p>
            <w:pPr>
              <w:adjustRightInd w:val="0"/>
              <w:snapToGrid w:val="0"/>
              <w:jc w:val="center"/>
              <w:rPr>
                <w:sz w:val="24"/>
              </w:rPr>
            </w:pPr>
            <w:r>
              <w:rPr>
                <w:rFonts w:hint="eastAsia"/>
                <w:sz w:val="24"/>
              </w:rPr>
              <w:t>施工工期（月）</w:t>
            </w:r>
          </w:p>
        </w:tc>
        <w:tc>
          <w:tcPr>
            <w:tcW w:w="2714" w:type="dxa"/>
            <w:gridSpan w:val="2"/>
            <w:vAlign w:val="center"/>
          </w:tcPr>
          <w:p>
            <w:pPr>
              <w:adjustRightInd w:val="0"/>
              <w:snapToGrid w:val="0"/>
              <w:jc w:val="center"/>
              <w:rPr>
                <w:sz w:val="24"/>
              </w:rPr>
            </w:pPr>
            <w:r>
              <w:rPr>
                <w:rFonts w:hint="eastAsia"/>
                <w:sz w:val="24"/>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8" w:hRule="atLeast"/>
        </w:trPr>
        <w:tc>
          <w:tcPr>
            <w:tcW w:w="1257" w:type="dxa"/>
            <w:tcMar>
              <w:top w:w="16" w:type="dxa"/>
              <w:left w:w="16" w:type="dxa"/>
              <w:right w:w="16" w:type="dxa"/>
            </w:tcMar>
            <w:vAlign w:val="center"/>
          </w:tcPr>
          <w:p>
            <w:pPr>
              <w:adjustRightInd w:val="0"/>
              <w:snapToGrid w:val="0"/>
              <w:jc w:val="center"/>
              <w:rPr>
                <w:sz w:val="24"/>
              </w:rPr>
            </w:pPr>
            <w:r>
              <w:rPr>
                <w:rFonts w:hint="eastAsia"/>
                <w:sz w:val="24"/>
              </w:rPr>
              <w:t>是否开工</w:t>
            </w:r>
          </w:p>
          <w:p>
            <w:pPr>
              <w:adjustRightInd w:val="0"/>
              <w:snapToGrid w:val="0"/>
              <w:jc w:val="center"/>
              <w:rPr>
                <w:sz w:val="24"/>
              </w:rPr>
            </w:pPr>
            <w:r>
              <w:rPr>
                <w:rFonts w:hint="eastAsia"/>
                <w:sz w:val="24"/>
              </w:rPr>
              <w:t>建设</w:t>
            </w:r>
          </w:p>
        </w:tc>
        <w:tc>
          <w:tcPr>
            <w:tcW w:w="7749" w:type="dxa"/>
            <w:gridSpan w:val="4"/>
            <w:vAlign w:val="center"/>
          </w:tcPr>
          <w:p>
            <w:pPr>
              <w:adjustRightInd w:val="0"/>
              <w:snapToGrid w:val="0"/>
              <w:ind w:firstLine="105"/>
              <w:jc w:val="left"/>
              <w:rPr>
                <w:sz w:val="24"/>
              </w:rPr>
            </w:pPr>
            <w:r>
              <w:rPr>
                <w:rFonts w:hint="eastAsia"/>
                <w:sz w:val="24"/>
              </w:rPr>
              <w:sym w:font="Wingdings" w:char="00FE"/>
            </w:r>
            <w:r>
              <w:rPr>
                <w:rFonts w:hint="eastAsia"/>
                <w:sz w:val="24"/>
              </w:rPr>
              <w:t>否</w:t>
            </w:r>
          </w:p>
          <w:p>
            <w:pPr>
              <w:adjustRightInd w:val="0"/>
              <w:snapToGrid w:val="0"/>
              <w:ind w:firstLine="92"/>
              <w:jc w:val="left"/>
              <w:rPr>
                <w:sz w:val="24"/>
              </w:rPr>
            </w:pPr>
            <w:r>
              <w:rPr>
                <w:rFonts w:hint="eastAsia"/>
                <w:sz w:val="24"/>
              </w:rPr>
              <w:sym w:font="Wingdings" w:char="00A8"/>
            </w:r>
            <w:r>
              <w:rPr>
                <w:rFonts w:hint="eastAsia"/>
                <w:sz w:val="24"/>
              </w:rPr>
              <w:t>是：</w:t>
            </w:r>
            <w:r>
              <w:rPr>
                <w:rFonts w:hint="eastAsia"/>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7" w:hRule="atLeast"/>
        </w:trPr>
        <w:tc>
          <w:tcPr>
            <w:tcW w:w="1257" w:type="dxa"/>
            <w:tcMar>
              <w:top w:w="16" w:type="dxa"/>
              <w:left w:w="16" w:type="dxa"/>
              <w:right w:w="16" w:type="dxa"/>
            </w:tcMar>
            <w:vAlign w:val="center"/>
          </w:tcPr>
          <w:p>
            <w:pPr>
              <w:autoSpaceDE w:val="0"/>
              <w:autoSpaceDN w:val="0"/>
              <w:adjustRightInd w:val="0"/>
              <w:snapToGrid w:val="0"/>
              <w:jc w:val="center"/>
              <w:rPr>
                <w:kern w:val="0"/>
                <w:sz w:val="24"/>
              </w:rPr>
            </w:pPr>
            <w:r>
              <w:rPr>
                <w:rFonts w:hint="eastAsia"/>
                <w:kern w:val="0"/>
                <w:sz w:val="24"/>
              </w:rPr>
              <w:t>专项评价设置情况</w:t>
            </w:r>
          </w:p>
        </w:tc>
        <w:tc>
          <w:tcPr>
            <w:tcW w:w="7749" w:type="dxa"/>
            <w:gridSpan w:val="4"/>
            <w:tcMar>
              <w:top w:w="16" w:type="dxa"/>
              <w:left w:w="16" w:type="dxa"/>
              <w:right w:w="16" w:type="dxa"/>
            </w:tcMar>
            <w:vAlign w:val="center"/>
          </w:tcPr>
          <w:p>
            <w:pPr>
              <w:pStyle w:val="47"/>
              <w:ind w:firstLine="480"/>
              <w:rPr>
                <w:color w:val="auto"/>
              </w:rPr>
            </w:pPr>
            <w:r>
              <w:rPr>
                <w:rFonts w:hint="eastAsia"/>
                <w:color w:val="auto"/>
              </w:rPr>
              <w:t>根据《建设项目环境影响报告表编制技术指南（生态影响类）》（试行）中表</w:t>
            </w:r>
            <w:r>
              <w:rPr>
                <w:rFonts w:hint="eastAsia" w:ascii="TimesNewRomanPSMT" w:hAnsi="TimesNewRomanPSMT" w:eastAsia="TimesNewRomanPSMT"/>
                <w:color w:val="auto"/>
              </w:rPr>
              <w:t>1</w:t>
            </w:r>
            <w:r>
              <w:rPr>
                <w:rFonts w:hint="eastAsia"/>
                <w:color w:val="auto"/>
              </w:rPr>
              <w:t>的专项评价设置原则表，本项目为非金属矿采选业，不属于设置专项评价的项目。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1257" w:type="dxa"/>
            <w:tcMar>
              <w:top w:w="16" w:type="dxa"/>
              <w:left w:w="16" w:type="dxa"/>
              <w:right w:w="16" w:type="dxa"/>
            </w:tcMar>
            <w:vAlign w:val="center"/>
          </w:tcPr>
          <w:p>
            <w:pPr>
              <w:autoSpaceDE w:val="0"/>
              <w:autoSpaceDN w:val="0"/>
              <w:adjustRightInd w:val="0"/>
              <w:snapToGrid w:val="0"/>
              <w:jc w:val="center"/>
              <w:rPr>
                <w:kern w:val="0"/>
                <w:sz w:val="24"/>
              </w:rPr>
            </w:pPr>
            <w:r>
              <w:rPr>
                <w:rFonts w:hint="eastAsia"/>
                <w:sz w:val="24"/>
              </w:rPr>
              <w:t>规划情况</w:t>
            </w:r>
          </w:p>
        </w:tc>
        <w:tc>
          <w:tcPr>
            <w:tcW w:w="7749" w:type="dxa"/>
            <w:gridSpan w:val="4"/>
            <w:tcMar>
              <w:top w:w="16" w:type="dxa"/>
              <w:left w:w="16" w:type="dxa"/>
              <w:right w:w="16" w:type="dxa"/>
            </w:tcMar>
            <w:vAlign w:val="center"/>
          </w:tcPr>
          <w:p>
            <w:pPr>
              <w:pStyle w:val="47"/>
              <w:ind w:firstLine="0" w:firstLineChars="0"/>
              <w:rPr>
                <w:color w:val="auto"/>
              </w:rPr>
            </w:pPr>
            <w:r>
              <w:rPr>
                <w:rFonts w:hint="eastAsia"/>
                <w:color w:val="auto"/>
              </w:rPr>
              <w:t>宁夏回族自治区自然资源厅《</w:t>
            </w:r>
            <w:bookmarkStart w:id="0" w:name="_Hlk126843862"/>
            <w:r>
              <w:rPr>
                <w:rFonts w:hint="eastAsia"/>
                <w:color w:val="auto"/>
              </w:rPr>
              <w:t>宁夏回族自治区矿产资源总体规划</w:t>
            </w:r>
            <w:bookmarkEnd w:id="0"/>
            <w:r>
              <w:rPr>
                <w:rFonts w:hint="eastAsia"/>
                <w:color w:val="auto"/>
              </w:rPr>
              <w:t>（2021-2025年）》2022年</w:t>
            </w:r>
            <w:r>
              <w:rPr>
                <w:color w:val="auto"/>
              </w:rPr>
              <w:t>12</w:t>
            </w:r>
            <w:r>
              <w:rPr>
                <w:rFonts w:hint="eastAsia"/>
                <w:color w:val="auto"/>
              </w:rPr>
              <w:t>月1</w:t>
            </w:r>
            <w:r>
              <w:rPr>
                <w:color w:val="auto"/>
              </w:rPr>
              <w:t>9</w:t>
            </w:r>
            <w:r>
              <w:rPr>
                <w:rFonts w:hint="eastAsia"/>
                <w:color w:val="auto"/>
              </w:rPr>
              <w:t>日发布；</w:t>
            </w:r>
          </w:p>
          <w:p>
            <w:pPr>
              <w:pStyle w:val="47"/>
              <w:ind w:firstLine="480"/>
              <w:rPr>
                <w:color w:val="auto"/>
              </w:rPr>
            </w:pPr>
            <w:r>
              <w:rPr>
                <w:rFonts w:hint="eastAsia"/>
                <w:color w:val="auto"/>
              </w:rPr>
              <w:t>吴忠市人民政府办公室《吴忠市矿产资源总体规划（2021-2025）》2022年</w:t>
            </w:r>
            <w:r>
              <w:rPr>
                <w:color w:val="auto"/>
              </w:rPr>
              <w:t>11</w:t>
            </w:r>
            <w:r>
              <w:rPr>
                <w:rFonts w:hint="eastAsia"/>
                <w:color w:val="auto"/>
              </w:rPr>
              <w:t>月</w:t>
            </w:r>
            <w:r>
              <w:rPr>
                <w:color w:val="auto"/>
              </w:rPr>
              <w:t>20</w:t>
            </w:r>
            <w:r>
              <w:rPr>
                <w:rFonts w:hint="eastAsia"/>
                <w:color w:val="auto"/>
              </w:rPr>
              <w:t>日发布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7" w:type="dxa"/>
            <w:tcMar>
              <w:top w:w="16" w:type="dxa"/>
              <w:left w:w="16" w:type="dxa"/>
              <w:right w:w="16" w:type="dxa"/>
            </w:tcMar>
            <w:vAlign w:val="center"/>
          </w:tcPr>
          <w:p>
            <w:pPr>
              <w:autoSpaceDE w:val="0"/>
              <w:autoSpaceDN w:val="0"/>
              <w:adjustRightInd w:val="0"/>
              <w:snapToGrid w:val="0"/>
              <w:jc w:val="center"/>
              <w:rPr>
                <w:sz w:val="24"/>
              </w:rPr>
            </w:pPr>
            <w:r>
              <w:rPr>
                <w:rFonts w:hint="eastAsia"/>
                <w:sz w:val="24"/>
              </w:rPr>
              <w:t>规划环境影响评价情况</w:t>
            </w:r>
          </w:p>
        </w:tc>
        <w:tc>
          <w:tcPr>
            <w:tcW w:w="7749" w:type="dxa"/>
            <w:gridSpan w:val="4"/>
            <w:tcMar>
              <w:top w:w="16" w:type="dxa"/>
              <w:left w:w="16" w:type="dxa"/>
              <w:right w:w="16" w:type="dxa"/>
            </w:tcMar>
            <w:vAlign w:val="center"/>
          </w:tcPr>
          <w:p>
            <w:pPr>
              <w:pStyle w:val="47"/>
              <w:ind w:firstLine="480"/>
              <w:rPr>
                <w:color w:val="auto"/>
              </w:rPr>
            </w:pPr>
            <w:r>
              <w:rPr>
                <w:rFonts w:hint="eastAsia"/>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7" w:type="dxa"/>
            <w:tcMar>
              <w:top w:w="16" w:type="dxa"/>
              <w:left w:w="16" w:type="dxa"/>
              <w:right w:w="16" w:type="dxa"/>
            </w:tcMar>
            <w:vAlign w:val="center"/>
          </w:tcPr>
          <w:p>
            <w:pPr>
              <w:autoSpaceDE w:val="0"/>
              <w:autoSpaceDN w:val="0"/>
              <w:adjustRightInd w:val="0"/>
              <w:snapToGrid w:val="0"/>
              <w:jc w:val="center"/>
              <w:rPr>
                <w:kern w:val="0"/>
                <w:sz w:val="24"/>
              </w:rPr>
            </w:pPr>
            <w:r>
              <w:rPr>
                <w:rFonts w:hint="eastAsia"/>
                <w:kern w:val="0"/>
                <w:sz w:val="24"/>
              </w:rPr>
              <w:t>规划及</w:t>
            </w:r>
            <w:r>
              <w:rPr>
                <w:rFonts w:hint="eastAsia"/>
                <w:sz w:val="24"/>
              </w:rPr>
              <w:t>规划环境影响评价</w:t>
            </w:r>
            <w:r>
              <w:rPr>
                <w:rFonts w:hint="eastAsia"/>
                <w:kern w:val="0"/>
                <w:sz w:val="24"/>
              </w:rPr>
              <w:t>符合性分析</w:t>
            </w:r>
          </w:p>
        </w:tc>
        <w:tc>
          <w:tcPr>
            <w:tcW w:w="7749" w:type="dxa"/>
            <w:gridSpan w:val="4"/>
            <w:tcMar>
              <w:top w:w="16" w:type="dxa"/>
              <w:left w:w="16" w:type="dxa"/>
              <w:right w:w="16" w:type="dxa"/>
            </w:tcMar>
            <w:vAlign w:val="center"/>
          </w:tcPr>
          <w:p>
            <w:pPr>
              <w:pStyle w:val="47"/>
              <w:ind w:firstLine="482"/>
              <w:rPr>
                <w:b/>
                <w:bCs/>
                <w:color w:val="auto"/>
              </w:rPr>
            </w:pPr>
            <w:r>
              <w:rPr>
                <w:rFonts w:hint="eastAsia"/>
                <w:b/>
                <w:bCs/>
                <w:color w:val="auto"/>
              </w:rPr>
              <w:t>1、项目与《宁夏回族自治区矿产资源总体规划（2021-2025年）》的符合性分析</w:t>
            </w:r>
          </w:p>
          <w:p>
            <w:pPr>
              <w:pStyle w:val="47"/>
              <w:ind w:firstLine="480"/>
              <w:rPr>
                <w:color w:val="auto"/>
              </w:rPr>
            </w:pPr>
            <w:r>
              <w:rPr>
                <w:rFonts w:hint="eastAsia"/>
                <w:color w:val="auto"/>
              </w:rPr>
              <w:t>根据《宁夏回族自治区矿产资源总体规划（20</w:t>
            </w:r>
            <w:r>
              <w:rPr>
                <w:rFonts w:hint="eastAsia" w:ascii="Calibri"/>
                <w:color w:val="auto"/>
              </w:rPr>
              <w:t>21</w:t>
            </w:r>
            <w:r>
              <w:rPr>
                <w:rFonts w:hint="eastAsia"/>
                <w:color w:val="auto"/>
              </w:rPr>
              <w:t>-202</w:t>
            </w:r>
            <w:r>
              <w:rPr>
                <w:rFonts w:hint="eastAsia" w:ascii="Calibri"/>
                <w:color w:val="auto"/>
              </w:rPr>
              <w:t>5</w:t>
            </w:r>
            <w:r>
              <w:rPr>
                <w:rFonts w:hint="eastAsia"/>
                <w:color w:val="auto"/>
              </w:rPr>
              <w:t>年）》，科学设置开采规划区块，分级分类确定开采规划区块。按照区、市、县三级管理职责，合理设置开采规划区块范围，统一纳入全区矿产资源规划数据库。规划期内共设置开采规划区块59个，其中：煤炭开采规划区块26个，非煤矿产开采规划区块33个。铜、冶镁白云岩、岩盐根据产业政策、市场需求、资源环境承载能力等动态投放采矿权。本项目为冶镁白云岩开采项目，目前宁夏东义镁业有限公司持有“宁夏吴忠市青龙山北段杜家圈南冶镁白云岩勘探”探矿权（见附件四），探矿许可证号：T64420130202047274；有效期限为202</w:t>
            </w:r>
            <w:r>
              <w:rPr>
                <w:color w:val="auto"/>
              </w:rPr>
              <w:t>2</w:t>
            </w:r>
            <w:r>
              <w:rPr>
                <w:rFonts w:hint="eastAsia"/>
                <w:color w:val="auto"/>
              </w:rPr>
              <w:t>年</w:t>
            </w:r>
            <w:r>
              <w:rPr>
                <w:color w:val="auto"/>
              </w:rPr>
              <w:t>3</w:t>
            </w:r>
            <w:r>
              <w:rPr>
                <w:rFonts w:hint="eastAsia"/>
                <w:color w:val="auto"/>
              </w:rPr>
              <w:t>月</w:t>
            </w:r>
            <w:r>
              <w:rPr>
                <w:color w:val="auto"/>
              </w:rPr>
              <w:t>15</w:t>
            </w:r>
            <w:r>
              <w:rPr>
                <w:rFonts w:hint="eastAsia"/>
                <w:color w:val="auto"/>
              </w:rPr>
              <w:t>日～202</w:t>
            </w:r>
            <w:r>
              <w:rPr>
                <w:color w:val="auto"/>
              </w:rPr>
              <w:t>4</w:t>
            </w:r>
            <w:r>
              <w:rPr>
                <w:rFonts w:hint="eastAsia"/>
                <w:color w:val="auto"/>
              </w:rPr>
              <w:t>年</w:t>
            </w:r>
            <w:r>
              <w:rPr>
                <w:color w:val="auto"/>
              </w:rPr>
              <w:t>3</w:t>
            </w:r>
            <w:r>
              <w:rPr>
                <w:rFonts w:hint="eastAsia"/>
                <w:color w:val="auto"/>
              </w:rPr>
              <w:t>月</w:t>
            </w:r>
            <w:r>
              <w:rPr>
                <w:color w:val="auto"/>
              </w:rPr>
              <w:t>15</w:t>
            </w:r>
            <w:r>
              <w:rPr>
                <w:rFonts w:hint="eastAsia"/>
                <w:color w:val="auto"/>
              </w:rPr>
              <w:t>日，符合《宁夏回族自治区矿产资源总体规划（20</w:t>
            </w:r>
            <w:r>
              <w:rPr>
                <w:rFonts w:hint="eastAsia" w:ascii="Calibri"/>
                <w:color w:val="auto"/>
              </w:rPr>
              <w:t>21</w:t>
            </w:r>
            <w:r>
              <w:rPr>
                <w:rFonts w:hint="eastAsia"/>
                <w:color w:val="auto"/>
              </w:rPr>
              <w:t>-202</w:t>
            </w:r>
            <w:r>
              <w:rPr>
                <w:rFonts w:hint="eastAsia" w:ascii="Calibri"/>
                <w:color w:val="auto"/>
              </w:rPr>
              <w:t>5</w:t>
            </w:r>
            <w:r>
              <w:rPr>
                <w:rFonts w:hint="eastAsia"/>
                <w:color w:val="auto"/>
              </w:rPr>
              <w:t>年）》规划要求。</w:t>
            </w:r>
          </w:p>
          <w:p>
            <w:pPr>
              <w:pStyle w:val="47"/>
              <w:ind w:firstLine="480"/>
              <w:rPr>
                <w:color w:val="auto"/>
              </w:rPr>
            </w:pPr>
            <w:r>
              <w:rPr>
                <w:rFonts w:hint="eastAsia"/>
                <w:color w:val="auto"/>
              </w:rPr>
              <w:t>五、大力推进矿产资源保护开发利用</w:t>
            </w:r>
          </w:p>
          <w:p>
            <w:pPr>
              <w:pStyle w:val="47"/>
              <w:ind w:firstLine="480"/>
              <w:rPr>
                <w:color w:val="auto"/>
              </w:rPr>
            </w:pPr>
            <w:r>
              <w:rPr>
                <w:rFonts w:hint="eastAsia"/>
                <w:color w:val="auto"/>
              </w:rPr>
              <w:t>（四）促进资源节约集约利用:提升矿产资源“三率”水平。严格执行国家颁布的矿产“三率”指标要求，二类矿产露天开采回采率达到95%以上，综合利用率达到90%以上。根据本项目开发利用方案，项目露天开采原矿采出率为9</w:t>
            </w:r>
            <w:r>
              <w:rPr>
                <w:color w:val="auto"/>
              </w:rPr>
              <w:t>5%</w:t>
            </w:r>
            <w:r>
              <w:rPr>
                <w:rFonts w:hint="eastAsia"/>
                <w:color w:val="auto"/>
              </w:rPr>
              <w:t>，废石混入率5</w:t>
            </w:r>
            <w:r>
              <w:rPr>
                <w:color w:val="auto"/>
              </w:rPr>
              <w:t>%</w:t>
            </w:r>
            <w:r>
              <w:rPr>
                <w:rFonts w:hint="eastAsia"/>
                <w:color w:val="auto"/>
              </w:rPr>
              <w:t>，综合利用率1</w:t>
            </w:r>
            <w:r>
              <w:rPr>
                <w:color w:val="auto"/>
              </w:rPr>
              <w:t>00%</w:t>
            </w:r>
            <w:r>
              <w:rPr>
                <w:rFonts w:hint="eastAsia"/>
                <w:color w:val="auto"/>
              </w:rPr>
              <w:t>，达到矿产资源“三率”水平。</w:t>
            </w:r>
          </w:p>
          <w:p>
            <w:pPr>
              <w:pStyle w:val="47"/>
              <w:ind w:firstLine="480"/>
              <w:rPr>
                <w:color w:val="auto"/>
              </w:rPr>
            </w:pPr>
            <w:r>
              <w:rPr>
                <w:rFonts w:hint="eastAsia"/>
                <w:color w:val="auto"/>
              </w:rPr>
              <w:t>严控矿产资源开发利用规模结构。新建非煤矿山必须符合自治区最低生产建设规模和服务年限标准，至规划期末大中型矿山比例较规划基期显著提升。项目设计规模为年产冶镁白云岩矿50万t，服务总年限为66.</w:t>
            </w:r>
            <w:r>
              <w:rPr>
                <w:color w:val="auto"/>
              </w:rPr>
              <w:t>9</w:t>
            </w:r>
            <w:r>
              <w:rPr>
                <w:rFonts w:hint="eastAsia"/>
                <w:color w:val="auto"/>
              </w:rPr>
              <w:t>年（其中露天开采5.</w:t>
            </w:r>
            <w:r>
              <w:rPr>
                <w:color w:val="auto"/>
              </w:rPr>
              <w:t>5</w:t>
            </w:r>
            <w:r>
              <w:rPr>
                <w:rFonts w:hint="eastAsia"/>
                <w:color w:val="auto"/>
              </w:rPr>
              <w:t>年，地下开采61.4年），不低于《宁夏回族自治区非煤矿山最低生产建设规模及服务年限标准（修订）》的冶镁白云岩最低生产规模（万吨/年）50万t/a，最低服务年限20年相关规定。</w:t>
            </w:r>
          </w:p>
          <w:p>
            <w:pPr>
              <w:pStyle w:val="47"/>
              <w:ind w:firstLine="480"/>
              <w:rPr>
                <w:color w:val="auto"/>
              </w:rPr>
            </w:pPr>
            <w:r>
              <w:rPr>
                <w:rFonts w:hint="eastAsia"/>
                <w:color w:val="auto"/>
              </w:rPr>
              <w:t>六、全面推进矿业绿色发展</w:t>
            </w:r>
          </w:p>
          <w:p>
            <w:pPr>
              <w:pStyle w:val="47"/>
              <w:ind w:firstLine="480"/>
              <w:rPr>
                <w:color w:val="auto"/>
              </w:rPr>
            </w:pPr>
            <w:r>
              <w:rPr>
                <w:rFonts w:hint="eastAsia"/>
                <w:color w:val="auto"/>
              </w:rPr>
              <w:t>（二）推进建设绿色矿山：围绕依法办矿、矿容矿貌及生态环境保护、资源开发及综合利用、企业管理及矿地和谐、科技创新及智慧矿山建设等方面，严格执行国家和自治区相关标准，积极引导推进绿色矿山建设。</w:t>
            </w:r>
          </w:p>
          <w:p>
            <w:pPr>
              <w:pStyle w:val="47"/>
              <w:ind w:firstLine="480"/>
              <w:rPr>
                <w:color w:val="auto"/>
              </w:rPr>
            </w:pPr>
            <w:r>
              <w:rPr>
                <w:rFonts w:hint="eastAsia"/>
                <w:color w:val="auto"/>
              </w:rPr>
              <w:t>（三）强化生态保护修复：新建矿山实行严格的环境准入，拟出让矿业权须符合国家和自治区国土空间规划、矿产资源规划，以及耕地保护、生态环境保护、产业政策等相关要求，严格实行环境影响评价和地质灾害危险性评估，明确采矿权人保护矿山生态环境的责任与义务。在建、生产矿山须严格按批准的开发利用方案、矿山地质环境保护与土地复垦方案要求，开展采掘活动和生态环境保护，履行矿山生态保护治理和监测主体责任。关闭矿山限期履行生态环境治理恢复义务，加强采空区和不稳定边坡的地质灾害防治、堆场的清理复绿、采场和裸露边坡的复绿、矿坑废水的污染治理等。</w:t>
            </w:r>
          </w:p>
          <w:p>
            <w:pPr>
              <w:pStyle w:val="47"/>
              <w:ind w:firstLine="480"/>
              <w:rPr>
                <w:color w:val="auto"/>
              </w:rPr>
            </w:pPr>
            <w:r>
              <w:rPr>
                <w:rFonts w:hint="eastAsia"/>
                <w:color w:val="auto"/>
              </w:rPr>
              <w:t>项目按照《宁夏砂石土矿绿色矿山建设规范》（DB64/T 1750-2020）和《宁夏非金属矿绿色矿山建设规范》（DB64/T 1751-2020）要求建设，严格实行环境影响评价和地质灾害危险性评估，项目严格按照已编制的矿山开发利用方案和矿山地质环境保护与土地复垦方案开展采掘活动和生态环境保护，履行矿山生态保护治理和监测主体责任，关闭矿山限期履行生态环境治理恢复义务，加强采空区和不稳定边坡的地质灾害防治、堆场的清理复绿、采场和裸露边坡的复绿、矿坑废水的污染治理等。</w:t>
            </w:r>
          </w:p>
          <w:p>
            <w:pPr>
              <w:pStyle w:val="47"/>
              <w:ind w:firstLine="480"/>
              <w:rPr>
                <w:color w:val="auto"/>
              </w:rPr>
            </w:pPr>
            <w:r>
              <w:rPr>
                <w:rFonts w:hint="eastAsia"/>
                <w:color w:val="auto"/>
              </w:rPr>
              <w:t>综上，项目符合《宁夏回族自治区矿产资源总体规划（2021-2025年）》要求。</w:t>
            </w:r>
          </w:p>
          <w:p>
            <w:pPr>
              <w:pStyle w:val="47"/>
              <w:ind w:firstLine="482"/>
              <w:rPr>
                <w:b/>
                <w:bCs/>
                <w:color w:val="auto"/>
              </w:rPr>
            </w:pPr>
            <w:r>
              <w:rPr>
                <w:rFonts w:hint="eastAsia"/>
                <w:b/>
                <w:bCs/>
                <w:color w:val="auto"/>
              </w:rPr>
              <w:t>2、项目与《吴忠市矿产资源总体规划（</w:t>
            </w:r>
            <w:r>
              <w:rPr>
                <w:b/>
                <w:bCs/>
                <w:color w:val="auto"/>
              </w:rPr>
              <w:t>2021-2025</w:t>
            </w:r>
            <w:r>
              <w:rPr>
                <w:rFonts w:hint="eastAsia"/>
                <w:b/>
                <w:bCs/>
                <w:color w:val="auto"/>
              </w:rPr>
              <w:t>）》相符性分析</w:t>
            </w:r>
          </w:p>
          <w:p>
            <w:pPr>
              <w:pStyle w:val="47"/>
              <w:ind w:firstLine="480"/>
              <w:rPr>
                <w:color w:val="auto"/>
              </w:rPr>
            </w:pPr>
            <w:r>
              <w:rPr>
                <w:rFonts w:hint="eastAsia" w:eastAsia="等线"/>
                <w:color w:val="auto"/>
              </w:rPr>
              <w:t>根据</w:t>
            </w:r>
            <w:r>
              <w:rPr>
                <w:rFonts w:hint="eastAsia"/>
                <w:color w:val="auto"/>
              </w:rPr>
              <w:t>《吴忠市矿产资源总体规划（</w:t>
            </w:r>
            <w:r>
              <w:rPr>
                <w:color w:val="auto"/>
              </w:rPr>
              <w:t>2021-2025</w:t>
            </w:r>
            <w:r>
              <w:rPr>
                <w:rFonts w:hint="eastAsia"/>
                <w:color w:val="auto"/>
              </w:rPr>
              <w:t>）》。四、规划布局（一）矿产资源勘查开采调控方向。重点开采：继续巩固资源潜力大、市场前景好、优势明显、经济效益高、开发过程中能够较好控制生态环境影响的煤炭、建材、化工类等优势矿产。重点开采镁（白云岩）、煤炭、石灰岩、石膏、砂石等矿产，在符合开采准入条件下，优先设置采矿权。（二）矿产资源产业重点发展区域。镁（白云岩）、石灰岩:将青龙山地区作为镁（白云岩）、石灰岩重点发展区域，推动太阳山新材料基地建设。（三）勘查与开采规划分区布局。矿产勘查方向。镁（白云岩）：提高青龙山东道梁冶镁白云岩勘查程度，保障太阳山新材料基地资源接续。</w:t>
            </w:r>
          </w:p>
          <w:p>
            <w:pPr>
              <w:pStyle w:val="47"/>
              <w:ind w:firstLine="480"/>
              <w:rPr>
                <w:color w:val="auto"/>
              </w:rPr>
            </w:pPr>
            <w:r>
              <w:rPr>
                <w:rFonts w:hint="eastAsia"/>
                <w:color w:val="auto"/>
              </w:rPr>
              <w:t>五、矿产资源开发利用与保护，（四）严格规划准入管理。</w:t>
            </w:r>
          </w:p>
          <w:p>
            <w:pPr>
              <w:pStyle w:val="47"/>
              <w:ind w:firstLine="480"/>
              <w:rPr>
                <w:color w:val="auto"/>
              </w:rPr>
            </w:pPr>
            <w:r>
              <w:rPr>
                <w:rFonts w:hint="eastAsia"/>
                <w:color w:val="auto"/>
              </w:rPr>
              <w:t>严格开采资格准入：具备营利法人资格，要有与生产规模相适应的资金及先进的工艺技术和设备，具备与矿山开采规模相适应的专业人员、技术和管理制度。采矿权人必须依法取得土地使用权，矿山范围内无权属争议。</w:t>
            </w:r>
          </w:p>
          <w:p>
            <w:pPr>
              <w:pStyle w:val="47"/>
              <w:ind w:firstLine="480"/>
              <w:rPr>
                <w:color w:val="auto"/>
              </w:rPr>
            </w:pPr>
            <w:r>
              <w:rPr>
                <w:rFonts w:hint="eastAsia"/>
                <w:color w:val="auto"/>
              </w:rPr>
              <w:t>严格开采规模准入：新建砂石土矿和小型非金属矿山设计规模和服务年限不得低于《宁夏回族自治区非煤矿山最低生产建设规模及服务年限标准（修订）》的相关规定。新建、改扩建和延续开采矿山必须满足和达到批准的矿山设计和自然资源管理部门提出的“三率”及废弃物回收利用的要求。</w:t>
            </w:r>
          </w:p>
          <w:p>
            <w:pPr>
              <w:pStyle w:val="47"/>
              <w:ind w:firstLine="480"/>
              <w:rPr>
                <w:color w:val="auto"/>
              </w:rPr>
            </w:pPr>
            <w:r>
              <w:rPr>
                <w:rFonts w:hint="eastAsia"/>
                <w:color w:val="auto"/>
              </w:rPr>
              <w:t>严格环境保护和安全生产准入：矿山建设前，必须严格落实环境影响评价制度和环境准入政策，编制环评文件，落实环境保护、生态恢复、综合治理措施。做到从源头上管控矿山开发环境问题。新建、改扩建和延续开采矿山必须符合矿山安全生产规定，进行安全预评价和现状评价，并具有相应的安全措施。</w:t>
            </w:r>
          </w:p>
          <w:p>
            <w:pPr>
              <w:pStyle w:val="47"/>
              <w:numPr>
                <w:ilvl w:val="0"/>
                <w:numId w:val="1"/>
              </w:numPr>
              <w:ind w:firstLineChars="0"/>
              <w:rPr>
                <w:color w:val="auto"/>
              </w:rPr>
            </w:pPr>
            <w:r>
              <w:rPr>
                <w:rFonts w:hint="eastAsia"/>
                <w:color w:val="auto"/>
              </w:rPr>
              <w:t>矿业绿色发展（三）加强生态修复</w:t>
            </w:r>
          </w:p>
          <w:p>
            <w:pPr>
              <w:pStyle w:val="47"/>
              <w:ind w:left="420" w:leftChars="200" w:firstLine="0" w:firstLineChars="0"/>
              <w:rPr>
                <w:color w:val="auto"/>
              </w:rPr>
            </w:pPr>
            <w:r>
              <w:rPr>
                <w:rFonts w:hint="eastAsia"/>
                <w:color w:val="auto"/>
              </w:rPr>
              <w:t>1、加强矿区生态环境保护修复</w:t>
            </w:r>
          </w:p>
          <w:p>
            <w:pPr>
              <w:pStyle w:val="47"/>
              <w:ind w:firstLine="480"/>
              <w:rPr>
                <w:color w:val="auto"/>
              </w:rPr>
            </w:pPr>
            <w:r>
              <w:rPr>
                <w:rFonts w:hint="eastAsia"/>
                <w:color w:val="auto"/>
              </w:rPr>
              <w:t>新建矿山：要充分论证其对环境的影响，采取有效的环境保护措施；要加强对生态环境脆弱区的保护，不得在禁止开采区和生态环境脆弱区开采非煤矿产资源；不得在铁路、主干公路两侧可视范围内进行露天开采；停止审批对生态环境有不可恢复破坏影响的非煤矿产资源开采项目。严格执行新建矿山环境影响评价制度、地质灾害危险性评估制度、矿山地质环境理恢复基金制度和“三同时”制度（矿山环境保护设施必须与矿山建设工程同时设计、同时施工、同时投入使用）</w:t>
            </w:r>
          </w:p>
          <w:p>
            <w:pPr>
              <w:pStyle w:val="47"/>
              <w:ind w:firstLine="480"/>
              <w:rPr>
                <w:color w:val="auto"/>
              </w:rPr>
            </w:pPr>
            <w:r>
              <w:rPr>
                <w:rFonts w:hint="eastAsia"/>
                <w:color w:val="auto"/>
              </w:rPr>
              <w:t>本项目位于同心县韦州乡青龙山北段杜家圈南，位于青龙山冶镁白云岩矿区，属于矿产资源源勘查开采重点开采方向，矿产资源产业重点发展区域，重点勘查区。年产冶镁白云岩矿50万t，破碎后外售。</w:t>
            </w:r>
          </w:p>
          <w:p>
            <w:pPr>
              <w:pStyle w:val="47"/>
              <w:ind w:firstLine="480"/>
              <w:rPr>
                <w:color w:val="auto"/>
              </w:rPr>
            </w:pPr>
            <w:r>
              <w:rPr>
                <w:rFonts w:hint="eastAsia"/>
                <w:color w:val="auto"/>
              </w:rPr>
              <w:t>项目具备营利法人资格，有与生产规模相适应的资金及先进的工艺技术和设备，具备与矿山开采规模相适应的专业人员、技术和管理制度。依法取得土地使用权，矿山范围内无权属争议。</w:t>
            </w:r>
          </w:p>
          <w:p>
            <w:pPr>
              <w:pStyle w:val="47"/>
              <w:ind w:firstLine="480"/>
              <w:rPr>
                <w:color w:val="auto"/>
              </w:rPr>
            </w:pPr>
            <w:r>
              <w:rPr>
                <w:rFonts w:hint="eastAsia"/>
                <w:color w:val="auto"/>
              </w:rPr>
              <w:t>项目设计规模为年产冶镁白云岩矿50万t，服务总年限为66.</w:t>
            </w:r>
            <w:r>
              <w:rPr>
                <w:color w:val="auto"/>
              </w:rPr>
              <w:t>9</w:t>
            </w:r>
            <w:r>
              <w:rPr>
                <w:rFonts w:hint="eastAsia"/>
                <w:color w:val="auto"/>
              </w:rPr>
              <w:t>年（其中露天开采5.</w:t>
            </w:r>
            <w:r>
              <w:rPr>
                <w:color w:val="auto"/>
              </w:rPr>
              <w:t>5</w:t>
            </w:r>
            <w:r>
              <w:rPr>
                <w:rFonts w:hint="eastAsia"/>
                <w:color w:val="auto"/>
              </w:rPr>
              <w:t>年，地下开采61.4年），不低于《宁夏回族自治区非煤矿山最低生产建设规模及服务年限标准（修订）》的冶镁白云岩最低生产规模（万吨/年）50万t/a，最低服务年限20年相关规定。根据本项目开发利用方案，项目露天开采原矿采出率为9</w:t>
            </w:r>
            <w:r>
              <w:rPr>
                <w:color w:val="auto"/>
              </w:rPr>
              <w:t>5%</w:t>
            </w:r>
            <w:r>
              <w:rPr>
                <w:rFonts w:hint="eastAsia"/>
                <w:color w:val="auto"/>
              </w:rPr>
              <w:t>，废石混入率5</w:t>
            </w:r>
            <w:r>
              <w:rPr>
                <w:color w:val="auto"/>
              </w:rPr>
              <w:t>%</w:t>
            </w:r>
            <w:r>
              <w:rPr>
                <w:rFonts w:hint="eastAsia"/>
                <w:color w:val="auto"/>
              </w:rPr>
              <w:t>，综合利用率1</w:t>
            </w:r>
            <w:r>
              <w:rPr>
                <w:color w:val="auto"/>
              </w:rPr>
              <w:t>00%</w:t>
            </w:r>
            <w:r>
              <w:rPr>
                <w:rFonts w:hint="eastAsia"/>
                <w:color w:val="auto"/>
              </w:rPr>
              <w:t>，矿山开采满足和达到批准的矿山设计和自然资源管理部门提出二类矿产露天开采回采率达到95%以上，综合利用率达到90%以上的“三率”及废弃物回收利用的要求。</w:t>
            </w:r>
          </w:p>
          <w:p>
            <w:pPr>
              <w:pStyle w:val="47"/>
              <w:ind w:firstLine="480"/>
              <w:rPr>
                <w:color w:val="auto"/>
              </w:rPr>
            </w:pPr>
            <w:r>
              <w:rPr>
                <w:rFonts w:hint="eastAsia"/>
                <w:color w:val="auto"/>
              </w:rPr>
              <w:t>本项目符合环境保护准入条件，不属于禁止开采区和生态环境脆弱区，矿山范围内及周边不存在军事设施、文物和纪念性建筑物、自然保护区、风景名胜区、铁路、公路、城镇、村落、输变电工程、通讯设施、能源输送管道、水库、河流、湖泊等。不在铁路、主干公路两侧直视可观范围内，项目严格执行新建矿山环境影响评价制度，采取有效的环境保护措施减少对环境的影响。</w:t>
            </w:r>
          </w:p>
          <w:p>
            <w:pPr>
              <w:pStyle w:val="47"/>
              <w:ind w:firstLine="480"/>
              <w:rPr>
                <w:color w:val="auto"/>
              </w:rPr>
            </w:pPr>
            <w:r>
              <w:rPr>
                <w:rFonts w:hint="eastAsia"/>
                <w:color w:val="auto"/>
              </w:rPr>
              <w:t>因此，项目符合《吴忠市矿产资源总体规划（</w:t>
            </w:r>
            <w:r>
              <w:rPr>
                <w:color w:val="auto"/>
              </w:rPr>
              <w:t>2021-2025</w:t>
            </w:r>
            <w:r>
              <w:rPr>
                <w:rFonts w:hint="eastAsia"/>
                <w:color w:val="auto"/>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7" w:type="dxa"/>
            <w:tcMar>
              <w:top w:w="16" w:type="dxa"/>
              <w:left w:w="16" w:type="dxa"/>
              <w:right w:w="16" w:type="dxa"/>
            </w:tcMar>
            <w:vAlign w:val="center"/>
          </w:tcPr>
          <w:p>
            <w:pPr>
              <w:autoSpaceDE w:val="0"/>
              <w:autoSpaceDN w:val="0"/>
              <w:adjustRightInd w:val="0"/>
              <w:snapToGrid w:val="0"/>
              <w:jc w:val="center"/>
              <w:rPr>
                <w:kern w:val="0"/>
                <w:sz w:val="24"/>
              </w:rPr>
            </w:pPr>
            <w:bookmarkStart w:id="1" w:name="_Hlk56690880"/>
            <w:r>
              <w:rPr>
                <w:rFonts w:hint="eastAsia"/>
                <w:kern w:val="0"/>
                <w:sz w:val="24"/>
              </w:rPr>
              <w:t>其他符合性分析</w:t>
            </w:r>
            <w:bookmarkEnd w:id="1"/>
          </w:p>
        </w:tc>
        <w:tc>
          <w:tcPr>
            <w:tcW w:w="7749" w:type="dxa"/>
            <w:gridSpan w:val="4"/>
            <w:tcMar>
              <w:top w:w="16" w:type="dxa"/>
              <w:left w:w="16" w:type="dxa"/>
              <w:right w:w="16" w:type="dxa"/>
            </w:tcMar>
            <w:vAlign w:val="center"/>
          </w:tcPr>
          <w:p>
            <w:pPr>
              <w:pStyle w:val="50"/>
              <w:ind w:firstLine="482"/>
              <w:rPr>
                <w:b/>
                <w:bCs/>
                <w:szCs w:val="24"/>
              </w:rPr>
            </w:pPr>
            <w:r>
              <w:rPr>
                <w:rFonts w:hint="eastAsia"/>
                <w:b/>
                <w:bCs/>
                <w:szCs w:val="24"/>
              </w:rPr>
              <w:t>1、项目的产业政策符合性</w:t>
            </w:r>
          </w:p>
          <w:p>
            <w:pPr>
              <w:pStyle w:val="50"/>
              <w:ind w:firstLine="480"/>
              <w:rPr>
                <w:szCs w:val="24"/>
              </w:rPr>
            </w:pPr>
            <w:r>
              <w:rPr>
                <w:rFonts w:hint="eastAsia"/>
              </w:rPr>
              <w:t>宁夏吴忠市青龙山北段杜家圈南冶镁白云岩矿项目，建设性质为新建，开采矿种为冶镁白云岩矿。根据《产业结构调整指导目录（2019年本）》（发展和改革委员会令第29号）中相关分类，本项目不属于“鼓励类”、“限制类”及“淘汰类”项目，属于允许建设类项目。同时，项目建设已得到同心县发展和改革局项目备案证</w:t>
            </w:r>
            <w:r>
              <w:rPr>
                <w:rFonts w:hint="eastAsia"/>
                <w:szCs w:val="24"/>
              </w:rPr>
              <w:t>。</w:t>
            </w:r>
          </w:p>
          <w:p>
            <w:pPr>
              <w:pStyle w:val="50"/>
              <w:ind w:firstLine="482"/>
              <w:rPr>
                <w:b/>
                <w:bCs/>
                <w:szCs w:val="24"/>
              </w:rPr>
            </w:pPr>
            <w:r>
              <w:rPr>
                <w:rFonts w:hint="eastAsia"/>
                <w:b/>
                <w:bCs/>
                <w:szCs w:val="24"/>
              </w:rPr>
              <w:t>2、与“三线一单”符合性分析</w:t>
            </w:r>
          </w:p>
          <w:p>
            <w:pPr>
              <w:pStyle w:val="50"/>
              <w:ind w:firstLine="480"/>
              <w:rPr>
                <w:szCs w:val="24"/>
              </w:rPr>
            </w:pPr>
            <w:r>
              <w:rPr>
                <w:rFonts w:hint="eastAsia"/>
                <w:szCs w:val="24"/>
              </w:rPr>
              <w:t>（1）生态红线符合性分析</w:t>
            </w:r>
          </w:p>
          <w:p>
            <w:pPr>
              <w:pStyle w:val="50"/>
              <w:ind w:firstLine="480"/>
              <w:rPr>
                <w:szCs w:val="24"/>
              </w:rPr>
            </w:pPr>
            <w:r>
              <w:rPr>
                <w:rFonts w:hint="eastAsia"/>
                <w:szCs w:val="24"/>
              </w:rPr>
              <w:t>根据《吴忠市人民政府关于实施“三线一单”生态环境分区管控的意见》（吴政规发〔2021〕2号）中“吴忠市生态空间分布示意图”可知（详见附图十一），项目不涉及吴忠市生态保护红线和一般生态空间。根据《吴忠市环境管控单元分布图》（详见附图十二），项目位于一般管控单元。不涉及集中式饮用水源地、重要湿地、生态公益林等生态保护红线，满足生态保护红线要求；因此确定本项目不在生态保护红线范围内。</w:t>
            </w:r>
          </w:p>
          <w:p>
            <w:pPr>
              <w:pStyle w:val="50"/>
              <w:ind w:firstLine="480"/>
              <w:rPr>
                <w:szCs w:val="24"/>
              </w:rPr>
            </w:pPr>
            <w:r>
              <w:rPr>
                <w:rFonts w:hint="eastAsia"/>
                <w:szCs w:val="24"/>
              </w:rPr>
              <w:t>（2）环境质量底线</w:t>
            </w:r>
          </w:p>
          <w:p>
            <w:pPr>
              <w:pStyle w:val="50"/>
              <w:ind w:firstLine="480"/>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环境空气质量</w:t>
            </w:r>
          </w:p>
          <w:p>
            <w:pPr>
              <w:pStyle w:val="50"/>
              <w:ind w:firstLine="480"/>
            </w:pPr>
            <w:r>
              <w:rPr>
                <w:rFonts w:hint="eastAsia"/>
              </w:rPr>
              <w:t>根据《2021年宁夏生态环境质量状况》，本项目所在区域SO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、CO、O</w:t>
            </w:r>
            <w:r>
              <w:rPr>
                <w:rFonts w:hint="eastAsia"/>
                <w:vertAlign w:val="subscript"/>
              </w:rPr>
              <w:t>3</w:t>
            </w:r>
            <w:r>
              <w:rPr>
                <w:rFonts w:hint="eastAsia"/>
              </w:rPr>
              <w:t>六项污染物</w:t>
            </w:r>
            <w:r>
              <w:rPr>
                <w:rFonts w:hint="eastAsia" w:ascii="宋体" w:hAnsi="宋体" w:cs="宋体"/>
              </w:rPr>
              <w:t>因子均满足《环境空气质量标准》（</w:t>
            </w:r>
            <w:r>
              <w:rPr>
                <w:rFonts w:hint="eastAsia"/>
              </w:rPr>
              <w:t>GB3095-2012</w:t>
            </w:r>
            <w:r>
              <w:rPr>
                <w:rFonts w:hint="eastAsia" w:ascii="宋体" w:hAnsi="宋体" w:cs="宋体"/>
              </w:rPr>
              <w:t>）中二级标准限值，故同心县总体属于达标区。</w:t>
            </w:r>
          </w:p>
          <w:p>
            <w:pPr>
              <w:pStyle w:val="50"/>
              <w:ind w:firstLine="480"/>
              <w:rPr>
                <w:rFonts w:ascii="宋体" w:hAnsi="宋体" w:cs="宋体"/>
              </w:rPr>
            </w:pPr>
            <w:r>
              <w:rPr>
                <w:rFonts w:hint="eastAsia" w:ascii="宋体" w:hAnsi="宋体" w:cs="宋体"/>
              </w:rPr>
              <w:t>根据</w:t>
            </w:r>
            <w:r>
              <w:rPr>
                <w:rFonts w:hint="eastAsia"/>
                <w:szCs w:val="24"/>
              </w:rPr>
              <w:t>《吴忠市人民政府关于实施“三线一单”生态环境分区管控的意见》（吴政规发〔2021〕2号），本项目位于大气环境一般管控区，贯彻实施区域性大气污染物综合排放标准，深化重点行业污染治理，强力推进国家和自治区确定的各项产业结构调整措施，加强机动车排气污染治理。新建、改建、扩建项目，满足产业准入、总量控制、排放标准等管理制度要求的前提下，实行工业项目进园、集约高效发展。</w:t>
            </w:r>
          </w:p>
          <w:p>
            <w:pPr>
              <w:pStyle w:val="50"/>
              <w:ind w:firstLine="480"/>
            </w:pPr>
            <w:r>
              <w:rPr>
                <w:rFonts w:hint="eastAsia"/>
              </w:rPr>
              <w:t>本项目运营期主要的大气污染物为颗粒物，经相应防治措施处理后满足《大气污染物综合排放标准》(GB16297-1996)表2中二级标准表限值的要求，满足产业准入、总量控制相关要求，满足区域大气环境分区管控要求，不触及区域环境空气质量底线。</w:t>
            </w:r>
          </w:p>
          <w:p>
            <w:pPr>
              <w:pStyle w:val="50"/>
              <w:ind w:firstLine="480"/>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地表水环境质量</w:t>
            </w:r>
          </w:p>
          <w:p>
            <w:pPr>
              <w:pStyle w:val="50"/>
              <w:ind w:firstLine="480"/>
            </w:pPr>
            <w:r>
              <w:rPr>
                <w:rFonts w:hint="eastAsia"/>
              </w:rPr>
              <w:t>根据《2021年宁夏生态环境质量状况》</w:t>
            </w:r>
            <w:r>
              <w:rPr>
                <w:rFonts w:hint="eastAsia"/>
                <w:lang w:val="sq-AL"/>
              </w:rPr>
              <w:t>中苦水河甘-宁省界断面</w:t>
            </w:r>
            <w:r>
              <w:rPr>
                <w:rFonts w:hint="eastAsia"/>
              </w:rPr>
              <w:t>监测数据，苦水河甘-宁</w:t>
            </w:r>
            <w:r>
              <w:rPr>
                <w:rFonts w:hint="eastAsia" w:eastAsia="等线"/>
              </w:rPr>
              <w:t>交</w:t>
            </w:r>
            <w:r>
              <w:rPr>
                <w:rFonts w:hint="eastAsia"/>
              </w:rPr>
              <w:t>界断面</w:t>
            </w:r>
            <w:r>
              <w:rPr>
                <w:szCs w:val="22"/>
                <w:lang w:bidi="ar"/>
              </w:rPr>
              <w:t>2021</w:t>
            </w:r>
            <w:r>
              <w:rPr>
                <w:rFonts w:hint="eastAsia"/>
                <w:szCs w:val="22"/>
                <w:lang w:bidi="ar"/>
              </w:rPr>
              <w:t>年水质类别为劣</w:t>
            </w:r>
            <w:r>
              <w:rPr>
                <w:szCs w:val="22"/>
                <w:lang w:bidi="ar"/>
              </w:rPr>
              <w:t>V</w:t>
            </w:r>
            <w:r>
              <w:rPr>
                <w:rFonts w:hint="eastAsia"/>
                <w:szCs w:val="22"/>
                <w:lang w:bidi="ar"/>
              </w:rPr>
              <w:t>类，主要污染指标为氟化物，水质无明显变化。</w:t>
            </w:r>
            <w:r>
              <w:rPr>
                <w:rFonts w:hint="eastAsia"/>
              </w:rPr>
              <w:t>氟化物超标原因主要为地质影响。</w:t>
            </w:r>
          </w:p>
          <w:p>
            <w:pPr>
              <w:pStyle w:val="50"/>
              <w:ind w:firstLine="480"/>
            </w:pPr>
            <w:r>
              <w:rPr>
                <w:rFonts w:hint="eastAsia"/>
              </w:rPr>
              <w:t>本项目无生产废水产生，项目员工盥洗废水用于厂区泼洒抑尘，项目设置旱厕，定期由周边居民拉走堆肥，不外排；车辆冲洗废水循环使用不外排，对外环境影响较小。</w:t>
            </w:r>
          </w:p>
          <w:p>
            <w:pPr>
              <w:pStyle w:val="50"/>
              <w:ind w:firstLine="480"/>
            </w:pPr>
            <w:r>
              <w:rPr>
                <w:rFonts w:hint="eastAsia"/>
              </w:rPr>
              <w:fldChar w:fldCharType="begin"/>
            </w:r>
            <w:r>
              <w:rPr>
                <w:rFonts w:hint="eastAsia"/>
              </w:rPr>
              <w:instrText xml:space="preserve"> = 3 \* GB3 \* MERGEFORMAT </w:instrText>
            </w:r>
            <w:r>
              <w:rPr>
                <w:rFonts w:hint="eastAsia"/>
              </w:rPr>
              <w:fldChar w:fldCharType="separate"/>
            </w:r>
            <w:r>
              <w:rPr>
                <w:rFonts w:hint="eastAsia"/>
              </w:rPr>
              <w:t>③</w:t>
            </w:r>
            <w:r>
              <w:rPr>
                <w:rFonts w:hint="eastAsia"/>
              </w:rPr>
              <w:fldChar w:fldCharType="end"/>
            </w:r>
            <w:r>
              <w:rPr>
                <w:rFonts w:hint="eastAsia"/>
              </w:rPr>
              <w:t>其他环境要素</w:t>
            </w:r>
          </w:p>
          <w:p>
            <w:pPr>
              <w:autoSpaceDE w:val="0"/>
              <w:autoSpaceDN w:val="0"/>
              <w:adjustRightInd w:val="0"/>
              <w:snapToGrid w:val="0"/>
              <w:spacing w:line="360" w:lineRule="auto"/>
              <w:ind w:firstLine="480" w:firstLineChars="200"/>
              <w:jc w:val="left"/>
              <w:rPr>
                <w:rFonts w:eastAsia="Calibri"/>
                <w:kern w:val="0"/>
                <w:sz w:val="24"/>
              </w:rPr>
            </w:pPr>
            <w:r>
              <w:rPr>
                <w:rFonts w:hint="eastAsia" w:eastAsia="Calibri"/>
                <w:kern w:val="0"/>
                <w:sz w:val="24"/>
              </w:rPr>
              <w:t>本项目运营期</w:t>
            </w:r>
            <w:r>
              <w:rPr>
                <w:rFonts w:hint="eastAsia"/>
                <w:kern w:val="0"/>
                <w:sz w:val="24"/>
              </w:rPr>
              <w:t>无生产废水排放</w:t>
            </w:r>
            <w:r>
              <w:rPr>
                <w:rFonts w:hint="eastAsia" w:eastAsia="Calibri"/>
                <w:kern w:val="0"/>
                <w:sz w:val="24"/>
              </w:rPr>
              <w:t>，不会对地下水造成污染。项目所处2类声环境功能区，运营期厂界噪声达标排放，满足2类声环境功能区环境质量标准要求。固体废物为生活垃圾和除尘器收尘，生活垃圾集中分类收集，交由环卫部门处置，除尘器收尘外售用作白云粉生产原料。</w:t>
            </w:r>
            <w:r>
              <w:rPr>
                <w:rFonts w:hint="eastAsia" w:ascii="宋体" w:hAnsi="宋体" w:cs="宋体"/>
                <w:kern w:val="0"/>
                <w:sz w:val="24"/>
              </w:rPr>
              <w:t>建设单位委托有资质的单位定期维护设备，产生的设备维修废油，由该公司交由有资质的单位处理，不在厂内储存。</w:t>
            </w:r>
          </w:p>
          <w:p>
            <w:pPr>
              <w:autoSpaceDE w:val="0"/>
              <w:autoSpaceDN w:val="0"/>
              <w:adjustRightInd w:val="0"/>
              <w:snapToGrid w:val="0"/>
              <w:spacing w:line="360" w:lineRule="auto"/>
              <w:ind w:firstLine="480" w:firstLineChars="200"/>
              <w:jc w:val="left"/>
              <w:rPr>
                <w:rFonts w:eastAsia="Calibri"/>
                <w:kern w:val="0"/>
                <w:sz w:val="24"/>
              </w:rPr>
            </w:pPr>
            <w:r>
              <w:rPr>
                <w:rFonts w:hint="eastAsia" w:eastAsia="Calibri"/>
                <w:kern w:val="0"/>
                <w:sz w:val="24"/>
              </w:rPr>
              <w:t>综上所述，本项目实施后采取污染防治措施，可确保各项污染物达标排放，保证区域环境质量。因此，项目实施后能满足区域环境质量与环境功能的要求，未触及环境质量底线要求。</w:t>
            </w:r>
          </w:p>
          <w:p>
            <w:pPr>
              <w:pStyle w:val="72"/>
              <w:ind w:firstLine="480"/>
            </w:pPr>
            <w:r>
              <w:rPr>
                <w:rFonts w:hint="eastAsia"/>
              </w:rPr>
              <w:t>④资源利用上线相容性分析</w:t>
            </w:r>
          </w:p>
          <w:p>
            <w:pPr>
              <w:autoSpaceDE w:val="0"/>
              <w:autoSpaceDN w:val="0"/>
              <w:adjustRightInd w:val="0"/>
              <w:snapToGrid w:val="0"/>
              <w:spacing w:line="360" w:lineRule="auto"/>
              <w:ind w:firstLine="480" w:firstLineChars="200"/>
              <w:jc w:val="left"/>
              <w:rPr>
                <w:rFonts w:eastAsia="Calibri"/>
                <w:kern w:val="0"/>
                <w:sz w:val="24"/>
              </w:rPr>
            </w:pPr>
            <w:r>
              <w:rPr>
                <w:rFonts w:hint="eastAsia" w:eastAsia="Calibri"/>
                <w:kern w:val="0"/>
                <w:sz w:val="24"/>
              </w:rPr>
              <w:t>本项目为</w:t>
            </w:r>
            <w:r>
              <w:rPr>
                <w:rFonts w:hint="eastAsia"/>
                <w:kern w:val="0"/>
                <w:sz w:val="24"/>
              </w:rPr>
              <w:t>杜家圈南冶镁白云岩露天</w:t>
            </w:r>
            <w:r>
              <w:rPr>
                <w:rFonts w:hint="eastAsia" w:eastAsia="Calibri"/>
                <w:kern w:val="0"/>
                <w:sz w:val="24"/>
              </w:rPr>
              <w:t>开采筛选加工项目，</w:t>
            </w:r>
            <w:r>
              <w:rPr>
                <w:rFonts w:hint="eastAsia"/>
                <w:kern w:val="0"/>
                <w:sz w:val="24"/>
              </w:rPr>
              <w:t>均为临时占地，占地面积42.5</w:t>
            </w:r>
            <w:r>
              <w:rPr>
                <w:kern w:val="0"/>
                <w:sz w:val="24"/>
              </w:rPr>
              <w:t>2</w:t>
            </w:r>
            <w:r>
              <w:rPr>
                <w:rFonts w:hint="eastAsia"/>
                <w:kern w:val="0"/>
                <w:sz w:val="24"/>
              </w:rPr>
              <w:t>hm</w:t>
            </w:r>
            <w:r>
              <w:rPr>
                <w:rFonts w:hint="eastAsia"/>
                <w:kern w:val="0"/>
                <w:sz w:val="24"/>
                <w:vertAlign w:val="superscript"/>
              </w:rPr>
              <w:t>2</w:t>
            </w:r>
            <w:r>
              <w:rPr>
                <w:rFonts w:hint="eastAsia"/>
                <w:kern w:val="0"/>
                <w:sz w:val="24"/>
              </w:rPr>
              <w:t>，</w:t>
            </w:r>
            <w:r>
              <w:rPr>
                <w:rFonts w:hint="eastAsia" w:eastAsia="Calibri"/>
                <w:kern w:val="0"/>
                <w:sz w:val="24"/>
              </w:rPr>
              <w:t>用地不占用基本农田、基本草原等，项目闭矿后临时占地都将进行土地复垦，不影响区域土地资源总量。项目生产过程中车辆冲洗废水经沉淀处理后循环利用不外排，最大限度地对生产废水进行了回用，提高了废水回用率。项目电及柴油等资源消耗量相对较小，符合资源利用上线要求。</w:t>
            </w:r>
          </w:p>
          <w:p>
            <w:pPr>
              <w:pStyle w:val="50"/>
              <w:ind w:firstLine="480"/>
              <w:rPr>
                <w:rFonts w:eastAsia="Calibri"/>
                <w:szCs w:val="24"/>
              </w:rPr>
            </w:pPr>
            <w:r>
              <w:rPr>
                <w:rFonts w:hint="eastAsia" w:eastAsia="Calibri"/>
                <w:szCs w:val="24"/>
              </w:rPr>
              <w:t>⑤</w:t>
            </w:r>
            <w:r>
              <w:rPr>
                <w:rFonts w:hint="eastAsia" w:ascii="宋体" w:hAnsi="宋体" w:cs="宋体"/>
                <w:szCs w:val="24"/>
              </w:rPr>
              <w:t>环境准入负面清单</w:t>
            </w:r>
          </w:p>
          <w:p>
            <w:pPr>
              <w:pStyle w:val="50"/>
              <w:ind w:firstLine="480"/>
              <w:rPr>
                <w:rFonts w:eastAsia="Calibri"/>
                <w:szCs w:val="24"/>
              </w:rPr>
            </w:pPr>
            <w:r>
              <w:rPr>
                <w:rFonts w:hint="eastAsia" w:eastAsia="Calibri"/>
                <w:szCs w:val="24"/>
              </w:rPr>
              <w:t>本项目所在区域环境准入负面清单见表1。</w:t>
            </w:r>
          </w:p>
          <w:p>
            <w:pPr>
              <w:pStyle w:val="50"/>
              <w:numPr>
                <w:ilvl w:val="0"/>
                <w:numId w:val="2"/>
              </w:numPr>
              <w:snapToGrid w:val="0"/>
              <w:spacing w:line="240" w:lineRule="auto"/>
              <w:ind w:firstLineChars="0"/>
              <w:jc w:val="center"/>
              <w:rPr>
                <w:rFonts w:eastAsia="Calibri"/>
                <w:b/>
                <w:bCs/>
                <w:szCs w:val="24"/>
              </w:rPr>
            </w:pPr>
            <w:r>
              <w:rPr>
                <w:rFonts w:hint="eastAsia" w:eastAsia="Calibri"/>
                <w:b/>
                <w:bCs/>
                <w:szCs w:val="24"/>
              </w:rPr>
              <w:t>环境准入负面清单表</w:t>
            </w:r>
          </w:p>
          <w:tbl>
            <w:tblPr>
              <w:tblStyle w:val="23"/>
              <w:tblW w:w="768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5634"/>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7" w:type="dxa"/>
                  <w:tcBorders>
                    <w:tl2br w:val="nil"/>
                    <w:tr2bl w:val="nil"/>
                  </w:tcBorders>
                  <w:vAlign w:val="center"/>
                </w:tcPr>
                <w:p>
                  <w:pPr>
                    <w:pStyle w:val="50"/>
                    <w:snapToGrid w:val="0"/>
                    <w:spacing w:line="240" w:lineRule="auto"/>
                    <w:ind w:firstLine="0" w:firstLineChars="0"/>
                    <w:jc w:val="center"/>
                    <w:rPr>
                      <w:rFonts w:eastAsia="Calibri"/>
                      <w:b/>
                      <w:bCs/>
                      <w:sz w:val="21"/>
                    </w:rPr>
                  </w:pPr>
                  <w:r>
                    <w:rPr>
                      <w:rFonts w:hint="eastAsia" w:eastAsia="Calibri"/>
                      <w:b/>
                      <w:bCs/>
                      <w:sz w:val="21"/>
                    </w:rPr>
                    <w:t>序号</w:t>
                  </w:r>
                </w:p>
              </w:tc>
              <w:tc>
                <w:tcPr>
                  <w:tcW w:w="5634" w:type="dxa"/>
                  <w:tcBorders>
                    <w:tl2br w:val="nil"/>
                    <w:tr2bl w:val="nil"/>
                  </w:tcBorders>
                  <w:vAlign w:val="center"/>
                </w:tcPr>
                <w:p>
                  <w:pPr>
                    <w:pStyle w:val="50"/>
                    <w:snapToGrid w:val="0"/>
                    <w:spacing w:line="240" w:lineRule="auto"/>
                    <w:ind w:firstLine="0" w:firstLineChars="0"/>
                    <w:jc w:val="center"/>
                    <w:rPr>
                      <w:rFonts w:eastAsia="Calibri"/>
                      <w:b/>
                      <w:bCs/>
                      <w:sz w:val="21"/>
                    </w:rPr>
                  </w:pPr>
                  <w:r>
                    <w:rPr>
                      <w:rFonts w:hint="eastAsia" w:eastAsia="Calibri"/>
                      <w:b/>
                      <w:bCs/>
                      <w:sz w:val="21"/>
                    </w:rPr>
                    <w:t>法律、法规、政府文件等</w:t>
                  </w:r>
                </w:p>
              </w:tc>
              <w:tc>
                <w:tcPr>
                  <w:tcW w:w="1276" w:type="dxa"/>
                  <w:tcBorders>
                    <w:tl2br w:val="nil"/>
                    <w:tr2bl w:val="nil"/>
                  </w:tcBorders>
                  <w:vAlign w:val="center"/>
                </w:tcPr>
                <w:p>
                  <w:pPr>
                    <w:pStyle w:val="50"/>
                    <w:snapToGrid w:val="0"/>
                    <w:spacing w:line="240" w:lineRule="auto"/>
                    <w:ind w:firstLine="0" w:firstLineChars="0"/>
                    <w:jc w:val="center"/>
                    <w:rPr>
                      <w:rFonts w:eastAsia="Calibri"/>
                      <w:b/>
                      <w:bCs/>
                      <w:sz w:val="21"/>
                    </w:rPr>
                  </w:pPr>
                  <w:r>
                    <w:rPr>
                      <w:rFonts w:hint="eastAsia" w:eastAsia="Calibri"/>
                      <w:b/>
                      <w:bCs/>
                      <w:sz w:val="21"/>
                    </w:rPr>
                    <w:t>是否属于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7"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1</w:t>
                  </w:r>
                </w:p>
              </w:tc>
              <w:tc>
                <w:tcPr>
                  <w:tcW w:w="5634"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属于《产业结构调整指导目录（2019年本）》（发改委令第29号）淘汰类、限制类项目</w:t>
                  </w:r>
                </w:p>
              </w:tc>
              <w:tc>
                <w:tcPr>
                  <w:tcW w:w="1276"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不属于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7"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2</w:t>
                  </w:r>
                </w:p>
              </w:tc>
              <w:tc>
                <w:tcPr>
                  <w:tcW w:w="5634"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环境污染源严重、污染物排放总量指标未落实的项目</w:t>
                  </w:r>
                </w:p>
              </w:tc>
              <w:tc>
                <w:tcPr>
                  <w:tcW w:w="1276"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不属于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77"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3</w:t>
                  </w:r>
                </w:p>
              </w:tc>
              <w:tc>
                <w:tcPr>
                  <w:tcW w:w="5634"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国家、宁夏回族自治区明确规定不得审批的建设项目</w:t>
                  </w:r>
                </w:p>
              </w:tc>
              <w:tc>
                <w:tcPr>
                  <w:tcW w:w="1276" w:type="dxa"/>
                  <w:tcBorders>
                    <w:tl2br w:val="nil"/>
                    <w:tr2bl w:val="nil"/>
                  </w:tcBorders>
                  <w:vAlign w:val="center"/>
                </w:tcPr>
                <w:p>
                  <w:pPr>
                    <w:pStyle w:val="50"/>
                    <w:snapToGrid w:val="0"/>
                    <w:spacing w:line="240" w:lineRule="auto"/>
                    <w:ind w:firstLine="0" w:firstLineChars="0"/>
                    <w:jc w:val="center"/>
                    <w:rPr>
                      <w:rFonts w:eastAsia="Calibri"/>
                      <w:sz w:val="21"/>
                    </w:rPr>
                  </w:pPr>
                  <w:r>
                    <w:rPr>
                      <w:rFonts w:hint="eastAsia" w:eastAsia="Calibri"/>
                      <w:sz w:val="21"/>
                    </w:rPr>
                    <w:t>不属于</w:t>
                  </w:r>
                </w:p>
              </w:tc>
            </w:tr>
          </w:tbl>
          <w:p>
            <w:pPr>
              <w:widowControl/>
              <w:spacing w:line="360" w:lineRule="auto"/>
              <w:ind w:firstLine="480" w:firstLineChars="200"/>
              <w:jc w:val="left"/>
              <w:rPr>
                <w:sz w:val="24"/>
              </w:rPr>
            </w:pPr>
            <w:r>
              <w:rPr>
                <w:rFonts w:hint="eastAsia"/>
                <w:sz w:val="24"/>
              </w:rPr>
              <w:t>由上表可知，项目不在所在环境功能区的负面清单中。</w:t>
            </w:r>
          </w:p>
          <w:p>
            <w:pPr>
              <w:widowControl/>
              <w:spacing w:line="360" w:lineRule="auto"/>
              <w:ind w:firstLine="480" w:firstLineChars="200"/>
              <w:jc w:val="left"/>
              <w:rPr>
                <w:sz w:val="24"/>
              </w:rPr>
            </w:pPr>
            <w:r>
              <w:rPr>
                <w:rStyle w:val="54"/>
                <w:rFonts w:hint="eastAsia"/>
              </w:rPr>
              <w:fldChar w:fldCharType="begin"/>
            </w:r>
            <w:r>
              <w:rPr>
                <w:rStyle w:val="54"/>
                <w:rFonts w:hint="eastAsia"/>
              </w:rPr>
              <w:instrText xml:space="preserve"> = 6 \* GB3 </w:instrText>
            </w:r>
            <w:r>
              <w:rPr>
                <w:rStyle w:val="54"/>
                <w:rFonts w:hint="eastAsia"/>
              </w:rPr>
              <w:fldChar w:fldCharType="separate"/>
            </w:r>
            <w:r>
              <w:rPr>
                <w:rStyle w:val="54"/>
                <w:rFonts w:hint="eastAsia"/>
              </w:rPr>
              <w:t>⑥</w:t>
            </w:r>
            <w:r>
              <w:rPr>
                <w:rStyle w:val="54"/>
                <w:rFonts w:hint="eastAsia"/>
              </w:rPr>
              <w:fldChar w:fldCharType="end"/>
            </w:r>
            <w:r>
              <w:rPr>
                <w:rFonts w:hint="eastAsia"/>
                <w:sz w:val="24"/>
              </w:rPr>
              <w:t>根据宁夏回族自治区人民政府关于《实施“三线一单”生态环境分区管控的通知》（宁政发[2020]37号，2020年12月30日印发）以及</w:t>
            </w:r>
            <w:r>
              <w:rPr>
                <w:rFonts w:hint="eastAsia"/>
                <w:sz w:val="24"/>
                <w:lang w:bidi="ar"/>
              </w:rPr>
              <w:t>《关于实施“三线一单”生态环境分区管控的通知》（吴政规发〔2021〕2号）分区管控要求</w:t>
            </w:r>
            <w:r>
              <w:rPr>
                <w:rFonts w:hint="eastAsia"/>
                <w:sz w:val="24"/>
              </w:rPr>
              <w:t>，本项目建设位于吴忠市同心县韦州镇，对照“吴忠市环境管控单元分布图”，本项目属于吴忠市生态环境准入清单第二项中的序号为ZH64032430002，</w:t>
            </w:r>
            <w:r>
              <w:rPr>
                <w:rFonts w:hint="eastAsia" w:ascii="宋体" w:hAnsi="宋体" w:cs="宋体"/>
                <w:kern w:val="0"/>
                <w:sz w:val="24"/>
                <w:lang w:bidi="ar"/>
              </w:rPr>
              <w:t>韦州镇、下马关镇、田老庄乡一般管控单元 ，</w:t>
            </w:r>
            <w:r>
              <w:rPr>
                <w:rFonts w:hint="eastAsia"/>
                <w:sz w:val="24"/>
              </w:rPr>
              <w:t>不属于优先保护单元和重点管控单元，具体详见附图十二，本项目与吴忠市环境管控单元生态环境准入清单相符性分析见下表。</w:t>
            </w:r>
          </w:p>
          <w:p>
            <w:pPr>
              <w:widowControl/>
              <w:spacing w:line="360" w:lineRule="auto"/>
              <w:ind w:firstLine="480" w:firstLineChars="200"/>
              <w:jc w:val="left"/>
              <w:rPr>
                <w:sz w:val="24"/>
              </w:rPr>
            </w:pPr>
          </w:p>
          <w:p>
            <w:pPr>
              <w:pStyle w:val="47"/>
              <w:ind w:firstLine="480"/>
              <w:rPr>
                <w:color w:val="auto"/>
              </w:rPr>
            </w:pPr>
          </w:p>
          <w:p>
            <w:pPr>
              <w:pStyle w:val="47"/>
              <w:ind w:firstLine="480"/>
              <w:rPr>
                <w:color w:val="auto"/>
              </w:rPr>
            </w:pPr>
          </w:p>
          <w:p>
            <w:pPr>
              <w:pStyle w:val="47"/>
              <w:ind w:firstLine="0" w:firstLineChars="0"/>
              <w:rPr>
                <w:color w:val="auto"/>
              </w:rPr>
            </w:pPr>
          </w:p>
          <w:p>
            <w:pPr>
              <w:pStyle w:val="47"/>
              <w:ind w:firstLine="480"/>
              <w:rPr>
                <w:color w:val="auto"/>
              </w:rPr>
            </w:pPr>
          </w:p>
          <w:p>
            <w:pPr>
              <w:pStyle w:val="47"/>
              <w:ind w:firstLine="0" w:firstLineChars="0"/>
              <w:rPr>
                <w:color w:val="auto"/>
              </w:rPr>
            </w:pPr>
          </w:p>
          <w:p>
            <w:pPr>
              <w:pStyle w:val="47"/>
              <w:ind w:firstLine="0" w:firstLineChars="0"/>
              <w:rPr>
                <w:color w:val="auto"/>
              </w:rPr>
            </w:pPr>
          </w:p>
        </w:tc>
      </w:tr>
    </w:tbl>
    <w:p>
      <w:pPr>
        <w:spacing w:line="360" w:lineRule="auto"/>
        <w:outlineLvl w:val="0"/>
        <w:rPr>
          <w:rFonts w:eastAsia="黑体"/>
          <w:sz w:val="30"/>
        </w:rPr>
      </w:pPr>
    </w:p>
    <w:p>
      <w:pPr>
        <w:spacing w:line="360" w:lineRule="auto"/>
        <w:outlineLvl w:val="0"/>
        <w:rPr>
          <w:rFonts w:eastAsia="黑体"/>
          <w:sz w:val="30"/>
        </w:rPr>
        <w:sectPr>
          <w:footerReference r:id="rId3" w:type="default"/>
          <w:pgSz w:w="11906" w:h="16838"/>
          <w:pgMar w:top="1440" w:right="1440" w:bottom="1440" w:left="1440" w:header="851" w:footer="1077" w:gutter="0"/>
          <w:pgNumType w:start="1"/>
          <w:cols w:space="720" w:num="1"/>
          <w:docGrid w:linePitch="312" w:charSpace="0"/>
        </w:sectPr>
      </w:pPr>
    </w:p>
    <w:tbl>
      <w:tblPr>
        <w:tblStyle w:val="23"/>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6" w:hRule="atLeast"/>
        </w:trPr>
        <w:tc>
          <w:tcPr>
            <w:tcW w:w="562" w:type="dxa"/>
          </w:tcPr>
          <w:p>
            <w:pPr>
              <w:pStyle w:val="47"/>
              <w:ind w:firstLine="0" w:firstLineChars="0"/>
              <w:rPr>
                <w:color w:val="auto"/>
              </w:rPr>
            </w:pPr>
          </w:p>
          <w:p>
            <w:pPr>
              <w:pStyle w:val="47"/>
              <w:ind w:firstLine="0" w:firstLineChars="0"/>
              <w:rPr>
                <w:color w:val="auto"/>
              </w:rPr>
            </w:pPr>
          </w:p>
          <w:p>
            <w:pPr>
              <w:pStyle w:val="47"/>
              <w:ind w:firstLine="0" w:firstLineChars="0"/>
              <w:rPr>
                <w:color w:val="auto"/>
              </w:rPr>
            </w:pPr>
            <w:r>
              <w:rPr>
                <w:rFonts w:hint="eastAsia"/>
                <w:color w:val="auto"/>
              </w:rPr>
              <w:t>其他符合性分析</w:t>
            </w:r>
          </w:p>
        </w:tc>
        <w:tc>
          <w:tcPr>
            <w:tcW w:w="13386" w:type="dxa"/>
          </w:tcPr>
          <w:p>
            <w:pPr>
              <w:pStyle w:val="50"/>
              <w:numPr>
                <w:ilvl w:val="0"/>
                <w:numId w:val="2"/>
              </w:numPr>
              <w:snapToGrid w:val="0"/>
              <w:spacing w:line="240" w:lineRule="auto"/>
              <w:ind w:firstLineChars="0"/>
              <w:jc w:val="center"/>
              <w:rPr>
                <w:rFonts w:eastAsia="Calibri"/>
                <w:b/>
                <w:bCs/>
                <w:szCs w:val="24"/>
              </w:rPr>
            </w:pPr>
            <w:r>
              <w:rPr>
                <w:rFonts w:hint="eastAsia" w:ascii="宋体" w:hAnsi="宋体" w:cs="宋体"/>
                <w:b/>
                <w:bCs/>
                <w:szCs w:val="24"/>
              </w:rPr>
              <w:t>本项目与吴忠市环境管控单元生态环境准入清单相符性分析</w:t>
            </w:r>
          </w:p>
          <w:tbl>
            <w:tblPr>
              <w:tblStyle w:val="23"/>
              <w:tblW w:w="131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51"/>
              <w:gridCol w:w="1977"/>
              <w:gridCol w:w="1994"/>
              <w:gridCol w:w="630"/>
              <w:gridCol w:w="765"/>
              <w:gridCol w:w="3760"/>
              <w:gridCol w:w="833"/>
              <w:gridCol w:w="765"/>
              <w:gridCol w:w="7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67" w:hRule="atLeast"/>
              </w:trPr>
              <w:tc>
                <w:tcPr>
                  <w:tcW w:w="1651" w:type="dxa"/>
                  <w:vMerge w:val="restart"/>
                  <w:tcBorders>
                    <w:top w:val="single" w:color="000000" w:sz="12" w:space="0"/>
                    <w:left w:val="single" w:color="000000" w:sz="12"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序号</w:t>
                  </w:r>
                </w:p>
              </w:tc>
              <w:tc>
                <w:tcPr>
                  <w:tcW w:w="1977"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环境管控单元名称</w:t>
                  </w:r>
                </w:p>
              </w:tc>
              <w:tc>
                <w:tcPr>
                  <w:tcW w:w="1994"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主体功能定位</w:t>
                  </w:r>
                </w:p>
              </w:tc>
              <w:tc>
                <w:tcPr>
                  <w:tcW w:w="630"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要素属性</w:t>
                  </w:r>
                </w:p>
              </w:tc>
              <w:tc>
                <w:tcPr>
                  <w:tcW w:w="765"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管控单元</w:t>
                  </w:r>
                </w:p>
              </w:tc>
              <w:tc>
                <w:tcPr>
                  <w:tcW w:w="6123" w:type="dxa"/>
                  <w:gridSpan w:val="4"/>
                  <w:tcBorders>
                    <w:top w:val="single" w:color="000000" w:sz="12" w:space="0"/>
                    <w:left w:val="single" w:color="000000" w:sz="6" w:space="0"/>
                    <w:bottom w:val="single" w:color="000000" w:sz="6" w:space="0"/>
                    <w:right w:val="single" w:color="000000" w:sz="12" w:space="0"/>
                  </w:tcBorders>
                  <w:shd w:val="clear" w:color="auto" w:fill="auto"/>
                  <w:vAlign w:val="center"/>
                </w:tcPr>
                <w:p>
                  <w:pPr>
                    <w:widowControl/>
                    <w:spacing w:line="360" w:lineRule="exact"/>
                    <w:jc w:val="center"/>
                    <w:rPr>
                      <w:szCs w:val="21"/>
                    </w:rPr>
                  </w:pPr>
                  <w:r>
                    <w:rPr>
                      <w:rFonts w:hint="eastAsia" w:ascii="宋体" w:hAnsi="宋体" w:cs="宋体"/>
                      <w:szCs w:val="21"/>
                      <w:lang w:bidi="ar"/>
                    </w:rPr>
                    <w:t>管控要求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99" w:hRule="atLeast"/>
              </w:trPr>
              <w:tc>
                <w:tcPr>
                  <w:tcW w:w="1651" w:type="dxa"/>
                  <w:vMerge w:val="continue"/>
                  <w:tcBorders>
                    <w:top w:val="single" w:color="000000" w:sz="12" w:space="0"/>
                    <w:left w:val="single" w:color="000000" w:sz="12" w:space="0"/>
                    <w:bottom w:val="single" w:color="000000" w:sz="6" w:space="0"/>
                    <w:right w:val="single" w:color="000000" w:sz="6" w:space="0"/>
                  </w:tcBorders>
                  <w:shd w:val="clear" w:color="auto" w:fill="auto"/>
                  <w:vAlign w:val="center"/>
                </w:tcPr>
                <w:p>
                  <w:pPr>
                    <w:rPr>
                      <w:rFonts w:ascii="等线" w:hAnsi="等线" w:eastAsia="等线" w:cs="等线"/>
                      <w:szCs w:val="21"/>
                    </w:rPr>
                  </w:pPr>
                </w:p>
              </w:tc>
              <w:tc>
                <w:tcPr>
                  <w:tcW w:w="1977"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rPr>
                      <w:rFonts w:ascii="等线" w:hAnsi="等线" w:eastAsia="等线" w:cs="等线"/>
                      <w:szCs w:val="21"/>
                    </w:rPr>
                  </w:pPr>
                </w:p>
              </w:tc>
              <w:tc>
                <w:tcPr>
                  <w:tcW w:w="1994"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rPr>
                      <w:rFonts w:ascii="等线" w:hAnsi="等线" w:eastAsia="等线" w:cs="等线"/>
                      <w:szCs w:val="21"/>
                    </w:rPr>
                  </w:pPr>
                </w:p>
              </w:tc>
              <w:tc>
                <w:tcPr>
                  <w:tcW w:w="630"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rPr>
                      <w:rFonts w:ascii="等线" w:hAnsi="等线" w:eastAsia="等线" w:cs="等线"/>
                      <w:szCs w:val="21"/>
                    </w:rPr>
                  </w:pPr>
                </w:p>
              </w:tc>
              <w:tc>
                <w:tcPr>
                  <w:tcW w:w="765"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pPr>
                    <w:rPr>
                      <w:rFonts w:ascii="等线" w:hAnsi="等线" w:eastAsia="等线" w:cs="等线"/>
                      <w:szCs w:val="21"/>
                    </w:rPr>
                  </w:pPr>
                </w:p>
              </w:tc>
              <w:tc>
                <w:tcPr>
                  <w:tcW w:w="376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空间布局约束</w:t>
                  </w:r>
                </w:p>
              </w:tc>
              <w:tc>
                <w:tcPr>
                  <w:tcW w:w="83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污染物排放管控</w:t>
                  </w:r>
                </w:p>
              </w:tc>
              <w:tc>
                <w:tcPr>
                  <w:tcW w:w="76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环境风险防控</w:t>
                  </w:r>
                </w:p>
              </w:tc>
              <w:tc>
                <w:tcPr>
                  <w:tcW w:w="765" w:type="dxa"/>
                  <w:tcBorders>
                    <w:top w:val="single" w:color="000000" w:sz="6" w:space="0"/>
                    <w:left w:val="single" w:color="000000" w:sz="6" w:space="0"/>
                    <w:bottom w:val="single" w:color="000000" w:sz="6" w:space="0"/>
                    <w:right w:val="single" w:color="000000" w:sz="12" w:space="0"/>
                  </w:tcBorders>
                  <w:shd w:val="clear" w:color="auto" w:fill="auto"/>
                  <w:vAlign w:val="center"/>
                </w:tcPr>
                <w:p>
                  <w:pPr>
                    <w:widowControl/>
                    <w:spacing w:line="360" w:lineRule="exact"/>
                    <w:jc w:val="center"/>
                    <w:rPr>
                      <w:szCs w:val="21"/>
                    </w:rPr>
                  </w:pPr>
                  <w:r>
                    <w:rPr>
                      <w:rFonts w:hint="eastAsia" w:ascii="宋体" w:hAnsi="宋体" w:cs="宋体"/>
                      <w:szCs w:val="21"/>
                      <w:lang w:bidi="ar"/>
                    </w:rPr>
                    <w:t>资源开发效率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1" w:type="dxa"/>
                  <w:tcBorders>
                    <w:top w:val="single" w:color="000000" w:sz="6" w:space="0"/>
                    <w:left w:val="single" w:color="000000" w:sz="12" w:space="0"/>
                    <w:bottom w:val="single" w:color="000000" w:sz="6" w:space="0"/>
                    <w:right w:val="single" w:color="000000" w:sz="6" w:space="0"/>
                  </w:tcBorders>
                  <w:shd w:val="clear" w:color="auto" w:fill="auto"/>
                  <w:vAlign w:val="center"/>
                </w:tcPr>
                <w:p>
                  <w:pPr>
                    <w:widowControl/>
                    <w:spacing w:line="360" w:lineRule="exact"/>
                    <w:jc w:val="center"/>
                    <w:rPr>
                      <w:szCs w:val="21"/>
                    </w:rPr>
                  </w:pPr>
                  <w:r>
                    <w:rPr>
                      <w:szCs w:val="21"/>
                      <w:lang w:bidi="ar"/>
                    </w:rPr>
                    <w:t>ZH64032430002</w:t>
                  </w:r>
                </w:p>
              </w:tc>
              <w:tc>
                <w:tcPr>
                  <w:tcW w:w="1977"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同心县</w:t>
                  </w:r>
                  <w:r>
                    <w:rPr>
                      <w:rFonts w:hint="eastAsia"/>
                      <w:szCs w:val="21"/>
                      <w:lang w:bidi="ar"/>
                    </w:rPr>
                    <w:t xml:space="preserve"> </w:t>
                  </w:r>
                  <w:r>
                    <w:rPr>
                      <w:rFonts w:hint="eastAsia" w:ascii="宋体" w:hAnsi="宋体" w:cs="宋体"/>
                      <w:szCs w:val="21"/>
                      <w:lang w:bidi="ar"/>
                    </w:rPr>
                    <w:t>韦州镇</w:t>
                  </w:r>
                  <w:r>
                    <w:rPr>
                      <w:szCs w:val="21"/>
                      <w:lang w:bidi="ar"/>
                    </w:rPr>
                    <w:t>,</w:t>
                  </w:r>
                  <w:r>
                    <w:rPr>
                      <w:rFonts w:hint="eastAsia" w:ascii="宋体" w:hAnsi="宋体" w:cs="宋体"/>
                      <w:szCs w:val="21"/>
                      <w:lang w:bidi="ar"/>
                    </w:rPr>
                    <w:t>下马关镇、田老庄乡一般管控单元</w:t>
                  </w:r>
                </w:p>
              </w:tc>
              <w:tc>
                <w:tcPr>
                  <w:tcW w:w="1994"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中部荒漠草原防沙治沙区；国家级重点生态功能区</w:t>
                  </w:r>
                </w:p>
              </w:tc>
              <w:tc>
                <w:tcPr>
                  <w:tcW w:w="63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76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一般管控单元</w:t>
                  </w:r>
                </w:p>
              </w:tc>
              <w:tc>
                <w:tcPr>
                  <w:tcW w:w="3760"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不得开展《宁夏回族自治区国家重点生态功能区产业准入清单》中同心县的产业准入清单外的产业项目活动。</w:t>
                  </w:r>
                </w:p>
              </w:tc>
              <w:tc>
                <w:tcPr>
                  <w:tcW w:w="83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76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765" w:type="dxa"/>
                  <w:tcBorders>
                    <w:top w:val="single" w:color="000000" w:sz="6" w:space="0"/>
                    <w:left w:val="single" w:color="000000" w:sz="6" w:space="0"/>
                    <w:bottom w:val="single" w:color="000000" w:sz="6" w:space="0"/>
                    <w:right w:val="single" w:color="000000" w:sz="12" w:space="0"/>
                  </w:tcBorders>
                  <w:shd w:val="clear" w:color="auto" w:fill="auto"/>
                  <w:vAlign w:val="center"/>
                </w:tcPr>
                <w:p>
                  <w:pPr>
                    <w:widowControl/>
                    <w:spacing w:line="360" w:lineRule="exact"/>
                    <w:jc w:val="center"/>
                    <w:rPr>
                      <w:szCs w:val="21"/>
                    </w:rPr>
                  </w:pPr>
                  <w:r>
                    <w:rPr>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1" w:type="dxa"/>
                  <w:tcBorders>
                    <w:top w:val="single" w:color="000000" w:sz="6" w:space="0"/>
                    <w:left w:val="single" w:color="000000" w:sz="12" w:space="0"/>
                    <w:bottom w:val="single" w:color="000000" w:sz="12"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符合性</w:t>
                  </w:r>
                </w:p>
              </w:tc>
              <w:tc>
                <w:tcPr>
                  <w:tcW w:w="1977" w:type="dxa"/>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1994" w:type="dxa"/>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630" w:type="dxa"/>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765" w:type="dxa"/>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3760" w:type="dxa"/>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spacing w:line="360" w:lineRule="exact"/>
                    <w:jc w:val="center"/>
                    <w:rPr>
                      <w:szCs w:val="21"/>
                    </w:rPr>
                  </w:pPr>
                  <w:r>
                    <w:rPr>
                      <w:rFonts w:hint="eastAsia" w:ascii="宋体" w:hAnsi="宋体" w:cs="宋体"/>
                      <w:szCs w:val="21"/>
                      <w:lang w:bidi="ar"/>
                    </w:rPr>
                    <w:t>符合</w:t>
                  </w:r>
                </w:p>
              </w:tc>
              <w:tc>
                <w:tcPr>
                  <w:tcW w:w="833" w:type="dxa"/>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765" w:type="dxa"/>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spacing w:line="360" w:lineRule="exact"/>
                    <w:jc w:val="center"/>
                    <w:rPr>
                      <w:szCs w:val="21"/>
                    </w:rPr>
                  </w:pPr>
                  <w:r>
                    <w:rPr>
                      <w:szCs w:val="21"/>
                      <w:lang w:bidi="ar"/>
                    </w:rPr>
                    <w:t>/</w:t>
                  </w:r>
                </w:p>
              </w:tc>
              <w:tc>
                <w:tcPr>
                  <w:tcW w:w="765" w:type="dxa"/>
                  <w:tcBorders>
                    <w:top w:val="single" w:color="000000" w:sz="6" w:space="0"/>
                    <w:left w:val="single" w:color="000000" w:sz="6" w:space="0"/>
                    <w:bottom w:val="single" w:color="000000" w:sz="12" w:space="0"/>
                    <w:right w:val="single" w:color="000000" w:sz="12" w:space="0"/>
                  </w:tcBorders>
                  <w:shd w:val="clear" w:color="auto" w:fill="auto"/>
                  <w:vAlign w:val="center"/>
                </w:tcPr>
                <w:p>
                  <w:pPr>
                    <w:widowControl/>
                    <w:spacing w:line="360" w:lineRule="exact"/>
                    <w:jc w:val="center"/>
                    <w:rPr>
                      <w:szCs w:val="21"/>
                    </w:rPr>
                  </w:pPr>
                  <w:r>
                    <w:rPr>
                      <w:szCs w:val="21"/>
                      <w:lang w:bidi="ar"/>
                    </w:rPr>
                    <w:t>/</w:t>
                  </w:r>
                </w:p>
              </w:tc>
            </w:tr>
          </w:tbl>
          <w:p>
            <w:pPr>
              <w:pStyle w:val="47"/>
              <w:ind w:firstLine="480"/>
              <w:rPr>
                <w:color w:val="auto"/>
              </w:rPr>
            </w:pPr>
            <w:r>
              <w:rPr>
                <w:rFonts w:hint="eastAsia"/>
                <w:color w:val="auto"/>
              </w:rPr>
              <w:t>因此，整体而言，项目符合“三线一单”的要求。</w:t>
            </w:r>
          </w:p>
          <w:p>
            <w:pPr>
              <w:pStyle w:val="47"/>
              <w:ind w:firstLine="480"/>
              <w:rPr>
                <w:color w:val="auto"/>
              </w:rPr>
            </w:pPr>
            <w:r>
              <w:rPr>
                <w:rFonts w:hint="eastAsia"/>
                <w:color w:val="auto"/>
              </w:rPr>
              <w:t>4、项目与《矿山生态环境保护与污染防治技术政策》（环发〔2005〕109号）相符性分析</w:t>
            </w:r>
          </w:p>
          <w:p>
            <w:pPr>
              <w:pStyle w:val="47"/>
              <w:numPr>
                <w:ilvl w:val="0"/>
                <w:numId w:val="2"/>
              </w:numPr>
              <w:ind w:firstLineChars="0"/>
              <w:jc w:val="center"/>
              <w:rPr>
                <w:b/>
                <w:bCs/>
                <w:color w:val="auto"/>
              </w:rPr>
            </w:pPr>
            <w:r>
              <w:rPr>
                <w:rFonts w:hint="eastAsia"/>
                <w:b/>
                <w:bCs/>
                <w:color w:val="auto"/>
              </w:rPr>
              <w:t>项目与矿山生态环境保护与污染防治技术政策符合性分析</w:t>
            </w:r>
          </w:p>
          <w:tbl>
            <w:tblPr>
              <w:tblStyle w:val="23"/>
              <w:tblW w:w="131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57"/>
              <w:gridCol w:w="1344"/>
              <w:gridCol w:w="5146"/>
              <w:gridCol w:w="5208"/>
              <w:gridCol w:w="48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7447" w:type="dxa"/>
                  <w:gridSpan w:val="3"/>
                  <w:shd w:val="clear" w:color="auto" w:fill="auto"/>
                  <w:vAlign w:val="center"/>
                </w:tcPr>
                <w:p>
                  <w:pPr>
                    <w:pStyle w:val="47"/>
                    <w:spacing w:line="360" w:lineRule="exact"/>
                    <w:ind w:firstLine="0" w:firstLineChars="0"/>
                    <w:jc w:val="center"/>
                    <w:rPr>
                      <w:color w:val="auto"/>
                      <w:sz w:val="21"/>
                    </w:rPr>
                  </w:pPr>
                  <w:r>
                    <w:rPr>
                      <w:rFonts w:hint="eastAsia"/>
                      <w:color w:val="auto"/>
                      <w:sz w:val="21"/>
                    </w:rPr>
                    <w:t>环发〔2005〕109号</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本项目</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57"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一、总则</w:t>
                  </w: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（三）指导方针和技术原则</w:t>
                  </w:r>
                </w:p>
              </w:tc>
              <w:tc>
                <w:tcPr>
                  <w:tcW w:w="5146"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矿产资源的开发应推行循环经济的“污染物减量、资源再利用和循环利用” 的技术原则</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矿山的废弃剥离物主要为采矿场的表土和夹石，矿山剥离产生的夹石部分作为建筑石料销售，部分进行回填。表土运往外排土场，一部分及时进行绿化，另一部分用于后期复垦使用</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57"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二、矿产资源开发规划与设计</w:t>
                  </w: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（一）禁止的矿产资源开发活动</w:t>
                  </w:r>
                </w:p>
              </w:tc>
              <w:tc>
                <w:tcPr>
                  <w:tcW w:w="5146"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1.禁止在依法划定的自然保护区（核心区、缓冲区）、风景名胜区、森林公园、饮用水水源保护区、重要湖泊周边、文物古迹所在地、地质遗迹保护区、基本农田保护区等区域内采矿。2.禁止在铁路、国道、省道两侧的直观可视范围内进行露天开采。3.禁止在地质灾害危险区开采矿产资源。4.禁止土法采、选冶金矿和土法冶炼汞、砷、铅、锌、焦、硫、钒等矿产资源开发活动。5.禁止新建对生态环境产生不可恢复利用的、产生破坏性影响的矿产资源开发项目。6.禁止新建煤层含硫量大于3%的煤矿。</w:t>
                  </w:r>
                </w:p>
              </w:tc>
              <w:tc>
                <w:tcPr>
                  <w:tcW w:w="5208" w:type="dxa"/>
                  <w:shd w:val="clear" w:color="auto" w:fill="auto"/>
                  <w:vAlign w:val="center"/>
                </w:tcPr>
                <w:p>
                  <w:pPr>
                    <w:pStyle w:val="47"/>
                    <w:spacing w:line="360" w:lineRule="exact"/>
                    <w:ind w:firstLine="420"/>
                    <w:jc w:val="center"/>
                    <w:rPr>
                      <w:color w:val="auto"/>
                      <w:sz w:val="21"/>
                    </w:rPr>
                  </w:pPr>
                  <w:r>
                    <w:rPr>
                      <w:rFonts w:hint="eastAsia"/>
                      <w:color w:val="auto"/>
                      <w:sz w:val="21"/>
                    </w:rPr>
                    <w:t>本项目不涉及自然保护区（核心区、缓冲区）、风景名胜区、森林公园、饮用水水源保护区、重要湖泊周边、文物古迹所在地、地质遗迹保护区、基本农田保护区等区域，本项目不在铁路、国道、省道两侧的直观可视范围内进行露天开采；项目所在地不属于地质灾害危险区；本项目为冶镁白云岩开采项目，项目按照矿山地质环境保护与土地复垦方案对矿山进行复垦绿化，对生态环境影响可通过相应生态恢复措施得到有效改善，项目的开采不会对矿产资源开发产生不可恢复利用的破坏性影响。</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7" w:type="dxa"/>
                  <w:vMerge w:val="continue"/>
                  <w:shd w:val="clear" w:color="auto" w:fill="auto"/>
                  <w:vAlign w:val="center"/>
                </w:tcPr>
                <w:p>
                  <w:pPr>
                    <w:pStyle w:val="47"/>
                    <w:spacing w:line="360" w:lineRule="exact"/>
                    <w:ind w:firstLine="0" w:firstLineChars="0"/>
                    <w:jc w:val="center"/>
                    <w:rPr>
                      <w:color w:val="auto"/>
                      <w:sz w:val="21"/>
                    </w:rPr>
                  </w:pP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（二）限制的矿产资源开发活动</w:t>
                  </w:r>
                </w:p>
              </w:tc>
              <w:tc>
                <w:tcPr>
                  <w:tcW w:w="5146" w:type="dxa"/>
                  <w:shd w:val="clear" w:color="auto" w:fill="auto"/>
                  <w:vAlign w:val="center"/>
                </w:tcPr>
                <w:p>
                  <w:pPr>
                    <w:pStyle w:val="47"/>
                    <w:spacing w:line="360" w:lineRule="exact"/>
                    <w:ind w:firstLine="0" w:firstLineChars="0"/>
                    <w:rPr>
                      <w:color w:val="auto"/>
                      <w:sz w:val="21"/>
                    </w:rPr>
                  </w:pPr>
                  <w:r>
                    <w:rPr>
                      <w:rFonts w:hint="eastAsia"/>
                      <w:color w:val="auto"/>
                      <w:sz w:val="21"/>
                    </w:rPr>
                    <w:t>1.限制在生态功能保护区和自然保护区（过渡区）内开采矿产资源。生态功能保护区内的开采活动必须符合当地的环境功能区规划，并按规定进行控制性开采，开采活动不得影响本功能区内的主导生态功能。2.限制在地质灾害易发区、水土流失严重区域等生态脆弱区内开采矿产资源。</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项目占地范围不涉及生态功能保护区和自然保护区（过渡区）；不在地质灾害易发区，属于中部荒漠草原防沙治沙区，建设单位已委托相关单位编制水土保持方案，项目拟采取水保措施防止水土流失。</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57" w:type="dxa"/>
                  <w:vMerge w:val="continue"/>
                  <w:shd w:val="clear" w:color="auto" w:fill="auto"/>
                  <w:vAlign w:val="center"/>
                </w:tcPr>
                <w:p>
                  <w:pPr>
                    <w:pStyle w:val="47"/>
                    <w:spacing w:line="360" w:lineRule="exact"/>
                    <w:ind w:firstLine="0" w:firstLineChars="0"/>
                    <w:jc w:val="center"/>
                    <w:rPr>
                      <w:color w:val="auto"/>
                      <w:sz w:val="21"/>
                    </w:rPr>
                  </w:pP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（三）矿产资源开发规划</w:t>
                  </w:r>
                </w:p>
              </w:tc>
              <w:tc>
                <w:tcPr>
                  <w:tcW w:w="5146"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1.矿产资源开发应符合国家产业政策要求，选址、布局应符合所在地的区域发展规划。2.矿产资源开发企业应制定矿产资源综合开发规划，并应进行环境影响评价，规划内容包括资源开发利用、生态环境保护、地质灾害防治、水土保持、废弃地复垦等。3.在矿产资源的开发规划阶段，应对矿区内的生态环境进行充分调查，建立矿区的水文、地质、土壤和动植物等生态环境和人文环境基础状况数据库。同时，应对矿床开采可能产生的区域地质环境问题进行预测和评价。4.矿产资源开发规划阶段还应注重对矿山所在区域生态环境的保护。</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项目开发符合国家产业政策要求，选址、布局符合所在地矿产资源总体规划；项目按要求进行编制矿产资源开发利用方案和环境影响评价。</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57" w:type="dxa"/>
                  <w:vMerge w:val="continue"/>
                  <w:shd w:val="clear" w:color="auto" w:fill="auto"/>
                  <w:vAlign w:val="center"/>
                </w:tcPr>
                <w:p>
                  <w:pPr>
                    <w:pStyle w:val="47"/>
                    <w:spacing w:line="360" w:lineRule="exact"/>
                    <w:ind w:firstLine="0" w:firstLineChars="0"/>
                    <w:jc w:val="center"/>
                    <w:rPr>
                      <w:color w:val="auto"/>
                      <w:sz w:val="21"/>
                    </w:rPr>
                  </w:pP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（四）矿产资源开发设计</w:t>
                  </w:r>
                </w:p>
              </w:tc>
              <w:tc>
                <w:tcPr>
                  <w:tcW w:w="5146"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1.应优先选择废物产生量少、水重复利用率高，对矿区生态环境影响小的采、选矿生产工艺与技术。2.应考虑低污染、高附加值的产业链延伸建设，把资源优势转化为经济优势。提倡煤－电、煤－化工、煤－焦、煤－建材、铁矿石－铁精矿－球团矿等低污染、高附加值的产业链延伸建设。3.矿井水、选矿水和矿山其它外排水应统筹规划、分类管理、综合利用。4.选矿厂设计时，应考虑最大限度地提高矿产资源的回收利用率，并同时考 虑共、伴生资源的综合利用。5.地面运输系统设计时，宜考虑采用封闭运输通道运输矿物和固体废物。</w:t>
                  </w:r>
                </w:p>
              </w:tc>
              <w:tc>
                <w:tcPr>
                  <w:tcW w:w="5208" w:type="dxa"/>
                  <w:shd w:val="clear" w:color="auto" w:fill="auto"/>
                  <w:vAlign w:val="center"/>
                </w:tcPr>
                <w:p>
                  <w:pPr>
                    <w:pStyle w:val="47"/>
                    <w:spacing w:line="360" w:lineRule="exact"/>
                    <w:ind w:firstLine="420"/>
                    <w:jc w:val="center"/>
                    <w:rPr>
                      <w:color w:val="auto"/>
                      <w:sz w:val="21"/>
                    </w:rPr>
                  </w:pPr>
                  <w:r>
                    <w:rPr>
                      <w:rFonts w:hint="eastAsia"/>
                      <w:color w:val="auto"/>
                      <w:sz w:val="21"/>
                    </w:rPr>
                    <w:t>项目露天开采选用单斗—卡车工艺，废物产生量少，水重复利用率高，对矿区生态环境影响小；项目开采出来的矿石根据冶镁技术对原料的要求，破碎后外售，生产过程中质量达标的剥离岩石运至破碎场进行破碎，破碎筛分后作为建筑石料外销，部分劣质矿石用于厂区采空区或冲沟回填。项目无生产废水产生，项目员工洗漱废水水质简单，厂区泼洒降尘；生活区设置防渗旱厕；矿区及厂区建有雨水排水沟，地表径流水经沉砂池处理后用于厂区泼洒降尘或外排，抑尘用水全部损耗；车辆冲洗废水经隔油沉淀池处理后回用于车辆冲洗，不外排。</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301" w:type="dxa"/>
                  <w:gridSpan w:val="2"/>
                  <w:shd w:val="clear" w:color="auto" w:fill="auto"/>
                  <w:vAlign w:val="center"/>
                </w:tcPr>
                <w:p>
                  <w:pPr>
                    <w:pStyle w:val="47"/>
                    <w:spacing w:line="360" w:lineRule="exact"/>
                    <w:ind w:firstLine="0" w:firstLineChars="0"/>
                    <w:jc w:val="center"/>
                    <w:rPr>
                      <w:color w:val="auto"/>
                      <w:sz w:val="21"/>
                    </w:rPr>
                  </w:pPr>
                  <w:r>
                    <w:rPr>
                      <w:rFonts w:hint="eastAsia"/>
                      <w:color w:val="auto"/>
                      <w:sz w:val="21"/>
                    </w:rPr>
                    <w:t>三、矿山基建</w:t>
                  </w:r>
                </w:p>
              </w:tc>
              <w:tc>
                <w:tcPr>
                  <w:tcW w:w="5146" w:type="dxa"/>
                  <w:shd w:val="clear" w:color="auto" w:fill="auto"/>
                  <w:vAlign w:val="center"/>
                </w:tcPr>
                <w:p>
                  <w:pPr>
                    <w:pStyle w:val="47"/>
                    <w:spacing w:line="360" w:lineRule="exact"/>
                    <w:ind w:firstLine="0" w:firstLineChars="0"/>
                    <w:rPr>
                      <w:color w:val="auto"/>
                      <w:sz w:val="21"/>
                    </w:rPr>
                  </w:pPr>
                  <w:r>
                    <w:rPr>
                      <w:rFonts w:hint="eastAsia"/>
                      <w:color w:val="auto"/>
                      <w:sz w:val="21"/>
                    </w:rPr>
                    <w:t>1.对矿山勘探性钻孔应采取封闭等措施进行处理，以确保生产安全。2.对矿山基建可能影响的具有保护价值的动、植物资源，应优先采取就地、就近保护措施。3.对矿山基建产生的表土、底土和岩石等应分类堆放、分类管理和充分利用。对表土、底土和适于植物生长的地层物质均应进行保护性堆存和利用，可优先用作废弃地复垦时的土壤重构用土。4.矿山基建应尽量少占用农田和耕地，矿山基建临时性占地应及时恢复。</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勘探性钻孔采取封闭等措施进行处理；矿山评价范围内未发现具有保护价值的动植物资源；矿山的废弃剥离物主要为采矿场的表土和夹石，剥离产生的夹石部分作为建筑石料销售，部分进行回填，全部进行综合利用。表土运往外排土场，一部分及时进行绿化，另一部分用于后期复垦使用，单独堆存在露天二采区内废弃采坑内设置的表土单独存放场内。项目不占用农田和耕地，矿山基建临时性占地及时恢复。</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7"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四、采矿</w:t>
                  </w: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（一）鼓励采用的采矿技术</w:t>
                  </w:r>
                </w:p>
              </w:tc>
              <w:tc>
                <w:tcPr>
                  <w:tcW w:w="5146"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1.对于露天开采的矿山，宜推广剥离—排土—造地—复垦一体化技术。2.对于水力开采的矿山，宜推广水重复利用率高的开采技术。3.推广应用充填采矿工艺技术，提倡废石不出井，利用尾砂、废石充填采空 区。4.推广减轻地表沉陷的开采技术，如条带开采、分层间隙开采等技术。5.对于有色、稀土等矿山，宜研究推广溶浸采矿工艺技术，发展集采、选、冶于一体，直接从矿床中获取金属的工艺技术。 6.加大煤炭地下气化与开采技术的研究力度，推广煤层气开发技术，提高煤 层气的开发利用水平。7.在不能对基础设施、道路、河流、湖泊、林木等进行拆迁或异地补偿的情况下，在矿山开采中应保留安全矿柱，确保地面塌陷在允许范围内。</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项目露天开采采取剥离—排土—造地—复垦一体化技术，露天开采剥离产生的夹石部分作为建筑石料销售，部分进行回填，全部进行综合利用。</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57" w:type="dxa"/>
                  <w:shd w:val="clear" w:color="auto" w:fill="auto"/>
                  <w:vAlign w:val="center"/>
                </w:tcPr>
                <w:p>
                  <w:pPr>
                    <w:pStyle w:val="47"/>
                    <w:spacing w:line="360" w:lineRule="exact"/>
                    <w:ind w:firstLine="0" w:firstLineChars="0"/>
                    <w:jc w:val="center"/>
                    <w:rPr>
                      <w:color w:val="auto"/>
                      <w:sz w:val="21"/>
                    </w:rPr>
                  </w:pP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（二）矿坑水的综合利用和废水、废气的处理</w:t>
                  </w:r>
                </w:p>
              </w:tc>
              <w:tc>
                <w:tcPr>
                  <w:tcW w:w="5146"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1.鼓励将矿坑水优先利用为生产用水，作为辅助水源加以利用。在干旱缺水地区，鼓励将外排矿坑水用于农林灌溉，其水质应达到相应标准要求。2.宜采取修筑排水沟、引流渠，预先截堵水，防渗漏处理等措施，防止或减少各种水源进入露天采场和地下井巷。 3.宜采取灌浆等工程措施，避免和减少采矿活动破坏地下水均衡系统。4.研究推广酸性矿坑废水、高矿化度矿坑废水和含氟、锰等特殊污染物矿坑水的高效处理工艺与技术。5.积极推广煤矿瓦斯抽放回收利用技术，将其用于发电、制造炭黑、民用燃料、制造化工产品等。6.宜采用安装除尘装置，湿式作业，个体防护等措施，防治凿岩、铲装、运输等采矿作业中的粉尘污染。</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本项目矿坑水（雨水）优先利用为生产降尘，道路和堆场洒水降尘；项目采取修建截排水沟，避免降雨形成的场外径流倾入采场；依据详查、勘探两阶段钻探施工结果，核实区的地下水位在+1484m标高以下，而所获冶镁白云岩资源量均在+1540m标高以上。因此，开采最低标高在地下水位以上，所以不涉及地下水对矿床的充水问题；本项目矿石开采、装载过程采取喷淋洒水的方式以减少粉尘的产生，在矿岩运输过程中，建设单位加强矿区管理，在矿区设置洒水车和炮雾机，控制运输车辆的车速以减少运输粉尘的产生。</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57" w:type="dxa"/>
                  <w:shd w:val="clear" w:color="auto" w:fill="auto"/>
                  <w:vAlign w:val="center"/>
                </w:tcPr>
                <w:p>
                  <w:pPr>
                    <w:pStyle w:val="47"/>
                    <w:spacing w:line="360" w:lineRule="exact"/>
                    <w:ind w:firstLine="0" w:firstLineChars="0"/>
                    <w:jc w:val="center"/>
                    <w:rPr>
                      <w:color w:val="auto"/>
                      <w:sz w:val="21"/>
                    </w:rPr>
                  </w:pPr>
                </w:p>
              </w:tc>
              <w:tc>
                <w:tcPr>
                  <w:tcW w:w="134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（三）固体废物贮存和综合利用</w:t>
                  </w:r>
                </w:p>
              </w:tc>
              <w:tc>
                <w:tcPr>
                  <w:tcW w:w="5146"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1.对采矿活动所产生的固体废物，应使用专用场所堆放，并采取有效措施防止二次环境污染及诱发次生地质灾害。 （1）应根据采矿固体废物的性质、贮存场所的工程地质情况，采用完善的防渗、集排水措施，防止淋溶水污染地表水和地下水；（2）宜采用水覆盖法、湿地法、碱性物料回填等方法，预防和降低废石场的酸性废水污染；（3）煤矸石堆存时，宜采取分层压实，粘土覆盖，快速建立植被等措施，防止矸石山氧化自燃。2.大力推广采矿固体废物的综合利用技术。 1）推广表外矿和废石中有价元素和矿物的回收技术，如采用生物浸出－ 溶剂萃取－电积技术回收废石中的铜等； （2）推广利用采矿固体废物加工生产建筑材料及制品技术，如生产铺路材料、制砖等；（3）推广煤矸石的综合利用技术，如利用煤矸石发电、生产水泥和肥料、制砖等。</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山的废弃剥离物主要为采矿场的表土和夹石，剥离产生的夹石部分作为建筑石料销售，部分进行回填，全部进行综合利用。表土运往外排土场，一部分及时进行绿化，另一部分用于后期复垦使用，单独堆存在露天二采区内废弃采坑内设置的表土单独存放场内。</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301" w:type="dxa"/>
                  <w:gridSpan w:val="2"/>
                  <w:shd w:val="clear" w:color="auto" w:fill="auto"/>
                  <w:vAlign w:val="center"/>
                </w:tcPr>
                <w:p>
                  <w:pPr>
                    <w:pStyle w:val="47"/>
                    <w:spacing w:line="360" w:lineRule="exact"/>
                    <w:ind w:firstLine="0" w:firstLineChars="0"/>
                    <w:jc w:val="center"/>
                    <w:rPr>
                      <w:color w:val="auto"/>
                      <w:sz w:val="21"/>
                    </w:rPr>
                  </w:pPr>
                  <w:r>
                    <w:rPr>
                      <w:rFonts w:hint="eastAsia"/>
                      <w:color w:val="auto"/>
                      <w:sz w:val="21"/>
                    </w:rPr>
                    <w:t>六、废弃地复垦</w:t>
                  </w:r>
                </w:p>
              </w:tc>
              <w:tc>
                <w:tcPr>
                  <w:tcW w:w="5146" w:type="dxa"/>
                  <w:shd w:val="clear" w:color="auto" w:fill="auto"/>
                  <w:vAlign w:val="center"/>
                </w:tcPr>
                <w:p>
                  <w:pPr>
                    <w:pStyle w:val="47"/>
                    <w:spacing w:line="360" w:lineRule="exact"/>
                    <w:ind w:firstLine="420"/>
                    <w:jc w:val="center"/>
                    <w:rPr>
                      <w:color w:val="auto"/>
                      <w:sz w:val="21"/>
                    </w:rPr>
                  </w:pPr>
                  <w:r>
                    <w:rPr>
                      <w:rFonts w:hint="eastAsia"/>
                      <w:color w:val="auto"/>
                      <w:sz w:val="21"/>
                    </w:rPr>
                    <w:t>1.矿山开采企业应将废弃地复垦纳入矿山日常生产与管理，提倡采用采（选）矿—排土（尾）—造地—复垦一体化技术。2.矿山废弃地复垦应做可垦性试验，采取最合理的方式进行废弃地复垦。对于存在污染的矿山废弃地，不宜复垦作为农牧业生产用地；对于可开发为 农牧业用地的矿山废弃地，应对其进行全面的监测与评估。 3.矿山生产过程中应采取种植植物和覆盖等复垦措施，对露天坑、废石场、 尾矿库、矸石山等永久性坡面进行稳定化处理，防止水土流失和滑坡。废石场、尾矿库、矸石山等固废堆场服务期满后，应及时封场和复垦，防止水土流失及风蚀扬尘等。 4.鼓励推广采用覆岩离层注浆，利用尾矿、废石充填采空区等技术，减轻采 空区上覆岩层塌陷。 5.采用生物工程进行废弃地复垦时，宜对土壤重构、地形、景观进行优化设计，对物种选择、配置及种植方式进行优化。</w:t>
                  </w:r>
                </w:p>
              </w:tc>
              <w:tc>
                <w:tcPr>
                  <w:tcW w:w="5208"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露天开采采取剥离—排土—造地—复垦一体化技术，露天开采剥离产生的夹石部分作为建筑石料销售，部分进行回填，全部进行综合利用。建设单位已委托相关单位编制矿山地质环境保护与土地复垦方案和水土保持方案，项目按照环境保护与土地复垦方案采取最合理的方式进行废弃地复垦，采取水保措施防止水土流失。</w:t>
                  </w:r>
                </w:p>
              </w:tc>
              <w:tc>
                <w:tcPr>
                  <w:tcW w:w="485"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bl>
          <w:p>
            <w:pPr>
              <w:pStyle w:val="47"/>
              <w:ind w:firstLine="480"/>
              <w:rPr>
                <w:color w:val="auto"/>
              </w:rPr>
            </w:pPr>
            <w:r>
              <w:rPr>
                <w:rFonts w:hint="eastAsia"/>
                <w:color w:val="auto"/>
              </w:rPr>
              <w:t>由上表可知，项目满足《矿山生态环境保护与污染防治技术政策》（环发〔2005〕109号）中提出的矿山生态保护和污染防治技术要求。</w:t>
            </w:r>
          </w:p>
          <w:p>
            <w:pPr>
              <w:pStyle w:val="47"/>
              <w:ind w:firstLine="480"/>
              <w:rPr>
                <w:color w:val="auto"/>
              </w:rPr>
            </w:pPr>
            <w:r>
              <w:rPr>
                <w:rFonts w:hint="eastAsia"/>
                <w:color w:val="auto"/>
              </w:rPr>
              <w:t>5、项目与《宁夏砂石土矿绿色矿山建设规范》（DB64/T 1750-2020）相符性分析</w:t>
            </w:r>
          </w:p>
          <w:p>
            <w:pPr>
              <w:pStyle w:val="47"/>
              <w:numPr>
                <w:ilvl w:val="0"/>
                <w:numId w:val="2"/>
              </w:numPr>
              <w:ind w:firstLineChars="0"/>
              <w:jc w:val="center"/>
              <w:rPr>
                <w:b/>
                <w:bCs/>
                <w:color w:val="auto"/>
              </w:rPr>
            </w:pPr>
            <w:r>
              <w:rPr>
                <w:rFonts w:hint="eastAsia"/>
                <w:b/>
                <w:bCs/>
                <w:color w:val="auto"/>
              </w:rPr>
              <w:t>项目与《宁夏砂石土矿绿色矿山建设规范》（DB64/T 1750-2020）相符性分析</w:t>
            </w:r>
          </w:p>
          <w:tbl>
            <w:tblPr>
              <w:tblStyle w:val="23"/>
              <w:tblW w:w="131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81"/>
              <w:gridCol w:w="851"/>
              <w:gridCol w:w="6452"/>
              <w:gridCol w:w="4604"/>
              <w:gridCol w:w="6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7884" w:type="dxa"/>
                  <w:gridSpan w:val="3"/>
                  <w:shd w:val="clear" w:color="auto" w:fill="auto"/>
                  <w:vAlign w:val="center"/>
                </w:tcPr>
                <w:p>
                  <w:pPr>
                    <w:pStyle w:val="47"/>
                    <w:spacing w:line="360" w:lineRule="exact"/>
                    <w:ind w:firstLine="0" w:firstLineChars="0"/>
                    <w:jc w:val="center"/>
                    <w:rPr>
                      <w:b/>
                      <w:bCs/>
                      <w:color w:val="auto"/>
                      <w:sz w:val="21"/>
                    </w:rPr>
                  </w:pPr>
                  <w:bookmarkStart w:id="2" w:name="_Hlk130829106"/>
                  <w:r>
                    <w:rPr>
                      <w:rFonts w:hint="eastAsia"/>
                      <w:b/>
                      <w:bCs/>
                      <w:color w:val="auto"/>
                      <w:sz w:val="21"/>
                    </w:rPr>
                    <w:t>《宁夏砂石土矿绿色矿山建设规范》（DB64/T 1750-2020）</w:t>
                  </w:r>
                </w:p>
              </w:tc>
              <w:tc>
                <w:tcPr>
                  <w:tcW w:w="4604" w:type="dxa"/>
                  <w:shd w:val="clear" w:color="auto" w:fill="auto"/>
                  <w:vAlign w:val="center"/>
                </w:tcPr>
                <w:p>
                  <w:pPr>
                    <w:pStyle w:val="47"/>
                    <w:spacing w:line="360" w:lineRule="exact"/>
                    <w:ind w:firstLine="0" w:firstLineChars="0"/>
                    <w:jc w:val="center"/>
                    <w:rPr>
                      <w:b/>
                      <w:bCs/>
                      <w:color w:val="auto"/>
                      <w:sz w:val="21"/>
                    </w:rPr>
                  </w:pPr>
                  <w:r>
                    <w:rPr>
                      <w:rFonts w:hint="eastAsia"/>
                      <w:b/>
                      <w:bCs/>
                      <w:color w:val="auto"/>
                      <w:sz w:val="21"/>
                    </w:rPr>
                    <w:t>本项目情况</w:t>
                  </w:r>
                </w:p>
              </w:tc>
              <w:tc>
                <w:tcPr>
                  <w:tcW w:w="652" w:type="dxa"/>
                  <w:shd w:val="clear" w:color="auto" w:fill="auto"/>
                  <w:vAlign w:val="center"/>
                </w:tcPr>
                <w:p>
                  <w:pPr>
                    <w:pStyle w:val="47"/>
                    <w:spacing w:line="360" w:lineRule="exact"/>
                    <w:ind w:firstLine="0" w:firstLineChars="0"/>
                    <w:jc w:val="center"/>
                    <w:rPr>
                      <w:b/>
                      <w:bCs/>
                      <w:color w:val="auto"/>
                      <w:sz w:val="21"/>
                    </w:rPr>
                  </w:pPr>
                  <w:r>
                    <w:rPr>
                      <w:rFonts w:hint="eastAsia"/>
                      <w:b/>
                      <w:bCs/>
                      <w:color w:val="auto"/>
                      <w:sz w:val="21"/>
                    </w:rPr>
                    <w:t>符合情况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5 矿区环境</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5.1 矿容矿貌</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5.1.1矿山应统筹资源、环境、物流和市场等因素合理布局，推动产业规模化、集约化发展。5.1.2矿区所处位置应符合相关规划，不应在规定禁止、限制开采范围内，周边安全距离应符合相关要求，资源开发应与城乡建设、环境保护、资源保护、防洪安全相协调。5.1.3矿区按生产区、办公区、生活区和生态区等功能分区，各功能区应有符合GB50187规定，并有相应的管理机构和管理制度。5.1.4矿区道路、供水、供电、卫生、环保等配套设施应齐全；生产区应设置操作提示牌、说明牌、线路示意牌、安全警示牌、岗位技术操作规程牌等，标牌应符合GB/T13306规定；在需要警示安全的区域应设置安全标志，安全标志应符合 GB14161规定。5.1.5矿山生产过程中应对输送系统、生产线、材料库采取喷雾、洒水或生物纳膜、加装除尘设备等措施处置粉尘，工作场所粉尘浓度应符合GBZ2.1规定。5.1.6应采用合理有效的技术措施对高噪音设备进行降噪处理，工作场所噪音限值应符合GBZ2.2要求，工业企业厂界噪音排放限值应符合GB12348要求，建筑施工厂界噪音排放限值应符合GB12523要求。5.1.7矿区生产、生活形成的固体废弃物应设置专用堆积场所，其建设、运行和管理应符合GB18599以及国家和自治区关于安全、环保和监测等相关法律法规的要求。5.1.8矿山开采面、作业平台应规范管理、干净整洁。</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建设符与《宁夏回族自治区矿产资源总体规划（2021-2025年）》和《吴忠市矿产资源总体规划（2021-2025）》相符，不在规定禁止、限制开采范围内，周边安全距离符合相关要求，资源开发与城乡建设、环境保护、资源保护、防洪安全相协调；矿区按生产区、办公区、生活区和生态区等功能分区，各功能区符合GB50187规定，并有相应的管理机构和管理制度；矿区道路、供水、供电、卫生、环保等配套设施齐全；生产区设置操作提示牌、说明牌、线路示意牌、安全警示牌、岗位技术操作规程牌等，标牌符合GB/T13306规定；在需要警示安全的区域应置安全标志，安全标志符合 GB14161规定；矿山生产过程中对输送系统、生产线、材料库采取喷雾、洒水、加装除尘设备等措施处置粉尘，工作场所粉尘浓度符合</w:t>
                  </w:r>
                  <w:bookmarkStart w:id="3" w:name="_Hlk126833600"/>
                  <w:r>
                    <w:rPr>
                      <w:rFonts w:hint="eastAsia"/>
                      <w:color w:val="auto"/>
                      <w:sz w:val="21"/>
                    </w:rPr>
                    <w:t>GBZ2.1</w:t>
                  </w:r>
                  <w:bookmarkEnd w:id="3"/>
                  <w:r>
                    <w:rPr>
                      <w:rFonts w:hint="eastAsia"/>
                      <w:color w:val="auto"/>
                      <w:sz w:val="21"/>
                    </w:rPr>
                    <w:t>规定。项目拟采用合理有效的技术措施对高噪音设备进行降噪处理，工作场所噪音限值符合GBZ2.2要求，工业企业厂界噪音排放限值符合GB12348要求，建筑施工厂界噪音排放限值符合GB12523要求；矿区生产、生活形成的固体废弃物设置专用堆积场所，其建设、运行和管理符合GB18599以及国家和自治区关于安全、环保和监测等相关法律法规的要求；矿山开采面、作业平台规范管理、干净整洁。</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5.2 矿区绿化</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 xml:space="preserve">5.2.1 矿区整体环境应整洁美观，与周边自然景观相协调，因地制宜合理搭配易生存、生长快、适应性强、抗逆活率高的植物，矿区绿化覆盖率应达到100%。5.2.2 应对排土场、终了边坡进行复垦及绿化，矿区主运输通道在不造成违法占地的情况下应进行路面硬化，暂时难以处理的应铺设碎石并充分洒水碾压，并进行定期维护，道路两侧因地制宜设置隔离绿化带。 </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区整体环境整洁美观，与周边自然景观相协调，因地制宜合理搭配易生存、生长快、适应性强、抗逆活率高的植物，矿区绿化覆盖率达到100%；对排土场、终了边坡进行复垦及绿化，矿区主运输通道在不造成违法占地的情况下应进行路面硬化，暂时难以处理的铺设碎石并充分洒水碾压，并进行定期维护，道路两侧因地制宜设置隔离绿化带。</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81"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6 资源开发方式</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6.1 基本要求</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6.1.1 资源开发利用活动应符合国家有关产业政策，按照宁夏回族自治区各级矿产资源规划，制定科学合理的中长期和短期开采规划，保持合理、稳定的市场供需关系。6.1.2遵循矿区资源赋存状况、生态环境特征等条件，依据自然条件、安全文明、环境保护等管理要 求选择资源节约型、环境友好型开发方式，最大限制减小对自然环境的扰动，做到绿色开采、绿色生产、绿色存储、绿色运输。6.1.3根据砂石土赋存状况、生态环境特征等条件，因地制宜选择合理的开采顺序、开采方式、开采方法，科学制定并严格执行矿产资源开发利用方案及开采设计方案。</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资源开发利用活动符合国家产业政策，按照宁夏回族自治区、吴忠市矿产资源规划，制定科学合理的中长期和短期开采规划，保持合理、稳定的市场供需关系；遵循矿区资源赋存状况、生态环境特征等条件，依据自然条件、安全文明、环境保护等管理要求选择资源节约型、环境友好型开发方式，最大限制减小对自然环境的扰动，做到绿色开采、绿色生产、绿色存储、绿色运输。因地制宜选择合理的开采顺序、开采方式、开采方法，科学制定并严格执行矿产资源开发利用方案及开采设计方案。</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6.2绿色开采</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6.2.1采场应遵循“采剥并举、剥离先行”的原则，最大限度保留原生自然环境，减少对矿区植被破坏引起的视觉污染和环境扰动。 6.2.2新建、改扩建矿山设计应符合相关设计规范规定，露天边坡工程设计应符合GB51016的规定，终了平台(安全平台、清扫平台)应留设规范，宽度有利于复垦绿化。6.2.3矿山应采用高效、安全、环保的钻（穿）孔设备及技术；鼓励采用新设备、新技术、新工艺，实现爆破安全、高效、经济、环保等效果。6.2.4爆破区应采用雾炮、喷洒表面活性剂溶液等方式降低爆破粉尘生产。6.2.5对凿岩、破碎、空压等装备，要采取措施消声、减振、隔振，降低噪声扰民，保证现场工作人员身心健康。6.2.6排土场位置应符合相关规定，通过勘查选择地质条件稳定的场所，避免占压可采矿量；做好防护措施，保证堆放安全，因地制宜采用覆盖网进行覆盖，或撒播草种防止水土流失，方便未来矿区进行环境恢复治理和土地复垦时取用。6.2.7原料破碎设备应符合GB18452的规定，破碎前一般应进行除泥（土）工序。矿石粗破系统应靠近采区布置，有条件的也可在采区内进行粗破，破碎后矿石宜采用连续输送机输送到砂石生产厂区。6.2.8应严格执行矿山开采施工设计和资源开发利用方案，露天开采应实行自上而下，分水平台段（阶）式开采，开采范围较大的露天矿山，应分期、分区接替开采，避免露天采场长时间、大面积裸露；6.2.9矿产资源开采回采率应符合矿产资源开发利用方案指标</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采场遵循“采剥并举、剥离先行”的原则，最大限度保留原生自然环境，减少对矿区植被破坏引起的视觉污染和环境扰动；露天边坡工程设计符合GB51016的规定，终了平台(安全平台、清扫平台)留设规范，宽度有利于复垦绿化；采用高效、安全、环保的钻（穿）孔设备及技术；爆破区采用雾炮降低爆破粉尘生产；6.对凿岩、破碎、空压等装备，采取措施消声、减振、隔振，降低噪声扰民，保证现场工作人员身心健康；排土场位置符合相关规定，通过勘查选择地质条件稳定的场所，避免占压可采矿量；做好防护措施，保证堆放安全，因地制宜采用覆盖网进行覆盖，或撒播草种防止水土流失，方便未来矿区进行环境恢复治理和土地复垦时取用；原料破碎设备符合GB18452的规定，破碎前不需进行除泥（土）工序；矿石粗破系统在采区内进行粗破，破碎后矿石采用单斗—卡车工艺送到砂石生产厂区；严格执行矿山开采施工设计和资源开发利用方案，露天开采实行自上而下，分水平台段（阶）式开采，分期、分区接替开采，避免露天采场长时间、大面积裸露；矿产资源开采回采率符合矿产资源开发利用方案指标</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6.3 绿色生产</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6.3.1 应根据地方相关主管部门核发的采矿许可证规定的生产规模，以及目标市场需求确定生产线规模。6.3.2生产线和产品技术指标应符合GB51186的要求，设计中体现节能、环保、安全、高效的理念，应根据地形条件合理布置生产设备，规划堆料、装卸及设备检修维护场地等，采场工作面推进均衡有序。6.3.3应根据母岩材质性能、产品结构、产能要求等因素，选择国家鼓励性技术工艺和设备，配置与生产规模和工艺相符的辅助设施。6.3.4原料生产及设备配置应能灵活调整砂石成品级配和石粉含量，做到优质优用，提高砂石产品的成品率，生产机制石过程中筛余的石屑宜作为机制砂原料，鼓励建设粗、细骨料联合生产线。6.3.5产品质量应符合 GB/T 14684、GB/T14685等标准的要求，粒形和级配要求高时应设置整形和级配调整工序进行深加工。6.3.6因矿制宜采用干法或湿法生产工艺。干法生产应配备高效除尘设备，并保持与生产设备同步运行；湿法生产应配备泥粉和水分离、废水处理和循环使用系统。6.3.7生产加工车间的产尘点要封闭，有利于形成负压除尘，同时安装除尘装置；物料输送宜采用长距离皮带式输送，输送系统廊道应选用封闭方式，防止粉尘逸撒；所有设备的传动部件应设防护罩。6.3.8 应选用低噪声生产设备；对高噪强振的设备，应采取消声、减振措施；合理设计工艺布置，控制噪声传播。</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根据吴忠市自然资源局核发的采矿许可证规定的生产规模，以及目标市场需求确定生产线规模；生产线和产品技术指标符合GB51186的要求，设计中体现节能、环保、安全、高效的理念，根据地形条件合理布置生产设备，规划堆料、装卸及设备检修维护场地等，采场工作面推进均衡有序；根据母岩材质性能、产品结构、产能要求等因素，选择国家鼓励性技术工艺和设备，配置与生产规模和工艺相符的辅助设施；原料生产及设备配置能灵活调整砂石成品级配和石粉含量，做到优质优用，提高砂石产品的成品率，碎石筛分过程中筛余的石屑与白云岩粉末产品一同出售；产品质量符合 GB/T14684、GB/T14685等标准的要求；项目采用干法生产工艺，配备高效除尘设备，并保持与生产设备同步运行；生产加工车间的产尘点封闭，同时安装除尘装置；物料输送采用长距离皮带式输送，输送系统廊道选用封闭方式，防止粉尘逸撒；所有设备的传动部件设防护罩；项目选用低噪声生产设备；对高噪强振的设备，采取消声、减振措施；合理设计工艺布置，控制噪声传播。</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6.4绿色储存</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6.4.1应建立完善的堆存管理体系，砂石骨料成品根据类别、规格应隔离分类储存，有条件的矿山应采用封闭式料仓分仓储存，防止人为碾压、混料和污染。6.4.2砂石骨料成品堆场（库）应地面硬化，粉性物料必须全封闭储存。</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项目建立完善的堆存管理体系，砂石骨料成品根据类别、规格隔离分类储存，采用封闭式厂房分仓储存，防止人为碾压、混料和污染；砂石骨料成品堆场（库）地面硬化，粉性物料全封闭储存。</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6.5 绿色运输</w:t>
                  </w:r>
                </w:p>
              </w:tc>
              <w:tc>
                <w:tcPr>
                  <w:tcW w:w="6452" w:type="dxa"/>
                  <w:shd w:val="clear" w:color="auto" w:fill="auto"/>
                  <w:vAlign w:val="center"/>
                </w:tcPr>
                <w:p>
                  <w:pPr>
                    <w:pStyle w:val="47"/>
                    <w:spacing w:line="360" w:lineRule="exact"/>
                    <w:ind w:firstLine="420"/>
                    <w:jc w:val="center"/>
                    <w:rPr>
                      <w:color w:val="auto"/>
                      <w:sz w:val="21"/>
                    </w:rPr>
                  </w:pPr>
                  <w:r>
                    <w:rPr>
                      <w:rFonts w:hint="eastAsia"/>
                      <w:color w:val="auto"/>
                      <w:sz w:val="21"/>
                    </w:rPr>
                    <w:t>6.5.1 矿石运输方式应结合矿山地形地质条件、岩石特性、开采方案、运输强度等因素，按照JC/T2299要求，科学合理的选择运输方案，鼓励采用自动装车系统，宜推进清洁能源和新能源运输工具在 矿山运输中的应用6.5.2矿区主要运输道路修建应符合相关规定和设计要求，矿区主运输通道在不造成违法占地的情况下应进行路面硬化，暂时难以处理的应定期铺设碎石并充分洒水碾压，进行定期维护。6.5.3运输车辆应采用厢式密闭车辆或采取有效覆盖、限载等防尘措施，严禁敞开式运输，保持矿区及周边环境卫生;车辆驶离矿区必须冲洗泥污，严禁运料遗撒和带泥上路，水资源条件允许地区宜推广设置车辆自动冲洗设施，并建设沉淀池，洗车污水经处理后循环使用。</w:t>
                  </w:r>
                </w:p>
              </w:tc>
              <w:tc>
                <w:tcPr>
                  <w:tcW w:w="4604" w:type="dxa"/>
                  <w:shd w:val="clear" w:color="auto" w:fill="auto"/>
                  <w:vAlign w:val="center"/>
                </w:tcPr>
                <w:p>
                  <w:pPr>
                    <w:pStyle w:val="47"/>
                    <w:spacing w:line="360" w:lineRule="exact"/>
                    <w:ind w:firstLine="0" w:firstLineChars="0"/>
                    <w:rPr>
                      <w:color w:val="auto"/>
                      <w:sz w:val="21"/>
                    </w:rPr>
                  </w:pPr>
                  <w:r>
                    <w:rPr>
                      <w:rFonts w:hint="eastAsia"/>
                      <w:color w:val="auto"/>
                      <w:sz w:val="21"/>
                    </w:rPr>
                    <w:t>矿石运输方式结合矿山地形地质条件、岩石特性、开采方案、运输强度等因素，按JC/T2299要求，科学合理的选择运输方案，采用自动装车系统；矿区主要运输道路修建符合相关规定和设计要求，矿区主运输通道在不造成违法占地的情况下进行路面硬化，暂时难以处理的应定期铺设碎石并充分洒水碾压，进行定期维护；运输车辆采取有效覆盖、限载等防尘措施；场区出口设置车辆自动冲洗设施，并建设沉淀池，洗车污水经处理后循环使用。</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7 资源综合利用</w:t>
                  </w:r>
                </w:p>
                <w:p>
                  <w:pPr>
                    <w:pStyle w:val="47"/>
                    <w:spacing w:line="360" w:lineRule="exact"/>
                    <w:ind w:firstLine="0" w:firstLineChars="0"/>
                    <w:jc w:val="center"/>
                    <w:rPr>
                      <w:color w:val="auto"/>
                      <w:sz w:val="21"/>
                    </w:rPr>
                  </w:pPr>
                </w:p>
                <w:p>
                  <w:pPr>
                    <w:pStyle w:val="47"/>
                    <w:spacing w:line="360" w:lineRule="exact"/>
                    <w:ind w:firstLine="42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7.1基本要求</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7.1.1 应按照“减量化、资源化、再利用”的原则，对生产工艺合理优化设计，提高成品率；充分利用石粉、泥粉等加工副产品，提高资源综合利用水平；科学利用固体废弃物、废水等，发展循环机经济。7.1.2 剥离表土后，砂石资源利用率应不低于95%，废石综合利用率应不低于90%。</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按照“减量化、资源化、再利用”的原则，对生产工艺合理优化设计，提高成品率；充分利用石粉加工副产品，提高资源综合利用水平；科学利用固体废弃物、废水等，发展循环机经济；剥离表土后，砂石资源利用率1</w:t>
                  </w:r>
                  <w:r>
                    <w:rPr>
                      <w:color w:val="auto"/>
                      <w:sz w:val="21"/>
                    </w:rPr>
                    <w:t>00%</w:t>
                  </w:r>
                  <w:r>
                    <w:rPr>
                      <w:rFonts w:hint="eastAsia"/>
                      <w:color w:val="auto"/>
                      <w:sz w:val="21"/>
                    </w:rPr>
                    <w:t>高于95%，废石综合利用率1</w:t>
                  </w:r>
                  <w:r>
                    <w:rPr>
                      <w:color w:val="auto"/>
                      <w:sz w:val="21"/>
                    </w:rPr>
                    <w:t>00%</w:t>
                  </w:r>
                  <w:r>
                    <w:rPr>
                      <w:rFonts w:hint="eastAsia"/>
                      <w:color w:val="auto"/>
                      <w:sz w:val="21"/>
                    </w:rPr>
                    <w:t>高于90%。</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42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7.2石粉利用</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石粉收集后应充分合理利用。钙质石粉和吸附性较低的硅质石粉可用于生产水泥、混凝土和砂浆，或进行产品深加工，提高产品附加值；吸附性较高的硅质石粉可用于生产砂浆、环保透水砖、新型墙体材料、陶瓷、水泥用硅质原料等。</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项目碎石筛分过程中筛余的石屑与白云岩粉末产品一同出售</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7.3泥粉利用</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湿法生产中的沉淀泥浆经脱水干化后形成的泥粉或泥饼，可用于新型墙体材料、土地复垦和土壤改良等。</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项目干法生产</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7.4表土和渣土利用</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排土场堆放的剥离表土或筛分后的渣土，应优先用于环境治理、土地复垦和复绿等。</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矿山的废弃剥离物主要为采矿场的表土和夹石，矿山剥离产生的夹石部分作为建筑石料销售，部分进行回填。表土运往外排土场，一部分及时进行绿化，另一部分用于后期复垦使用</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7.5废水利用</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矿山废水应遵循“统筹规划、分类管理、分质利用”的原则，采用洁净化、资源化技术和工艺合理处置，配备完善的生产废水收集和处理系统，经过固液分离处理后的清水循环利用率应达到100%。</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项目无生产废水产生</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8 矿区生态环境保护</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8.1 基本要求</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8.1.1各矿山企业应根据矿产资源勘查开采活动造成的矿区崩塌、滑坡、地形地貌景观破坏、地表植被损毁、预防和修复治理以及矿山地质环境监测等方面的实际情况，因矿制宜编制矿山地质环境保护与土地复垦方案，并严格实施，做到资源开发利用方案、矿山地质环境保护与土地复垦方案同时设计、同时施工、同时管理。8.1.2 矿山企业应按照满足实际需求的原则，根据矿山地质环境保护与土地复垦方案制定完善的治理措施和年度计划，切实履行矿山地质环境保护与土地复垦义务。</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项目按照编制环境保护与土地复垦方案采取最合理的方式进行废弃地复垦，采取水保措施防止水土流失。</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8.2 环境治理与监测</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8.2.1 应贯彻“边开采、边治理、边恢复”的原则，建立政府主导、企业负责的责任机制，将治理和复垦与生产建设活动统一部署、统筹实施，及时治理恢复矿山地质环境，复垦矿山占用土地和损毁土地，减少对矿区植被破坏引起的视觉污染。治理率和复垦率应达到已备案矿山地质环境保护与土地复垦方案的要求，具体如下：a)露天采场、矿区专用道路、矿山工业场地、排土场、矿山扰动区域等生态环境保护与治理恢复， 应符合HJ 651的相关规定；b)矿山闭坑时，应完成矿山地质环境恢复治理恢复和土地复垦，恢复土地基本功能，因地制宜实现土地可持续利用，终了边坡治理率应达到100%，土地复垦质量应符合 TD/T1036的规定；c) 矿山治理恢复后的各类场地应安全稳定，对工程建设活动不造成威胁，对周边环境不产生污染，与周边自然环境和景观相协调，区域整体生态功能得到保护和恢复；各行洪沟（河）道应恢复原行洪能力或确定的防洪标准，确保防洪安全。d)地质环境尚未趋于稳定的区域，应在安全隐患区(点)设立警示牌，拉设警戒线，制定相应应急预案，通过采取有效措施，把环境负效应控制在最低限度内。e)露天采场作业区应采用喷水抑尘、 设置雾炮、喷洒表面活性剂溶液等方式降低爆破和装载产生的粉尘。f)应落实表土（土壤）剥离与保护措施，表土堆放场应布置合理、堆存有序，及时进行覆盖抑尘，表土剥离应符合 TD/T1048规定。8.2.2应建立环境监测机制和地质灾害应急预案，设置专门机构，配备专职管理人员和监测人员。具体要求如下：a) 对粉尘、废水、噪音等污染源和污染物以及露天矿山边坡、地表水、地下水、土壤环境等实行动态监测，并向社会公开数据，接受社会公众监督；b) 开采中和开采后应建立、健全长效监测机制，对土地复垦区稳定性与环境质量进行动态监测，c)矿区隐患区（点）应设有警示标志，并制定防治应急预案，符合治理条件的应及时治理。</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项目按照编制环境保护与土地复垦方案采取最合理的方式进行废弃地复垦，采取水保措施防止水土流失。露天采场作业区采用喷水抑尘、 设置雾炮等方式降低爆破和装载产生的粉尘；矿山的废弃剥离物主要为采矿场的表土和夹石，矿山剥离产生的夹石部分作为建筑石料销售，部分进行回填。表土运往外排土场，一部分及时进行绿化，另一部分用于后期复垦使用；项目建立环境监测机制和地质灾害应急预案，设置专门机构，配备专职管理人员和监测人员。</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8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 节能减排</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9.1节能降耗</w:t>
                  </w:r>
                </w:p>
              </w:tc>
              <w:tc>
                <w:tcPr>
                  <w:tcW w:w="6452" w:type="dxa"/>
                  <w:shd w:val="clear" w:color="auto" w:fill="auto"/>
                  <w:vAlign w:val="center"/>
                </w:tcPr>
                <w:p>
                  <w:pPr>
                    <w:pStyle w:val="47"/>
                    <w:spacing w:line="360" w:lineRule="exact"/>
                    <w:ind w:firstLine="420"/>
                    <w:jc w:val="center"/>
                    <w:rPr>
                      <w:color w:val="auto"/>
                      <w:sz w:val="21"/>
                    </w:rPr>
                  </w:pPr>
                  <w:r>
                    <w:rPr>
                      <w:rFonts w:hint="eastAsia"/>
                      <w:color w:val="auto"/>
                      <w:sz w:val="21"/>
                    </w:rPr>
                    <w:t>9.1.1应建立矿山开采、砂石生产、产品运输全过程能耗核算体系，根据建设项目的能源使用、设备技术水平和经济性等因素，制定相应节能措施，各工艺电力消耗、油（气）消耗、水消耗宜进行单独核算；控制并减少单位产品能耗、物耗、水耗，单位产品能耗等指标应符合相关管理规定，并处于行业先进水平9.1.2矿山应从设计阶段综合考虑各生产环节，选取高效、智能、绿色、环保的新技术、新工艺、新设备和新材料，及时淘汰高能耗、高污染、低效率的工艺和设备，宜合理利用太阳能、地热能等清洁能源。9. 1.3 宜采用长距离皮带输送代替汽车运输方式，促进节能减排。9.1.4宜推进压缩天然气、液化石油气等清洁能源和油电混合车辆等新型运输工具在矿山运输用的应用。对于落差较大的矿区，推广使用下行皮带势能发电技术，以节约电能。</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建立矿山开采、砂石生产、产品运输全过程能耗核算体系，根据建设项目的能源使用、设备技术水平和经济性等因素，制定相应节能措施，各工艺电力消耗、油（气）消耗、水消耗进行单独核算；控制并减少单位产品能耗、物耗、水耗，单位产品能耗等指标符合相关管理规定，并处于行业先进水平；矿山从设计阶段综合考虑各生产环节，选取高效、智能、绿色、环保的新技术、新工艺、新设备和新材料；项目采矿区和加工厂距离3km，距离较短，设计采用汽车运输方式，开采期逐渐推进压缩天然气、液化石油气等清洁能源和油电混合车辆等新型运输工具在矿山运输替代柴油汽车运输。</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9.2粉尘排放</w:t>
                  </w:r>
                </w:p>
              </w:tc>
              <w:tc>
                <w:tcPr>
                  <w:tcW w:w="6452" w:type="dxa"/>
                  <w:shd w:val="clear" w:color="auto" w:fill="auto"/>
                  <w:vAlign w:val="center"/>
                </w:tcPr>
                <w:p>
                  <w:pPr>
                    <w:pStyle w:val="47"/>
                    <w:spacing w:line="360" w:lineRule="exact"/>
                    <w:ind w:firstLine="420"/>
                    <w:jc w:val="center"/>
                    <w:rPr>
                      <w:color w:val="auto"/>
                      <w:sz w:val="21"/>
                    </w:rPr>
                  </w:pPr>
                  <w:r>
                    <w:rPr>
                      <w:rFonts w:hint="eastAsia"/>
                      <w:color w:val="auto"/>
                      <w:sz w:val="21"/>
                    </w:rPr>
                    <w:t>9.2.1生产企业应建立粉尘监测网络与评价制度，编制监测控制方案，并针对监测控制对象定期组织第三方监测和自我监测。9.2.2砂石开采和砂石生产过程中的粉尘控制应遵循源头抑制、过程协同控制、末端监控、系统联动集成的防控思路，采取有效措施控制粉尘排放，粉尘排放应符合GB 16297 规定，并达到自治区相关环保标准要求。9.2.3 矿区应配置洒水车、高压喷雾车等设备，对爆破、铲、装、运过程中产生的粉尘以及无组织排放粉尘进行抑尘、降尘，推广使用矿山凿岩穿孔新工艺，降低能耗。9.2.4应在装载机、制砂机、破碎机、筛分机、整形机、带式输送机端口等连续产生粉尘部位安装高效除尘装置。</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生产企业建立粉尘监测网络与评价制度，编制监测控制方案，并针对监测控制对象定期组织第三方监测；砂石开采和砂石生产过程中的粉尘控制采取有效措施控制粉尘排放，粉尘排放符合GB16297规定，并达到自治区相关环保标准要求；矿区配置洒水车、高压喷雾车等设备，对爆破、铲、装、运过程中产生的粉尘以及无组织排放粉尘进行抑尘、降尘，使用矿山凿岩穿孔新工艺，降低能耗；在装载机、破碎机、筛分机、带式输送机端口等连续产生粉尘部位安装高效除尘装置。</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9.3 污水及废油等废物的排放和处理</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9.3.1 矿区及厂区应建有雨水截（排）水沟和集水池，地表径流水经沉淀处理后达到GB3838规定标准后排放，或循环使用。9.3.2矿区及厂区的生产排水和生活污水，应达到GB8978规定排放，实现雨污分流、清污分流。9.3.3检验化验室排出的有害废水应单独收集，经无害化处理后达标排放或循环利用。9.3.4生产中产生的废油要集中收集，设置独立的场所存放，并交有资质单位处理；蓄电池、滤袋等废物，应无害化处理或交有资质的第三方处置。</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项目采矿场外围不设置截水沟，采取在采场设置导流渠自流方式排水。矿区及厂区建有雨水截（排）水沟和集水池，地表径流水经沉淀处理后达到GB3838规定标准后外排；矿区及厂区</w:t>
                  </w:r>
                  <w:r>
                    <w:rPr>
                      <w:rFonts w:hint="eastAsia"/>
                      <w:color w:val="auto"/>
                      <w:sz w:val="21"/>
                      <w:szCs w:val="21"/>
                    </w:rPr>
                    <w:t>洗漱废水用于厂区泼洒降尘，</w:t>
                  </w:r>
                  <w:r>
                    <w:rPr>
                      <w:rFonts w:hint="eastAsia"/>
                      <w:color w:val="auto"/>
                      <w:sz w:val="21"/>
                    </w:rPr>
                    <w:t>生活污水暂存防渗旱厕，定期清掏用于周边农作物肥田，不外排。实现雨污分流、清污分流；项目无检验化验室排水；生产中产生的废油集中收集，设置独立的场所存放，并交有资质单位处理；项目无蓄电池、滤袋等废物。</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bookmarkEnd w:id="2"/>
          </w:tbl>
          <w:p>
            <w:pPr>
              <w:pStyle w:val="63"/>
              <w:ind w:firstLine="482"/>
              <w:rPr>
                <w:b/>
                <w:bCs/>
              </w:rPr>
            </w:pPr>
            <w:r>
              <w:rPr>
                <w:b/>
                <w:bCs/>
              </w:rPr>
              <w:t>6</w:t>
            </w:r>
            <w:r>
              <w:rPr>
                <w:rFonts w:hint="eastAsia"/>
                <w:b/>
                <w:bCs/>
              </w:rPr>
              <w:t>、项目与《宁夏非金属矿绿色矿山建设规范》（DB64/T 175</w:t>
            </w:r>
            <w:r>
              <w:rPr>
                <w:b/>
                <w:bCs/>
              </w:rPr>
              <w:t>1</w:t>
            </w:r>
            <w:r>
              <w:rPr>
                <w:rFonts w:hint="eastAsia"/>
                <w:b/>
                <w:bCs/>
              </w:rPr>
              <w:t>-2020）相符性分析</w:t>
            </w:r>
          </w:p>
          <w:tbl>
            <w:tblPr>
              <w:tblStyle w:val="23"/>
              <w:tblW w:w="131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81"/>
              <w:gridCol w:w="851"/>
              <w:gridCol w:w="6452"/>
              <w:gridCol w:w="4604"/>
              <w:gridCol w:w="6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7884" w:type="dxa"/>
                  <w:gridSpan w:val="3"/>
                  <w:shd w:val="clear" w:color="auto" w:fill="auto"/>
                  <w:vAlign w:val="center"/>
                </w:tcPr>
                <w:p>
                  <w:pPr>
                    <w:pStyle w:val="47"/>
                    <w:spacing w:line="360" w:lineRule="exact"/>
                    <w:ind w:firstLine="0" w:firstLineChars="0"/>
                    <w:jc w:val="center"/>
                    <w:rPr>
                      <w:b/>
                      <w:bCs/>
                      <w:color w:val="auto"/>
                      <w:sz w:val="21"/>
                    </w:rPr>
                  </w:pPr>
                  <w:r>
                    <w:rPr>
                      <w:rFonts w:hint="eastAsia"/>
                      <w:b/>
                      <w:bCs/>
                      <w:color w:val="auto"/>
                      <w:sz w:val="21"/>
                    </w:rPr>
                    <w:t>《宁夏非金属矿绿色矿山建设规范》（DB64/T 1751-2020）</w:t>
                  </w:r>
                </w:p>
              </w:tc>
              <w:tc>
                <w:tcPr>
                  <w:tcW w:w="4604" w:type="dxa"/>
                  <w:shd w:val="clear" w:color="auto" w:fill="auto"/>
                  <w:vAlign w:val="center"/>
                </w:tcPr>
                <w:p>
                  <w:pPr>
                    <w:pStyle w:val="47"/>
                    <w:spacing w:line="360" w:lineRule="exact"/>
                    <w:ind w:firstLine="0" w:firstLineChars="0"/>
                    <w:jc w:val="center"/>
                    <w:rPr>
                      <w:b/>
                      <w:bCs/>
                      <w:color w:val="auto"/>
                      <w:sz w:val="21"/>
                    </w:rPr>
                  </w:pPr>
                  <w:r>
                    <w:rPr>
                      <w:rFonts w:hint="eastAsia"/>
                      <w:b/>
                      <w:bCs/>
                      <w:color w:val="auto"/>
                      <w:sz w:val="21"/>
                    </w:rPr>
                    <w:t>本项目情况</w:t>
                  </w:r>
                </w:p>
              </w:tc>
              <w:tc>
                <w:tcPr>
                  <w:tcW w:w="652" w:type="dxa"/>
                  <w:shd w:val="clear" w:color="auto" w:fill="auto"/>
                  <w:vAlign w:val="center"/>
                </w:tcPr>
                <w:p>
                  <w:pPr>
                    <w:pStyle w:val="47"/>
                    <w:spacing w:line="360" w:lineRule="exact"/>
                    <w:ind w:firstLine="0" w:firstLineChars="0"/>
                    <w:jc w:val="center"/>
                    <w:rPr>
                      <w:b/>
                      <w:bCs/>
                      <w:color w:val="auto"/>
                      <w:sz w:val="21"/>
                    </w:rPr>
                  </w:pPr>
                  <w:r>
                    <w:rPr>
                      <w:rFonts w:hint="eastAsia"/>
                      <w:b/>
                      <w:bCs/>
                      <w:color w:val="auto"/>
                      <w:sz w:val="21"/>
                    </w:rPr>
                    <w:t>符合情况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5 矿区环境</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5.1矿容矿貌</w:t>
                  </w:r>
                </w:p>
              </w:tc>
              <w:tc>
                <w:tcPr>
                  <w:tcW w:w="6452" w:type="dxa"/>
                  <w:shd w:val="clear" w:color="auto" w:fill="auto"/>
                  <w:vAlign w:val="center"/>
                </w:tcPr>
                <w:p>
                  <w:pPr>
                    <w:pStyle w:val="47"/>
                    <w:spacing w:line="360" w:lineRule="exact"/>
                    <w:ind w:firstLine="420"/>
                    <w:jc w:val="center"/>
                    <w:rPr>
                      <w:color w:val="auto"/>
                      <w:sz w:val="21"/>
                    </w:rPr>
                  </w:pPr>
                  <w:r>
                    <w:rPr>
                      <w:rFonts w:hint="eastAsia"/>
                      <w:color w:val="auto"/>
                      <w:sz w:val="21"/>
                    </w:rPr>
                    <w:t>5.1.1矿山应统筹资源、环境、物流和市场等因素合理布局，推动产业规模化、集约化发展。5.1.2矿区所处位置应符合相关规划，不应在规定禁止、限制开采范围内，周边安全距离应符合相关要求，资源开发应与城乡建设、环境保护、资源保护、防洪安全相协调。5.1.3矿区按生产区、管理区、生活区和生态区等功能分区，各功能区应有符合GB50187规定，并有相应的管理机构和管理制度。5.1.4矿区地面运输、供水、供电、卫生、环保等配套设施应齐全；生产区应设置操作提示牌、说明牌、线路示意牌、安全警示牌，标牌应符合GB/T13306规定；在需要警示安全的区域应设置安全标志，安全标志应符合GB14161规定。5.1.5矿山生产过程中应采取喷雾、洒水、湿式凿岩、加装除尘设备等措施处置粉尘，矿区环境、工作场所、运输过程等粉尘排放限值应符合G</w:t>
                  </w:r>
                  <w:r>
                    <w:rPr>
                      <w:color w:val="auto"/>
                      <w:sz w:val="21"/>
                    </w:rPr>
                    <w:t>B16297</w:t>
                  </w:r>
                  <w:r>
                    <w:rPr>
                      <w:rFonts w:hint="eastAsia"/>
                      <w:color w:val="auto"/>
                      <w:sz w:val="21"/>
                    </w:rPr>
                    <w:t>和GBZ2.1规定。5.1.6矿山尾矿、废石等固体废弃物应有专用贮存、处置场所，其建设、运行和监督管理应符合GB18597和GB18599规定。5.1.7矿山应采取消声、减振、隔振等技术措施降低采选、运输等过程中产生的噪声，工作场所噪声接触限值应符合GBZ2.2的规定，工业企业厂界环境噪声排放限值应符合GB12348的规定，建筑施工场界噪声排放限值应符合GB12523的规定。5.1.8矿区应建有雨水截（排）水沟，实施雨污分流、清污分流 。</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建设符与《宁夏回族自治区矿产资源总体规划（2021-2025年）》和《吴忠市矿产资源总体规划（2021-2025）》相符，不在规定禁止、限制开采范围内，周边安全距离符合相关要求，资源开发与城乡建设、环境保护、资源保护、防洪安全相协调；矿区按生产区、管理区、生活区和生态区等功能分区，各功能区符合GB50187规定，并有相应的管理机构和管理制度；矿区地面运输、供水、供电、卫生、环保等配套设施齐全；生产区设置操作提示牌、说明牌、线路示意牌、安全警示牌，标牌符合GB/T13306规定；在需要警示安全的区域应置安全标志，安全标志符合GB14161规定；矿山生产过程中采取喷雾、洒水、湿式凿岩、加装除尘设备等措施处置粉尘，矿区环境、工作场所、运输过程等粉尘排放限值符合GB16297和GBZ2.1规定。矿山废石等固体废弃物有专用贮存、处置场所，其建设、运行和监督管理符合GB18597和GB18599规定。项目拟采用合理有效的技术措施对高噪音设备进行降噪处理，工作场所噪音限值符合GBZ2.2要求，工业企业厂界噪音排放限值符合GB12348要求，建筑施工厂界噪音排放限值符合GB12523要求；矿区建有雨水截（排）水沟，实施雨污分流、清污分流。</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5.2矿区绿化</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 xml:space="preserve">5.2.1矿区整体环境应整洁美观，与周边自然景观相协调，因地制宜合理搭配易生存、生长快、适应性强、抗逆活率高的植物，矿区绿化覆盖率应达到100%。5.2.2露天开采矿山的排土场进行复垦及绿化，矿区主运输通道在不造成违法占地的情况下应进行路面硬化，暂时难以处理的应铺设碎石并充分洒水碾压，并进行定期维护，道路两侧因地制宜设置隔离绿化带。 </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区整体环境整洁美观，与周边自然景观相协调，因地制宜合理搭配易生存、生长快、适应性强、抗逆活率高的植物，矿区绿化覆盖率达到100%；对排土场进行复垦及绿化，矿区主运输通道在不造成违法占地的情况下应进行路面硬化，暂时难以处理的铺设碎石并充分洒水碾压，并进行定期维护，道路两侧因地制宜设置隔离绿化带。</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81"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6 资源开发方式</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6.1 基本要求</w:t>
                  </w:r>
                </w:p>
              </w:tc>
              <w:tc>
                <w:tcPr>
                  <w:tcW w:w="64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6.1.1 资源开发利用活动应符合国家有关产业政策，按照宁夏回族自治区各级矿产资源规划，制定科学合理的中长期和短期开采规划，采场工作面推进均衡有序，开拓和采准工作合理超前，开拓矿量、采准矿量及备采矿量关系合理，保持合理、稳定的市场供需关系。6.1.2资源开发应与环境保护、资源保护、城乡建设相协调，最大限制减小对自然环境的扰动和破坏，选择资源节约型、环境友好型开发方式。6.1.3根据非金属矿资源赋存状况、生态环境特征等条件，因地制宜选择合理的开采顺序、开采方式、开采方法，科学制定并严格执行矿产资源开发利用方案及开采设计方案。</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资源开发利用活动符合国家产业政策，按照宁夏回族自治区、吴忠市矿产资源规划，制定科学合理的中长期和短期开采规划，保持合理、稳定的市场供需关系；遵循矿区资源赋存状况、生态环境特征等条件，依据自然条件、安全文明、环境保护等管理要求选择资源节约型、环境友好型开发方式，最大限制减小对自然环境的扰动，因地制宜选择合理的开采顺序、开采方式、开采方法，科学制定并严格执行矿产资源开发利用方案及开采设计方案。</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6.2绿色开采</w:t>
                  </w:r>
                </w:p>
              </w:tc>
              <w:tc>
                <w:tcPr>
                  <w:tcW w:w="6452" w:type="dxa"/>
                  <w:shd w:val="clear" w:color="auto" w:fill="auto"/>
                  <w:vAlign w:val="center"/>
                </w:tcPr>
                <w:p>
                  <w:pPr>
                    <w:pStyle w:val="47"/>
                    <w:spacing w:line="360" w:lineRule="exact"/>
                    <w:ind w:firstLine="420"/>
                    <w:jc w:val="center"/>
                    <w:rPr>
                      <w:color w:val="auto"/>
                      <w:sz w:val="21"/>
                    </w:rPr>
                  </w:pPr>
                  <w:r>
                    <w:rPr>
                      <w:rFonts w:hint="eastAsia"/>
                      <w:color w:val="auto"/>
                      <w:sz w:val="21"/>
                    </w:rPr>
                    <w:t>6.2.1露天开采矿山应坚持“采剥并举、剥离先行”的原则，最大限度保留原生自然环境，减少对矿区植被破坏引起的视觉污染和环境扰动。6.2.2露天边坡工程的设计、监测和管理应符合GB51016的相关规定；终了平台（安全平台、清扫平台）应留设规范，宽度有利于复垦绿化。6.2.3涉及到爆破的露天矿山，爆破技术应满足以下要求：a)矿山应采用先进爆破工艺，实现爆破安全、高效、经济、环保等效果。b)通过优化爆破参数、爆破方式等手段，控制矿石块度，降低爆破粉尘、冲击波、展动等危害。c)在最终边坡附近爆破时，因地制宜采用控制爆破和减振等措施。6.2.4条件允许的矿山，成品堆放应进行分类或分仓储存，并实施封闭管理。6.2.5各矿种“三率”指标应达到自然资源部公告发布的最低指标要求，部分矿种“三率”指标见附录A。</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采场遵循“采剥并举、剥离先行”的原则，最大限度保留原生自然环境，减少对矿区植被破坏引起的视觉污染和环境扰动；露天边坡工程设计符合GB51016的规定，终了平台(安全平台、清扫平台)留设规范，宽度有利于复垦绿化；采用高效、安全、环保的钻（穿）孔设备及技术；项目矿区开采爆破工作及爆炸物运输工作均委托有资质单位进行操作处理，炸药、雷管由爆破公司统一提供、运输，并由该公司组织设计实施爆破。爆破区采用雾炮降低爆破粉尘生产；矿产资源开采回采率符合矿产资源开发利用方案指标，白云岩矿自然资源部公告未发布的最低指标要求。</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6.3装备技术与工艺</w:t>
                  </w:r>
                </w:p>
              </w:tc>
              <w:tc>
                <w:tcPr>
                  <w:tcW w:w="6452" w:type="dxa"/>
                  <w:shd w:val="clear" w:color="auto" w:fill="auto"/>
                  <w:vAlign w:val="center"/>
                </w:tcPr>
                <w:p>
                  <w:pPr>
                    <w:pStyle w:val="47"/>
                    <w:spacing w:line="360" w:lineRule="exact"/>
                    <w:ind w:firstLine="420"/>
                    <w:jc w:val="center"/>
                    <w:rPr>
                      <w:color w:val="auto"/>
                      <w:sz w:val="21"/>
                    </w:rPr>
                  </w:pPr>
                  <w:r>
                    <w:rPr>
                      <w:rFonts w:hint="eastAsia"/>
                      <w:color w:val="auto"/>
                      <w:sz w:val="21"/>
                    </w:rPr>
                    <w:t>6.3.1新建、改扩建矿山企业应选择先进、高效、绿色、节能、环保的装备、技术和工艺，不应采用国家明令禁止的限制和淘汰类装备、技术和工艺。6.3.2露天开采矿山宜采用剥采比低、铲装效率高的工艺技术，应根据市场价格和企业生产成本变化，动态调整开采境界，鼓励使用电铲、液压挖掘机、轮式装载机进行铲装作业。6.3.3石膏、滑石、膨润土、石英等涉及采选加工环节的非金属矿山，应在选矿实验基础上，采用与开发条件相适应的技术工艺，提高主矿产和共伴生矿产综合回收率，鼓励开展精深加工，发展高端产品，充分实现资源分级利用、优质优用，推进资源保护和合理利用。6.3.4运输车辆完好率应不低于80%，强化矿区运输车辆管理，严格控制运输车辆超载超限遗撤扬尘等行为。6.3.5选矿厂或破碎站应符合以下要求：a)选矿和加工工艺应减少物料运转次数并降低运转落差，减少扬尘点和扬尘量。b)原料破碎设备应符合GB18452的规定，破碎前一般应进行除泥（土）工序，储矿仓、破碎机、振动筛、带式输送机的受料点、卸料点等产生粉尘的部位，应实行全封闭生产或安装布袋除器、喷淋装置，采取机械除尘、喷雾降尘及生物纳膜抑。c)干法生产应配备高效除尘设备，并保持与生产设备同步运行，湿法生产应配置泥粉和水分离、废水处理和循环使用系统。</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根据母岩材质性能、产品结构、产能要求等因素，选择国家鼓励性技术工艺和设备，配置与生产规模和工艺相符的辅助设施；项目露天开采采用剥采比低、铲装效率高的工艺技术，项目不涉及选矿，运输车辆完好率高于80%，强化矿区运输车辆管理，严格控制运输车辆超载超限遗撤扬尘等行为。项目采用干法生产工艺，配备高效除尘设备，并保持与生产设备同步运行；生产加工车间的产尘点封闭，同时安装除尘装置；物料输送采用长距离皮带式输送，输送系统廊道选用封闭方式，对未能群不收集无组织粉尘采取洒水降尘措施，防止粉尘逸撒。</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7 资源综合利用</w:t>
                  </w:r>
                </w:p>
                <w:p>
                  <w:pPr>
                    <w:pStyle w:val="47"/>
                    <w:spacing w:line="360" w:lineRule="exact"/>
                    <w:ind w:firstLine="0" w:firstLineChars="0"/>
                    <w:jc w:val="center"/>
                    <w:rPr>
                      <w:color w:val="auto"/>
                      <w:sz w:val="21"/>
                    </w:rPr>
                  </w:pPr>
                </w:p>
                <w:p>
                  <w:pPr>
                    <w:pStyle w:val="47"/>
                    <w:spacing w:line="360" w:lineRule="exact"/>
                    <w:ind w:firstLine="42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7.1共伴生资源利用</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7.1.1根据经济、社会发展需要和矿床实际，矿山应按照“减量化、再利用、资源化”的原则，对共伴生资源进行综合勘查、综合评价、综合开发，发展循环经济。</w:t>
                  </w:r>
                </w:p>
                <w:p>
                  <w:pPr>
                    <w:pStyle w:val="47"/>
                    <w:spacing w:line="360" w:lineRule="exact"/>
                    <w:ind w:firstLine="0" w:firstLineChars="0"/>
                    <w:rPr>
                      <w:color w:val="auto"/>
                      <w:sz w:val="21"/>
                    </w:rPr>
                  </w:pPr>
                  <w:r>
                    <w:rPr>
                      <w:rFonts w:hint="eastAsia"/>
                      <w:color w:val="auto"/>
                      <w:sz w:val="21"/>
                    </w:rPr>
                    <w:t>7.1.2新建、改扩建矿山，共伴生矿产资源综合利用工程应与主矿种、采矿（或加工）工程同时设计、同时施工、同时生产。</w:t>
                  </w:r>
                </w:p>
                <w:p>
                  <w:pPr>
                    <w:pStyle w:val="47"/>
                    <w:spacing w:line="360" w:lineRule="exact"/>
                    <w:ind w:firstLine="0" w:firstLineChars="0"/>
                    <w:rPr>
                      <w:color w:val="auto"/>
                      <w:sz w:val="21"/>
                    </w:rPr>
                  </w:pPr>
                  <w:r>
                    <w:rPr>
                      <w:rFonts w:hint="eastAsia"/>
                      <w:color w:val="auto"/>
                      <w:sz w:val="21"/>
                    </w:rPr>
                    <w:t>7.1.</w:t>
                  </w:r>
                  <w:r>
                    <w:rPr>
                      <w:color w:val="auto"/>
                      <w:sz w:val="21"/>
                    </w:rPr>
                    <w:t>3</w:t>
                  </w:r>
                  <w:r>
                    <w:rPr>
                      <w:rFonts w:hint="eastAsia"/>
                      <w:color w:val="auto"/>
                      <w:sz w:val="21"/>
                    </w:rPr>
                    <w:t>品位、工艺等达到可经济利用价值的共伴生资源，应选用先进适用、经济合理的技术工艺进行回收利用，并妥善处理好社会效益、经济效益和环境效益之闯的关系；现有技术不能回收，或技术经济评价结论不宜综合利用的，应有相关处理措施 。</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项目按照“减量化、资源化、再利用”的原则，对生产工艺合理优化设计，提高成品率；充分利用石粉加工副产品，提高资源综合利用水平；科学利用固体废弃物、废水等，发展循环机经济；废石综合利用率</w:t>
                  </w:r>
                  <w:r>
                    <w:rPr>
                      <w:color w:val="auto"/>
                      <w:sz w:val="21"/>
                    </w:rPr>
                    <w:t>100</w:t>
                  </w:r>
                  <w:r>
                    <w:rPr>
                      <w:rFonts w:hint="eastAsia"/>
                      <w:color w:val="auto"/>
                      <w:sz w:val="21"/>
                    </w:rPr>
                    <w:t>%。</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81" w:type="dxa"/>
                  <w:vMerge w:val="continue"/>
                  <w:shd w:val="clear" w:color="auto" w:fill="auto"/>
                  <w:vAlign w:val="center"/>
                </w:tcPr>
                <w:p>
                  <w:pPr>
                    <w:pStyle w:val="47"/>
                    <w:spacing w:line="360" w:lineRule="exact"/>
                    <w:ind w:firstLine="42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7.2固体废弃物利用</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7.2.1矿山宜对废石、尾矿等固体废弃物开展销路、制作建筑材料等资源化利用工作，具备回填条件的露天采坑，在保证安全生产和不产生二次污染的前提下，鼓励利用矿山固废回填采坑 。</w:t>
                  </w:r>
                </w:p>
                <w:p>
                  <w:pPr>
                    <w:pStyle w:val="47"/>
                    <w:spacing w:line="360" w:lineRule="exact"/>
                    <w:ind w:firstLine="0" w:firstLineChars="0"/>
                    <w:rPr>
                      <w:color w:val="auto"/>
                      <w:sz w:val="21"/>
                    </w:rPr>
                  </w:pPr>
                  <w:r>
                    <w:rPr>
                      <w:rFonts w:hint="eastAsia"/>
                      <w:color w:val="auto"/>
                      <w:sz w:val="21"/>
                    </w:rPr>
                    <w:t>7.2.2废石、尾矿等固体废弃物排放应符合GB18599相关要求，固体废弃物妥善处置率应为100%，若有尾矿处理设施，应符GB50863规定。磷矿废石场应采取防止自燃的有效措施。</w:t>
                  </w:r>
                </w:p>
                <w:p>
                  <w:pPr>
                    <w:pStyle w:val="47"/>
                    <w:spacing w:line="360" w:lineRule="exact"/>
                    <w:ind w:firstLine="0" w:firstLineChars="0"/>
                    <w:jc w:val="center"/>
                    <w:rPr>
                      <w:color w:val="auto"/>
                      <w:sz w:val="21"/>
                    </w:rPr>
                  </w:pPr>
                  <w:r>
                    <w:rPr>
                      <w:rFonts w:hint="eastAsia"/>
                      <w:color w:val="auto"/>
                      <w:sz w:val="21"/>
                    </w:rPr>
                    <w:t>7.2.3在满足环境保护等要求、经济可行的前提下鼓励企业综合利用尾矿、废石、石粉、泥粉等矿固废发展机制砂石、混凝土骨料、制砖、新型墙材原料等。</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矿山剥离产生的夹石部分作为建筑石料销售，部分进行回填，废石妥善处置率应为100%，项目碎石筛分过程中筛余的石屑与白云岩粉末产品一同出售</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7.3矿山废水利用</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7.3.1矿山废水，应遵循“统筹规划、分类管理、分质利用”的原则，采用洁净化、资源化技术和工艺合理处置。</w:t>
                  </w:r>
                </w:p>
                <w:p>
                  <w:pPr>
                    <w:pStyle w:val="47"/>
                    <w:spacing w:line="360" w:lineRule="exact"/>
                    <w:ind w:firstLine="0" w:firstLineChars="0"/>
                    <w:rPr>
                      <w:color w:val="auto"/>
                      <w:sz w:val="21"/>
                    </w:rPr>
                  </w:pPr>
                  <w:r>
                    <w:rPr>
                      <w:rFonts w:hint="eastAsia"/>
                      <w:color w:val="auto"/>
                      <w:sz w:val="21"/>
                    </w:rPr>
                    <w:t>7.3.2矿山应配备完善的废水处理系统，矿区污水处置后应符合GB8978的规定，直回用于矿区绿化或达标排放 。</w:t>
                  </w:r>
                </w:p>
                <w:p>
                  <w:pPr>
                    <w:pStyle w:val="47"/>
                    <w:spacing w:line="360" w:lineRule="exact"/>
                    <w:ind w:firstLine="0" w:firstLineChars="0"/>
                    <w:rPr>
                      <w:color w:val="auto"/>
                      <w:sz w:val="21"/>
                    </w:rPr>
                  </w:pPr>
                  <w:r>
                    <w:rPr>
                      <w:rFonts w:hint="eastAsia"/>
                      <w:color w:val="auto"/>
                      <w:sz w:val="21"/>
                    </w:rPr>
                    <w:t>7.3.3矿山边矿废水重复利用率应不低于85%。</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项目不存在生产废水，运营期主要为车辆冲洗过程产生冲洗废水和职工生活污水。车辆冲洗废水集中收集至10m</w:t>
                  </w:r>
                  <w:r>
                    <w:rPr>
                      <w:rFonts w:hint="eastAsia"/>
                      <w:color w:val="auto"/>
                      <w:sz w:val="21"/>
                      <w:vertAlign w:val="superscript"/>
                    </w:rPr>
                    <w:t>3</w:t>
                  </w:r>
                  <w:r>
                    <w:rPr>
                      <w:rFonts w:hint="eastAsia"/>
                      <w:color w:val="auto"/>
                      <w:sz w:val="21"/>
                    </w:rPr>
                    <w:t>沉淀池沉淀后重复使用，矿区设置防渗旱厕，生活废水定期由周边居民拉走堆肥，不外排。</w:t>
                  </w:r>
                </w:p>
              </w:tc>
              <w:tc>
                <w:tcPr>
                  <w:tcW w:w="652" w:type="dxa"/>
                  <w:shd w:val="clear" w:color="auto" w:fill="auto"/>
                  <w:vAlign w:val="center"/>
                </w:tcPr>
                <w:p>
                  <w:pPr>
                    <w:pStyle w:val="47"/>
                    <w:spacing w:line="360" w:lineRule="exact"/>
                    <w:ind w:firstLine="0" w:firstLineChars="0"/>
                    <w:jc w:val="center"/>
                    <w:rPr>
                      <w:color w:val="auto"/>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7.4表土和渣土利用</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7.4.1应落实表土（土壤）分层剥离与保护措施，耕作层土壤剥离应符合TD/T1048的规定。</w:t>
                  </w:r>
                </w:p>
                <w:p>
                  <w:pPr>
                    <w:pStyle w:val="47"/>
                    <w:spacing w:line="360" w:lineRule="exact"/>
                    <w:ind w:firstLine="0" w:firstLineChars="0"/>
                    <w:rPr>
                      <w:color w:val="auto"/>
                      <w:sz w:val="21"/>
                    </w:rPr>
                  </w:pPr>
                  <w:r>
                    <w:rPr>
                      <w:rFonts w:hint="eastAsia"/>
                      <w:color w:val="auto"/>
                      <w:sz w:val="21"/>
                    </w:rPr>
                    <w:t>7.4.2露天开采矿山剥离表土应合理布置，进行资源化利用或单独堆存，并采取有效水土流失防护措施，作为矿山后期土地复垦利用，符合宁夏回族自治区安全、环保等相关规定 。</w:t>
                  </w:r>
                </w:p>
                <w:p>
                  <w:pPr>
                    <w:pStyle w:val="47"/>
                    <w:spacing w:line="360" w:lineRule="exact"/>
                    <w:ind w:firstLine="0" w:firstLineChars="0"/>
                    <w:rPr>
                      <w:color w:val="auto"/>
                      <w:sz w:val="21"/>
                    </w:rPr>
                  </w:pPr>
                  <w:r>
                    <w:rPr>
                      <w:rFonts w:hint="eastAsia"/>
                      <w:color w:val="auto"/>
                      <w:sz w:val="21"/>
                    </w:rPr>
                    <w:t>7.4.3对排土场堆放的剥离表土或渣土进行合理利用，可用于环境治理、土地复垦和环境复绿等 。</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矿山表土采取分层剥离，剥离表土运往外排土场，一部分及时进行绿化，另一部分用于后期复垦使用</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vMerge w:val="restart"/>
                  <w:shd w:val="clear" w:color="auto" w:fill="auto"/>
                  <w:vAlign w:val="center"/>
                </w:tcPr>
                <w:p>
                  <w:pPr>
                    <w:pStyle w:val="47"/>
                    <w:spacing w:line="360" w:lineRule="exact"/>
                    <w:ind w:firstLine="0" w:firstLineChars="0"/>
                    <w:jc w:val="center"/>
                    <w:rPr>
                      <w:color w:val="auto"/>
                      <w:sz w:val="21"/>
                    </w:rPr>
                  </w:pPr>
                  <w:r>
                    <w:rPr>
                      <w:rFonts w:hint="eastAsia"/>
                      <w:color w:val="auto"/>
                      <w:sz w:val="21"/>
                    </w:rPr>
                    <w:t>8矿区生态环境保护</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8.1 基本要求</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8.1.1矿山应根据矿产资源勘查开采活动造成的矿区崩塌、滑坡、地形地貌景观破坏、地表植被损毁、预防和修复治理以及矿山地质环境监测等方面的实际情况，因矿制宜编制矿山地质环境保护与土地复垦方案，并严格实施，做到资源开发利用方案、矿山地质环境保护与土地复垦方案同时设计、同时施工、同时管理。8.1.2 矿山企业应按照满足实际需求的原则，根据矿山地质环境保护与土地复垦方案制定完善的治理措施和年度计划，切实履行矿山地质环境保护与土地复垦义务。</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项目按照编制环境保护与土地复垦方案采取最合理的方式进行废弃地复垦，采取水保措施防止水土流失。</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81" w:type="dxa"/>
                  <w:vMerge w:val="continue"/>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8.2环境治理与监测</w:t>
                  </w:r>
                </w:p>
              </w:tc>
              <w:tc>
                <w:tcPr>
                  <w:tcW w:w="6452" w:type="dxa"/>
                  <w:shd w:val="clear" w:color="auto" w:fill="auto"/>
                  <w:vAlign w:val="center"/>
                </w:tcPr>
                <w:p>
                  <w:pPr>
                    <w:pStyle w:val="47"/>
                    <w:spacing w:line="360" w:lineRule="exact"/>
                    <w:ind w:firstLine="420"/>
                    <w:jc w:val="center"/>
                    <w:rPr>
                      <w:color w:val="auto"/>
                      <w:sz w:val="21"/>
                    </w:rPr>
                  </w:pPr>
                  <w:r>
                    <w:rPr>
                      <w:rFonts w:hint="eastAsia"/>
                      <w:color w:val="auto"/>
                      <w:sz w:val="21"/>
                    </w:rPr>
                    <w:t>8.2.1应贯彻“边开采、边治理、边恢复”的原则，建立责任机制，将治理和复垦与生产建设活动统一部署、统筹实施，及时治理恢复矿山地质环境，复垦矿山占用土地和损毁土地，减少对矿区植被破坏引起的视觉污染。治理率和复垦率应达到已备案矿山地质环境保护与土地复垦方案的要求，具体如下：a)矿山排土场、露天采场、工业场地、沉陷区、污染场地等生态环境保护与恢复治理，应符合HJ651的相关规定；b)矿山闭坑时，应编制闭坑报告，完成矿区生态环境环境修复，恢复土地基本功能，因地制宜实现土地可持续利用，终了边坡治理率应达到100%，土地复垦质量应符合TD/T1036的规定；c)矿山治理恢复后的各类场地应安全稳定，对工程建设活动不造成威胁，对周边环境不产生污染，与周边自然环境和景观相协调，区域整体生态功能得到保护和恢复；各行洪沟（河）道应恢复原行洪能力或确定的防洪标准，确保防洪安全。d)地质环境尚未趋于稳定的区域，应在安全隐患区(点)设立警示牌，拉设警戒线，制定相应应急预案，通过采取有效措施，把环境负效应控制在最低限度内。e)露天采场作业区应采用喷水抑尘、设置雾炮、喷洒表面活性剂溶液等方式降低爆破和装载产生的粉尘。f)矿山生产中产生的危险废物应集中收集，设置独立的临时贮存场所，并交有处理资质的第三方处理。8.2.2应建立矿山地质环境监测机制和应急机制，配备管理人员和监测人员。具体要求如下：a)矿山应对矿山废水、地表水、尾矿、排士场、废石堆场、粉尘、噪音等进行例行监测，并向社会公开数据，接受社会公众监督。；b)矿山开采中和开采后应建立、健全长效监测机制，应对土地复垦区及矿区影响范围内的高边坡、终了平台等进行在线检测，同时对地形地貌、地质稳定性、地表水等进行动态监测。c)矿区隐患区（点）应设有警示标志，并制定防治应急预案，符合治理条件的应及时治理。</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项目按照编制环境保护与土地复垦方案采取最合理的方式进行废弃地复垦，采取水保措施防止水土流失。露天采场作业区采用喷水抑尘、 设置雾炮等方式降低爆破和装载产生的粉尘；矿山的废弃剥离物主要为采矿场的表土和夹石，矿山剥离产生的夹石部分作为建筑石料销售，部分进行回填。表土运往外排土场，一部分及时进行绿化，另一部分用于后期复垦使用；项目建立环境监测机制和地质灾害应急预案，设置专门机构，配备专职管理人员和监测人员。</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9节能减排</w:t>
                  </w: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9.1节能降耗</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9.1.1建立生产全过程能耗核算体系，矿产资源开来能耗及产品综合能耗等相关指标应符合矿山设计、宁夏回族自治区产业政策及行业准入条件等规定，“三废”排放应符合生态环境保护部门的有关标准规定和要求 。</w:t>
                  </w:r>
                </w:p>
                <w:p>
                  <w:pPr>
                    <w:pStyle w:val="47"/>
                    <w:spacing w:line="360" w:lineRule="exact"/>
                    <w:ind w:firstLine="0" w:firstLineChars="0"/>
                    <w:rPr>
                      <w:color w:val="auto"/>
                      <w:sz w:val="21"/>
                    </w:rPr>
                  </w:pPr>
                  <w:r>
                    <w:rPr>
                      <w:rFonts w:hint="eastAsia"/>
                      <w:color w:val="auto"/>
                      <w:sz w:val="21"/>
                    </w:rPr>
                    <w:t>9.1.2矿山应从设计阶段综合考虑各生产环节，选取高效、智能、绿色、环保的新技术、新工艺、新设备和新材料，及时淘汰高能耗、高污染、低效率的工艺和设备，宜合理利用太阳能、地热能等清洁能源。</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项目建立矿山开采、砂石生产、产品运输全过程能耗核算体系，根据建设项目的能源使用、设备技术水平和经济性等因素，制定相应节能措施，各工艺电力消耗、油（气）消耗、水消耗进行单独核算；控制并减少单位产品能耗、物耗、水耗，单位产品能耗等指标符合相关管理规定，并处于行业先进水平；“三废”排放符合生态环境保护部门的有关标准规定和要求。矿山从设计阶段综合考虑各生产环节，选取高效、智能、绿色、环保的新技术、新工艺、新设备和新材料。</w:t>
                  </w:r>
                  <w:r>
                    <w:rPr>
                      <w:color w:val="auto"/>
                      <w:sz w:val="21"/>
                    </w:rPr>
                    <w:t xml:space="preserve"> </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81" w:type="dxa"/>
                  <w:shd w:val="clear" w:color="auto" w:fill="auto"/>
                  <w:vAlign w:val="center"/>
                </w:tcPr>
                <w:p>
                  <w:pPr>
                    <w:pStyle w:val="47"/>
                    <w:spacing w:line="360" w:lineRule="exact"/>
                    <w:ind w:firstLine="0" w:firstLineChars="0"/>
                    <w:jc w:val="center"/>
                    <w:rPr>
                      <w:color w:val="auto"/>
                      <w:sz w:val="21"/>
                    </w:rPr>
                  </w:pPr>
                </w:p>
              </w:tc>
              <w:tc>
                <w:tcPr>
                  <w:tcW w:w="851"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9.2污染物排放</w:t>
                  </w:r>
                </w:p>
              </w:tc>
              <w:tc>
                <w:tcPr>
                  <w:tcW w:w="6452" w:type="dxa"/>
                  <w:shd w:val="clear" w:color="auto" w:fill="auto"/>
                  <w:vAlign w:val="center"/>
                </w:tcPr>
                <w:p>
                  <w:pPr>
                    <w:pStyle w:val="47"/>
                    <w:spacing w:line="360" w:lineRule="exact"/>
                    <w:ind w:firstLine="0" w:firstLineChars="0"/>
                    <w:rPr>
                      <w:color w:val="auto"/>
                      <w:sz w:val="21"/>
                    </w:rPr>
                  </w:pPr>
                  <w:r>
                    <w:rPr>
                      <w:rFonts w:hint="eastAsia"/>
                      <w:color w:val="auto"/>
                      <w:sz w:val="21"/>
                    </w:rPr>
                    <w:t>9.2.1矿山应因矿制宜采取节能减排措施，采取有效措施，减少粉尘、噪音、废水、废石、尾矿等污染物的排放。</w:t>
                  </w:r>
                </w:p>
                <w:p>
                  <w:pPr>
                    <w:pStyle w:val="47"/>
                    <w:spacing w:line="360" w:lineRule="exact"/>
                    <w:ind w:firstLine="0" w:firstLineChars="0"/>
                    <w:rPr>
                      <w:color w:val="auto"/>
                      <w:sz w:val="21"/>
                    </w:rPr>
                  </w:pPr>
                  <w:r>
                    <w:rPr>
                      <w:rFonts w:hint="eastAsia"/>
                      <w:color w:val="auto"/>
                      <w:sz w:val="21"/>
                    </w:rPr>
                    <w:t>9.2.2矿山应优化采矿、矿石加工工艺，减少物料运转次数并降低运转落差，减少扬尘点和扬尘量。</w:t>
                  </w:r>
                </w:p>
                <w:p>
                  <w:pPr>
                    <w:pStyle w:val="47"/>
                    <w:spacing w:line="360" w:lineRule="exact"/>
                    <w:ind w:firstLine="0" w:firstLineChars="0"/>
                    <w:rPr>
                      <w:color w:val="auto"/>
                      <w:sz w:val="21"/>
                    </w:rPr>
                  </w:pPr>
                  <w:r>
                    <w:rPr>
                      <w:rFonts w:hint="eastAsia"/>
                      <w:color w:val="auto"/>
                      <w:sz w:val="21"/>
                    </w:rPr>
                    <w:t>9.2.3长距离运输鼓励采用长距离皮带输送代替汽车运输，破碎车间、输送廊道宜采取封闭措施，破碎机输送设备应配各收尘设施：运输道路应因矿制宜配备雾化喷淋装置或配备洒水车定期洒水；车辆驶离矿区前应冲洗及覆盖抑尘，途中物料不撒落。</w:t>
                  </w:r>
                </w:p>
              </w:tc>
              <w:tc>
                <w:tcPr>
                  <w:tcW w:w="4604"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建设单位加强装车管理工作，尽量降低装卸物料落差；除日常对堆场采取洒水降尘措施外，原料装卸车过程应临时增加对卸车矿石及卸车区域的喷洒水从而减少扬尘产生；物料装车后迅速遮盖篷布，防治发生二次扬尘。项目针对白云岩矿石破碎筛分生产线含尘废气，本项目通过在破碎机投料口﹑出料口及筛分机上部安装密闭收集装置，密闭输送廊道将含尘废气抽送至旋风除尘器+布袋除尘器处理后排放，项目采矿场外围不设置截水沟，采取在采场设置导流渠自流方式排水。矿区及厂区建有雨水截（排）水沟和集水池，地表径流水经沉淀处理后达到GB3838规定标准后外排；矿区及厂区</w:t>
                  </w:r>
                  <w:r>
                    <w:rPr>
                      <w:rFonts w:hint="eastAsia"/>
                      <w:color w:val="auto"/>
                      <w:sz w:val="21"/>
                      <w:szCs w:val="21"/>
                    </w:rPr>
                    <w:t>洗漱废水用于厂区泼洒降尘，</w:t>
                  </w:r>
                  <w:r>
                    <w:rPr>
                      <w:rFonts w:hint="eastAsia"/>
                      <w:color w:val="auto"/>
                      <w:sz w:val="21"/>
                    </w:rPr>
                    <w:t>生活污水暂存防渗旱厕，定期清掏用于周边农作物肥田，不外排。矿山剥离产生的夹石部分作为建筑石料销售，部分进行回填。</w:t>
                  </w:r>
                </w:p>
              </w:tc>
              <w:tc>
                <w:tcPr>
                  <w:tcW w:w="652" w:type="dxa"/>
                  <w:shd w:val="clear" w:color="auto" w:fill="auto"/>
                  <w:vAlign w:val="center"/>
                </w:tcPr>
                <w:p>
                  <w:pPr>
                    <w:pStyle w:val="47"/>
                    <w:spacing w:line="360" w:lineRule="exact"/>
                    <w:ind w:firstLine="0" w:firstLineChars="0"/>
                    <w:jc w:val="center"/>
                    <w:rPr>
                      <w:color w:val="auto"/>
                      <w:sz w:val="21"/>
                    </w:rPr>
                  </w:pPr>
                  <w:r>
                    <w:rPr>
                      <w:rFonts w:hint="eastAsia"/>
                      <w:color w:val="auto"/>
                      <w:sz w:val="21"/>
                    </w:rPr>
                    <w:t>符合</w:t>
                  </w:r>
                </w:p>
              </w:tc>
            </w:tr>
          </w:tbl>
          <w:p>
            <w:pPr>
              <w:pStyle w:val="63"/>
              <w:ind w:firstLine="480"/>
            </w:pPr>
            <w:r>
              <w:rPr>
                <w:rFonts w:hint="eastAsia"/>
              </w:rPr>
              <w:t>由表4，表5分析可知，项目与《宁夏砂石土矿绿色矿山建设规范》（DB64/T 1750-2020）和《宁夏非金属矿绿色矿山建设规范》（DB64/T 1751-2020）要求相符。</w:t>
            </w:r>
          </w:p>
        </w:tc>
      </w:tr>
    </w:tbl>
    <w:p>
      <w:pPr>
        <w:spacing w:line="360" w:lineRule="auto"/>
        <w:outlineLvl w:val="0"/>
        <w:rPr>
          <w:rFonts w:eastAsia="黑体"/>
          <w:sz w:val="30"/>
        </w:rPr>
      </w:pPr>
    </w:p>
    <w:p>
      <w:pPr>
        <w:spacing w:line="360" w:lineRule="auto"/>
        <w:outlineLvl w:val="0"/>
        <w:rPr>
          <w:rFonts w:eastAsia="黑体"/>
          <w:sz w:val="30"/>
        </w:rPr>
        <w:sectPr>
          <w:pgSz w:w="16838" w:h="11906" w:orient="landscape"/>
          <w:pgMar w:top="1440" w:right="1440" w:bottom="1440" w:left="1440" w:header="851" w:footer="1077" w:gutter="0"/>
          <w:cols w:space="720" w:num="1"/>
          <w:docGrid w:linePitch="312" w:charSpace="0"/>
        </w:sectPr>
      </w:pPr>
    </w:p>
    <w:p>
      <w:pPr>
        <w:pStyle w:val="18"/>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22"/>
        <w:tblW w:w="92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56"/>
        <w:gridCol w:w="87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97" w:hRule="atLeast"/>
          <w:jc w:val="center"/>
        </w:trPr>
        <w:tc>
          <w:tcPr>
            <w:tcW w:w="456" w:type="dxa"/>
            <w:shd w:val="clear" w:color="auto" w:fill="auto"/>
            <w:vAlign w:val="center"/>
          </w:tcPr>
          <w:p>
            <w:pPr>
              <w:adjustRightInd w:val="0"/>
              <w:snapToGrid w:val="0"/>
              <w:jc w:val="center"/>
              <w:rPr>
                <w:kern w:val="0"/>
                <w:szCs w:val="21"/>
              </w:rPr>
            </w:pPr>
            <w:r>
              <w:rPr>
                <w:rFonts w:hint="eastAsia"/>
                <w:kern w:val="0"/>
                <w:szCs w:val="21"/>
              </w:rPr>
              <w:t>地理位置</w:t>
            </w:r>
          </w:p>
        </w:tc>
        <w:tc>
          <w:tcPr>
            <w:tcW w:w="8786" w:type="dxa"/>
            <w:shd w:val="clear" w:color="auto" w:fill="auto"/>
            <w:vAlign w:val="center"/>
          </w:tcPr>
          <w:p>
            <w:pPr>
              <w:pStyle w:val="50"/>
              <w:ind w:firstLine="480"/>
            </w:pPr>
            <w:r>
              <w:rPr>
                <w:rFonts w:hint="eastAsia"/>
              </w:rPr>
              <w:t>项目位于杜家圈南冶镁白云岩矿位于青龙山北段，属吴忠市同心县韦州镇管辖。项目地理位置图见附图一。</w:t>
            </w:r>
          </w:p>
          <w:p>
            <w:pPr>
              <w:pStyle w:val="47"/>
              <w:ind w:firstLine="480"/>
              <w:jc w:val="both"/>
              <w:rPr>
                <w:color w:val="auto"/>
              </w:rPr>
            </w:pPr>
            <w:r>
              <w:rPr>
                <w:rFonts w:hint="eastAsia"/>
                <w:color w:val="auto"/>
              </w:rPr>
              <w:t>宁夏东义镁业有限公司最早于2012年5月30日通过挂牌有偿竞得“宁夏吴忠市青龙山北段杜家圈南冶镁白云岩详查”探矿权，探矿许可证号： T64420130202047274，面积为4.28km</w:t>
            </w:r>
            <w:r>
              <w:rPr>
                <w:rFonts w:hint="eastAsia"/>
                <w:color w:val="auto"/>
                <w:vertAlign w:val="superscript"/>
              </w:rPr>
              <w:t>2</w:t>
            </w:r>
            <w:r>
              <w:rPr>
                <w:rFonts w:hint="eastAsia"/>
                <w:color w:val="auto"/>
              </w:rPr>
              <w:t>，有效期限为2012年2月8日～2014年2月8日。探矿权人分别于2014年、2016 年、2018年、2020年办理了四次延续变更，其中2016年、2018年因未开展勘查工作提高勘查级别，探矿权面积进行了两次缩减。</w:t>
            </w:r>
          </w:p>
          <w:p>
            <w:pPr>
              <w:pStyle w:val="47"/>
              <w:ind w:firstLine="480"/>
              <w:jc w:val="both"/>
              <w:rPr>
                <w:color w:val="auto"/>
              </w:rPr>
            </w:pPr>
            <w:r>
              <w:rPr>
                <w:rFonts w:hint="eastAsia"/>
                <w:color w:val="auto"/>
              </w:rPr>
              <w:t>目前宁夏东义镁业有限公司持有“宁夏吴忠市青龙山北段杜家圈南冶镁白云岩勘探”探矿权（见附件四），探矿许可证号：T64420130202047274；有效期限为202</w:t>
            </w:r>
            <w:r>
              <w:rPr>
                <w:color w:val="auto"/>
              </w:rPr>
              <w:t>2</w:t>
            </w:r>
            <w:r>
              <w:rPr>
                <w:rFonts w:hint="eastAsia"/>
                <w:color w:val="auto"/>
              </w:rPr>
              <w:t>年</w:t>
            </w:r>
            <w:r>
              <w:rPr>
                <w:color w:val="auto"/>
              </w:rPr>
              <w:t>3</w:t>
            </w:r>
            <w:r>
              <w:rPr>
                <w:rFonts w:hint="eastAsia"/>
                <w:color w:val="auto"/>
              </w:rPr>
              <w:t>月1</w:t>
            </w:r>
            <w:r>
              <w:rPr>
                <w:color w:val="auto"/>
              </w:rPr>
              <w:t>5</w:t>
            </w:r>
            <w:r>
              <w:rPr>
                <w:rFonts w:hint="eastAsia"/>
                <w:color w:val="auto"/>
              </w:rPr>
              <w:t>日～202</w:t>
            </w:r>
            <w:r>
              <w:rPr>
                <w:color w:val="auto"/>
              </w:rPr>
              <w:t>4</w:t>
            </w:r>
            <w:r>
              <w:rPr>
                <w:rFonts w:hint="eastAsia"/>
                <w:color w:val="auto"/>
              </w:rPr>
              <w:t>年</w:t>
            </w:r>
            <w:r>
              <w:rPr>
                <w:color w:val="auto"/>
              </w:rPr>
              <w:t>3</w:t>
            </w:r>
            <w:r>
              <w:rPr>
                <w:rFonts w:hint="eastAsia"/>
                <w:color w:val="auto"/>
              </w:rPr>
              <w:t>月</w:t>
            </w:r>
            <w:r>
              <w:rPr>
                <w:color w:val="auto"/>
              </w:rPr>
              <w:t>15</w:t>
            </w:r>
            <w:r>
              <w:rPr>
                <w:rFonts w:hint="eastAsia"/>
                <w:color w:val="auto"/>
              </w:rPr>
              <w:t>日，由8个拐点圈定，面积2.13km</w:t>
            </w:r>
            <w:r>
              <w:rPr>
                <w:rFonts w:hint="eastAsia"/>
                <w:color w:val="auto"/>
                <w:vertAlign w:val="superscript"/>
              </w:rPr>
              <w:t>2</w:t>
            </w:r>
            <w:r>
              <w:rPr>
                <w:rFonts w:hint="eastAsia"/>
                <w:color w:val="auto"/>
              </w:rPr>
              <w:t>。2020年8月中国建筑材料工业地质勘查中心宁夏总队编制提交了《宁夏吴忠市青龙山北段杜家圈南冶镁白云岩勘探报告》，该报告于2020年8月28日经宁夏回族自治区矿产资源储量评审中心评审通过，备案文号为：宁自然资矿储备字[2020]56号（见附件五）。</w:t>
            </w:r>
          </w:p>
          <w:p>
            <w:pPr>
              <w:pStyle w:val="50"/>
              <w:ind w:firstLine="480"/>
            </w:pPr>
            <w:r>
              <w:rPr>
                <w:rFonts w:hint="eastAsia"/>
              </w:rPr>
              <w:t>2021年7月吴忠市自然资源局下达了《关于划定宁夏吴忠市青龙山北段杜家圈南冶镁白云岩矿矿区范围的批复》（吴自然资函[2021]53号，见附件三）。2021年8月中国建筑材料工业地质勘查中心宁夏总队编制提交了《宁夏吴忠市青龙山北段杜家圈南冶镁白云岩矿资源储量核实报告》，该报告于2021年8月1日经吴忠市自然资源局评审通过，备案文号为：吴自然资矿储备字[2021]4号（见附件六）。</w:t>
            </w:r>
          </w:p>
          <w:p>
            <w:pPr>
              <w:pStyle w:val="47"/>
              <w:ind w:firstLine="480"/>
              <w:rPr>
                <w:color w:val="auto"/>
              </w:rPr>
            </w:pPr>
            <w:r>
              <w:rPr>
                <w:rFonts w:hint="eastAsia"/>
                <w:color w:val="auto"/>
              </w:rPr>
              <w:t>本矿勘探范围由8个拐点圈定，面积2.13</w:t>
            </w:r>
            <w:r>
              <w:rPr>
                <w:rFonts w:hint="eastAsia" w:eastAsia="Times New Roman"/>
                <w:color w:val="auto"/>
              </w:rPr>
              <w:t>km</w:t>
            </w:r>
            <w:r>
              <w:rPr>
                <w:rFonts w:hint="eastAsia" w:eastAsia="Times New Roman"/>
                <w:color w:val="auto"/>
                <w:position w:val="8"/>
                <w:sz w:val="15"/>
              </w:rPr>
              <w:t>2</w:t>
            </w:r>
            <w:r>
              <w:rPr>
                <w:rFonts w:hint="eastAsia"/>
                <w:color w:val="auto"/>
              </w:rPr>
              <w:t>。本矿资源量估算范围由48个拐点圈定，南北走向长约为4.4km，东西倾向宽为0.1～0.3km，面积</w:t>
            </w:r>
            <w:r>
              <w:rPr>
                <w:rFonts w:hint="eastAsia" w:eastAsia="Times New Roman"/>
                <w:color w:val="auto"/>
              </w:rPr>
              <w:t>0.</w:t>
            </w:r>
            <w:r>
              <w:rPr>
                <w:rFonts w:hint="eastAsia"/>
                <w:color w:val="auto"/>
              </w:rPr>
              <w:t>9356</w:t>
            </w:r>
            <w:r>
              <w:rPr>
                <w:rFonts w:hint="eastAsia" w:eastAsia="Times New Roman"/>
                <w:color w:val="auto"/>
              </w:rPr>
              <w:t>km</w:t>
            </w:r>
            <w:r>
              <w:rPr>
                <w:rFonts w:hint="eastAsia" w:eastAsia="Times New Roman"/>
                <w:color w:val="auto"/>
                <w:position w:val="8"/>
                <w:sz w:val="15"/>
              </w:rPr>
              <w:t>2</w:t>
            </w:r>
            <w:r>
              <w:rPr>
                <w:rFonts w:hint="eastAsia"/>
                <w:color w:val="auto"/>
              </w:rPr>
              <w:t>，批准开采水平标高自+1680m～+1250m。</w:t>
            </w:r>
          </w:p>
          <w:p>
            <w:pPr>
              <w:pStyle w:val="47"/>
              <w:ind w:firstLine="480"/>
              <w:rPr>
                <w:color w:val="auto"/>
              </w:rPr>
            </w:pPr>
            <w:r>
              <w:rPr>
                <w:rFonts w:hint="eastAsia"/>
                <w:color w:val="auto"/>
              </w:rPr>
              <w:t>经综合分析，本矿南部1.25km区域上部自+1680m～+1540m水平采用露天开采方式，其它区域采用地下开采方式。</w:t>
            </w:r>
          </w:p>
          <w:p>
            <w:pPr>
              <w:pStyle w:val="47"/>
              <w:ind w:firstLine="480"/>
              <w:rPr>
                <w:color w:val="auto"/>
              </w:rPr>
            </w:pPr>
            <w:r>
              <w:rPr>
                <w:rFonts w:hint="eastAsia"/>
                <w:color w:val="auto"/>
              </w:rPr>
              <w:t>露天开采为一期工程，地下开采为二期工程，全矿采用“分期建设，滚动发展”的建设模式；为避免一、二期工程之间相互影响，保证安全生产，待一期露天开采结束后，再开工建设二期地下开采工程。本次评价内容仅对一期露天开采工程进行评价，二期地下开采工程待开采时另作评价。</w:t>
            </w:r>
          </w:p>
          <w:p>
            <w:pPr>
              <w:pStyle w:val="47"/>
              <w:ind w:firstLine="480"/>
              <w:rPr>
                <w:color w:val="auto"/>
              </w:rPr>
            </w:pPr>
            <w:r>
              <w:rPr>
                <w:rFonts w:hint="eastAsia"/>
                <w:color w:val="auto"/>
              </w:rPr>
              <w:t>本项目一期露天开采地表境界南北走向长约1.25km，东西倾向宽约0.16～0.3km，面积0.31km</w:t>
            </w:r>
            <w:r>
              <w:rPr>
                <w:rFonts w:hint="eastAsia"/>
                <w:color w:val="auto"/>
                <w:vertAlign w:val="superscript"/>
              </w:rPr>
              <w:t>2</w:t>
            </w:r>
            <w:r>
              <w:rPr>
                <w:rFonts w:hint="eastAsia"/>
                <w:color w:val="auto"/>
              </w:rPr>
              <w:t>，露天开采范围内地面最高开采标高+1680m，坑底最低开采标高+1540m，开采深度40～140m，平均开采深度约70m。</w:t>
            </w:r>
            <w:r>
              <w:rPr>
                <w:rFonts w:hint="eastAsia"/>
                <w:color w:val="auto"/>
                <w:lang w:val="zh-CN"/>
              </w:rPr>
              <w:t>矿山开采范围及拐点坐标见表</w:t>
            </w:r>
            <w:r>
              <w:rPr>
                <w:rFonts w:hint="eastAsia"/>
                <w:color w:val="auto"/>
              </w:rPr>
              <w:t>5，表6</w:t>
            </w:r>
            <w:r>
              <w:rPr>
                <w:rFonts w:hint="eastAsia"/>
                <w:color w:val="auto"/>
                <w:lang w:val="zh-CN"/>
              </w:rPr>
              <w:t>。</w:t>
            </w:r>
          </w:p>
          <w:p>
            <w:pPr>
              <w:pStyle w:val="50"/>
              <w:numPr>
                <w:ilvl w:val="0"/>
                <w:numId w:val="2"/>
              </w:numPr>
              <w:snapToGrid w:val="0"/>
              <w:spacing w:line="240" w:lineRule="auto"/>
              <w:ind w:firstLineChars="0"/>
              <w:jc w:val="center"/>
              <w:rPr>
                <w:b/>
                <w:bCs/>
                <w:szCs w:val="24"/>
                <w:lang w:val="zh-CN"/>
              </w:rPr>
            </w:pPr>
            <w:r>
              <w:rPr>
                <w:rFonts w:hint="eastAsia"/>
                <w:b/>
                <w:bCs/>
                <w:szCs w:val="24"/>
                <w:lang w:val="zh-CN"/>
              </w:rPr>
              <w:t>本项目矿区露天开采地表境界范围拐点坐标表</w:t>
            </w:r>
          </w:p>
          <w:tbl>
            <w:tblPr>
              <w:tblStyle w:val="22"/>
              <w:tblW w:w="85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8"/>
              <w:gridCol w:w="1473"/>
              <w:gridCol w:w="1770"/>
              <w:gridCol w:w="1157"/>
              <w:gridCol w:w="1471"/>
              <w:gridCol w:w="1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tblHeader/>
                <w:jc w:val="center"/>
              </w:trPr>
              <w:tc>
                <w:tcPr>
                  <w:tcW w:w="1118" w:type="dxa"/>
                  <w:vMerge w:val="restart"/>
                  <w:shd w:val="clear" w:color="auto" w:fill="auto"/>
                  <w:vAlign w:val="center"/>
                </w:tcPr>
                <w:p>
                  <w:pPr>
                    <w:spacing w:line="360" w:lineRule="exact"/>
                    <w:jc w:val="center"/>
                    <w:rPr>
                      <w:snapToGrid w:val="0"/>
                      <w:kern w:val="0"/>
                    </w:rPr>
                  </w:pPr>
                  <w:r>
                    <w:rPr>
                      <w:rFonts w:hint="eastAsia"/>
                      <w:snapToGrid w:val="0"/>
                      <w:kern w:val="0"/>
                    </w:rPr>
                    <w:t>拐点号</w:t>
                  </w:r>
                </w:p>
              </w:tc>
              <w:tc>
                <w:tcPr>
                  <w:tcW w:w="3243" w:type="dxa"/>
                  <w:gridSpan w:val="2"/>
                  <w:shd w:val="clear" w:color="auto" w:fill="auto"/>
                  <w:vAlign w:val="center"/>
                </w:tcPr>
                <w:p>
                  <w:pPr>
                    <w:spacing w:line="360" w:lineRule="exact"/>
                    <w:jc w:val="center"/>
                    <w:rPr>
                      <w:snapToGrid w:val="0"/>
                      <w:kern w:val="0"/>
                    </w:rPr>
                  </w:pPr>
                  <w:r>
                    <w:rPr>
                      <w:rFonts w:hint="eastAsia"/>
                      <w:snapToGrid w:val="0"/>
                      <w:kern w:val="0"/>
                    </w:rPr>
                    <w:t>国家大地2000坐标系统</w:t>
                  </w:r>
                </w:p>
                <w:p>
                  <w:pPr>
                    <w:spacing w:line="360" w:lineRule="exact"/>
                    <w:jc w:val="center"/>
                    <w:rPr>
                      <w:snapToGrid w:val="0"/>
                      <w:kern w:val="0"/>
                    </w:rPr>
                  </w:pPr>
                  <w:r>
                    <w:rPr>
                      <w:rFonts w:hint="eastAsia"/>
                      <w:snapToGrid w:val="0"/>
                      <w:kern w:val="0"/>
                    </w:rPr>
                    <w:t>Y经距</w:t>
                  </w:r>
                </w:p>
              </w:tc>
              <w:tc>
                <w:tcPr>
                  <w:tcW w:w="1157" w:type="dxa"/>
                  <w:vMerge w:val="restart"/>
                  <w:shd w:val="clear" w:color="auto" w:fill="auto"/>
                  <w:vAlign w:val="center"/>
                </w:tcPr>
                <w:p>
                  <w:pPr>
                    <w:spacing w:line="360" w:lineRule="exact"/>
                    <w:jc w:val="center"/>
                    <w:rPr>
                      <w:snapToGrid w:val="0"/>
                      <w:kern w:val="0"/>
                    </w:rPr>
                  </w:pPr>
                  <w:r>
                    <w:rPr>
                      <w:rFonts w:hint="eastAsia"/>
                      <w:snapToGrid w:val="0"/>
                      <w:kern w:val="0"/>
                    </w:rPr>
                    <w:t>拐点号</w:t>
                  </w:r>
                </w:p>
              </w:tc>
              <w:tc>
                <w:tcPr>
                  <w:tcW w:w="3022" w:type="dxa"/>
                  <w:gridSpan w:val="2"/>
                  <w:shd w:val="clear" w:color="auto" w:fill="auto"/>
                  <w:vAlign w:val="center"/>
                </w:tcPr>
                <w:p>
                  <w:pPr>
                    <w:pStyle w:val="86"/>
                    <w:jc w:val="center"/>
                    <w:rPr>
                      <w:rFonts w:ascii="等线" w:hAnsi="等线" w:eastAsia="等线"/>
                    </w:rPr>
                  </w:pPr>
                  <w:r>
                    <w:rPr>
                      <w:rFonts w:hint="eastAsia" w:ascii="等线" w:hAnsi="等线" w:eastAsia="等线"/>
                    </w:rPr>
                    <w:t>国家大地2000坐标系统</w:t>
                  </w:r>
                </w:p>
                <w:p>
                  <w:pPr>
                    <w:spacing w:line="360" w:lineRule="exact"/>
                    <w:jc w:val="center"/>
                    <w:rPr>
                      <w:snapToGrid w:val="0"/>
                      <w:kern w:val="0"/>
                    </w:rPr>
                  </w:pPr>
                </w:p>
                <w:p>
                  <w:pPr>
                    <w:spacing w:line="360" w:lineRule="exact"/>
                    <w:jc w:val="center"/>
                    <w:rPr>
                      <w:snapToGrid w:val="0"/>
                      <w:kern w:val="0"/>
                    </w:rPr>
                  </w:pPr>
                  <w:r>
                    <w:rPr>
                      <w:rFonts w:hint="eastAsia"/>
                      <w:snapToGrid w:val="0"/>
                      <w:kern w:val="0"/>
                    </w:rPr>
                    <w:t>Y经距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tblHeader/>
                <w:jc w:val="center"/>
              </w:trPr>
              <w:tc>
                <w:tcPr>
                  <w:tcW w:w="1118" w:type="dxa"/>
                  <w:vMerge w:val="continue"/>
                  <w:shd w:val="clear" w:color="auto" w:fill="auto"/>
                  <w:vAlign w:val="center"/>
                </w:tcPr>
                <w:p>
                  <w:pPr>
                    <w:spacing w:line="360" w:lineRule="exact"/>
                    <w:jc w:val="center"/>
                    <w:rPr>
                      <w:snapToGrid w:val="0"/>
                      <w:kern w:val="0"/>
                    </w:rPr>
                  </w:pPr>
                </w:p>
              </w:tc>
              <w:tc>
                <w:tcPr>
                  <w:tcW w:w="1473" w:type="dxa"/>
                  <w:shd w:val="clear" w:color="auto" w:fill="auto"/>
                  <w:vAlign w:val="center"/>
                </w:tcPr>
                <w:p>
                  <w:pPr>
                    <w:spacing w:line="360" w:lineRule="exact"/>
                    <w:jc w:val="center"/>
                    <w:rPr>
                      <w:snapToGrid w:val="0"/>
                      <w:kern w:val="0"/>
                    </w:rPr>
                  </w:pPr>
                  <w:r>
                    <w:rPr>
                      <w:rFonts w:hint="eastAsia"/>
                      <w:snapToGrid w:val="0"/>
                      <w:kern w:val="0"/>
                    </w:rPr>
                    <w:t>X纬距</w:t>
                  </w:r>
                </w:p>
              </w:tc>
              <w:tc>
                <w:tcPr>
                  <w:tcW w:w="1770" w:type="dxa"/>
                  <w:shd w:val="clear" w:color="auto" w:fill="auto"/>
                  <w:vAlign w:val="center"/>
                </w:tcPr>
                <w:p>
                  <w:pPr>
                    <w:spacing w:line="360" w:lineRule="exact"/>
                    <w:jc w:val="center"/>
                    <w:rPr>
                      <w:snapToGrid w:val="0"/>
                      <w:kern w:val="0"/>
                    </w:rPr>
                  </w:pPr>
                  <w:r>
                    <w:rPr>
                      <w:rFonts w:hint="eastAsia"/>
                      <w:snapToGrid w:val="0"/>
                      <w:kern w:val="0"/>
                    </w:rPr>
                    <w:t>Y经距</w:t>
                  </w:r>
                </w:p>
              </w:tc>
              <w:tc>
                <w:tcPr>
                  <w:tcW w:w="1157" w:type="dxa"/>
                  <w:vMerge w:val="continue"/>
                  <w:shd w:val="clear" w:color="auto" w:fill="auto"/>
                  <w:vAlign w:val="center"/>
                </w:tcPr>
                <w:p>
                  <w:pPr>
                    <w:spacing w:line="360" w:lineRule="exact"/>
                    <w:jc w:val="center"/>
                    <w:rPr>
                      <w:snapToGrid w:val="0"/>
                      <w:kern w:val="0"/>
                    </w:rPr>
                  </w:pPr>
                </w:p>
              </w:tc>
              <w:tc>
                <w:tcPr>
                  <w:tcW w:w="1471" w:type="dxa"/>
                  <w:shd w:val="clear" w:color="auto" w:fill="auto"/>
                  <w:vAlign w:val="center"/>
                </w:tcPr>
                <w:p>
                  <w:pPr>
                    <w:spacing w:line="360" w:lineRule="exact"/>
                    <w:jc w:val="center"/>
                    <w:rPr>
                      <w:snapToGrid w:val="0"/>
                      <w:kern w:val="0"/>
                    </w:rPr>
                  </w:pPr>
                  <w:r>
                    <w:rPr>
                      <w:rFonts w:hint="eastAsia"/>
                      <w:snapToGrid w:val="0"/>
                      <w:kern w:val="0"/>
                    </w:rPr>
                    <w:t>X纬距</w:t>
                  </w:r>
                </w:p>
              </w:tc>
              <w:tc>
                <w:tcPr>
                  <w:tcW w:w="1551" w:type="dxa"/>
                  <w:shd w:val="clear" w:color="auto" w:fill="auto"/>
                  <w:vAlign w:val="center"/>
                </w:tcPr>
                <w:p>
                  <w:pPr>
                    <w:spacing w:line="360" w:lineRule="exact"/>
                    <w:jc w:val="center"/>
                    <w:rPr>
                      <w:snapToGrid w:val="0"/>
                      <w:kern w:val="0"/>
                    </w:rPr>
                  </w:pPr>
                  <w:r>
                    <w:rPr>
                      <w:rFonts w:hint="eastAsia"/>
                      <w:snapToGrid w:val="0"/>
                      <w:kern w:val="0"/>
                    </w:rPr>
                    <w:t>Y经距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g13’</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g27</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g14</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g28</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g15</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g29</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g16</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g30</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g17</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g31</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g18</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g32</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g19</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g33</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g20</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g34</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g21</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g35</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g22</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g36</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g23</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g37</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g24</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g38</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g25</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r>
                    <w:rPr>
                      <w:rFonts w:hint="eastAsia"/>
                      <w:snapToGrid w:val="0"/>
                      <w:kern w:val="0"/>
                    </w:rPr>
                    <w:t>g38’</w:t>
                  </w: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jc w:val="center"/>
              </w:trPr>
              <w:tc>
                <w:tcPr>
                  <w:tcW w:w="1118" w:type="dxa"/>
                  <w:shd w:val="clear" w:color="auto" w:fill="auto"/>
                  <w:vAlign w:val="center"/>
                </w:tcPr>
                <w:p>
                  <w:pPr>
                    <w:spacing w:line="360" w:lineRule="exact"/>
                    <w:jc w:val="center"/>
                    <w:rPr>
                      <w:snapToGrid w:val="0"/>
                      <w:kern w:val="0"/>
                    </w:rPr>
                  </w:pPr>
                  <w:r>
                    <w:rPr>
                      <w:rFonts w:hint="eastAsia"/>
                      <w:snapToGrid w:val="0"/>
                      <w:kern w:val="0"/>
                    </w:rPr>
                    <w:t>g26</w:t>
                  </w:r>
                </w:p>
              </w:tc>
              <w:tc>
                <w:tcPr>
                  <w:tcW w:w="1473" w:type="dxa"/>
                  <w:shd w:val="clear" w:color="auto" w:fill="auto"/>
                  <w:vAlign w:val="center"/>
                </w:tcPr>
                <w:p>
                  <w:pPr>
                    <w:spacing w:line="360" w:lineRule="exact"/>
                    <w:jc w:val="center"/>
                    <w:rPr>
                      <w:snapToGrid w:val="0"/>
                      <w:kern w:val="0"/>
                    </w:rPr>
                  </w:pPr>
                </w:p>
              </w:tc>
              <w:tc>
                <w:tcPr>
                  <w:tcW w:w="1770" w:type="dxa"/>
                  <w:shd w:val="clear" w:color="auto" w:fill="auto"/>
                  <w:vAlign w:val="center"/>
                </w:tcPr>
                <w:p>
                  <w:pPr>
                    <w:spacing w:line="360" w:lineRule="exact"/>
                    <w:jc w:val="center"/>
                    <w:rPr>
                      <w:snapToGrid w:val="0"/>
                      <w:kern w:val="0"/>
                    </w:rPr>
                  </w:pPr>
                </w:p>
              </w:tc>
              <w:tc>
                <w:tcPr>
                  <w:tcW w:w="1157" w:type="dxa"/>
                  <w:shd w:val="clear" w:color="auto" w:fill="auto"/>
                  <w:vAlign w:val="center"/>
                </w:tcPr>
                <w:p>
                  <w:pPr>
                    <w:spacing w:line="360" w:lineRule="exact"/>
                    <w:jc w:val="center"/>
                    <w:rPr>
                      <w:snapToGrid w:val="0"/>
                      <w:kern w:val="0"/>
                    </w:rPr>
                  </w:pPr>
                </w:p>
              </w:tc>
              <w:tc>
                <w:tcPr>
                  <w:tcW w:w="1471" w:type="dxa"/>
                  <w:shd w:val="clear" w:color="auto" w:fill="auto"/>
                  <w:vAlign w:val="center"/>
                </w:tcPr>
                <w:p>
                  <w:pPr>
                    <w:spacing w:line="360" w:lineRule="exact"/>
                    <w:jc w:val="center"/>
                    <w:rPr>
                      <w:snapToGrid w:val="0"/>
                      <w:kern w:val="0"/>
                    </w:rPr>
                  </w:pPr>
                </w:p>
              </w:tc>
              <w:tc>
                <w:tcPr>
                  <w:tcW w:w="1551" w:type="dxa"/>
                  <w:shd w:val="clear" w:color="auto" w:fill="auto"/>
                  <w:vAlign w:val="center"/>
                </w:tcPr>
                <w:p>
                  <w:pPr>
                    <w:spacing w:line="360" w:lineRule="exact"/>
                    <w:jc w:val="center"/>
                    <w:rPr>
                      <w:snapToGrid w:val="0"/>
                      <w:kern w:val="0"/>
                    </w:rPr>
                  </w:pPr>
                </w:p>
              </w:tc>
            </w:tr>
          </w:tbl>
          <w:p>
            <w:pPr>
              <w:pStyle w:val="50"/>
              <w:numPr>
                <w:ilvl w:val="0"/>
                <w:numId w:val="2"/>
              </w:numPr>
              <w:snapToGrid w:val="0"/>
              <w:spacing w:line="240" w:lineRule="auto"/>
              <w:ind w:firstLineChars="0"/>
              <w:jc w:val="center"/>
              <w:rPr>
                <w:b/>
                <w:bCs/>
                <w:szCs w:val="24"/>
              </w:rPr>
            </w:pPr>
            <w:r>
              <w:rPr>
                <w:rFonts w:hint="eastAsia"/>
                <w:b/>
                <w:bCs/>
                <w:szCs w:val="24"/>
                <w:lang w:val="zh-CN"/>
              </w:rPr>
              <w:t>本项目矿区露天开采坑底境界范围拐点坐标表</w:t>
            </w:r>
          </w:p>
          <w:tbl>
            <w:tblPr>
              <w:tblStyle w:val="22"/>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21"/>
              <w:gridCol w:w="1474"/>
              <w:gridCol w:w="1768"/>
              <w:gridCol w:w="1155"/>
              <w:gridCol w:w="1471"/>
              <w:gridCol w:w="155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vMerge w:val="restart"/>
                  <w:shd w:val="clear" w:color="auto" w:fill="auto"/>
                  <w:vAlign w:val="center"/>
                </w:tcPr>
                <w:p>
                  <w:pPr>
                    <w:pStyle w:val="33"/>
                    <w:spacing w:line="360" w:lineRule="exact"/>
                    <w:rPr>
                      <w:b/>
                    </w:rPr>
                  </w:pPr>
                  <w:r>
                    <w:rPr>
                      <w:rFonts w:hint="eastAsia"/>
                      <w:b/>
                    </w:rPr>
                    <w:t>拐点</w:t>
                  </w:r>
                </w:p>
              </w:tc>
              <w:tc>
                <w:tcPr>
                  <w:tcW w:w="3242" w:type="dxa"/>
                  <w:gridSpan w:val="2"/>
                  <w:shd w:val="clear" w:color="auto" w:fill="auto"/>
                  <w:vAlign w:val="center"/>
                </w:tcPr>
                <w:p>
                  <w:pPr>
                    <w:pStyle w:val="33"/>
                    <w:spacing w:line="360" w:lineRule="exact"/>
                    <w:rPr>
                      <w:b/>
                    </w:rPr>
                  </w:pPr>
                  <w:r>
                    <w:rPr>
                      <w:rFonts w:hint="eastAsia"/>
                      <w:b/>
                    </w:rPr>
                    <w:t>国家大地2000坐标系统</w:t>
                  </w:r>
                </w:p>
              </w:tc>
              <w:tc>
                <w:tcPr>
                  <w:tcW w:w="1155" w:type="dxa"/>
                  <w:vMerge w:val="restart"/>
                  <w:shd w:val="clear" w:color="auto" w:fill="auto"/>
                  <w:vAlign w:val="center"/>
                </w:tcPr>
                <w:p>
                  <w:pPr>
                    <w:pStyle w:val="33"/>
                    <w:spacing w:line="360" w:lineRule="exact"/>
                    <w:rPr>
                      <w:b/>
                    </w:rPr>
                  </w:pPr>
                  <w:r>
                    <w:rPr>
                      <w:rFonts w:hint="eastAsia"/>
                      <w:b/>
                    </w:rPr>
                    <w:t>拐点</w:t>
                  </w:r>
                </w:p>
              </w:tc>
              <w:tc>
                <w:tcPr>
                  <w:tcW w:w="3022" w:type="dxa"/>
                  <w:gridSpan w:val="2"/>
                  <w:shd w:val="clear" w:color="auto" w:fill="auto"/>
                  <w:vAlign w:val="center"/>
                </w:tcPr>
                <w:p>
                  <w:pPr>
                    <w:pStyle w:val="33"/>
                    <w:spacing w:line="360" w:lineRule="exact"/>
                    <w:rPr>
                      <w:b/>
                    </w:rPr>
                  </w:pPr>
                  <w:r>
                    <w:rPr>
                      <w:rFonts w:hint="eastAsia"/>
                      <w:b/>
                    </w:rPr>
                    <w:t>国家大地2000坐标系统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vMerge w:val="continue"/>
                  <w:shd w:val="clear" w:color="auto" w:fill="auto"/>
                  <w:vAlign w:val="center"/>
                </w:tcPr>
                <w:p>
                  <w:pPr>
                    <w:pStyle w:val="33"/>
                    <w:spacing w:line="360" w:lineRule="exact"/>
                    <w:rPr>
                      <w:b/>
                    </w:rPr>
                  </w:pPr>
                </w:p>
              </w:tc>
              <w:tc>
                <w:tcPr>
                  <w:tcW w:w="1474" w:type="dxa"/>
                  <w:shd w:val="clear" w:color="auto" w:fill="auto"/>
                  <w:vAlign w:val="center"/>
                </w:tcPr>
                <w:p>
                  <w:pPr>
                    <w:pStyle w:val="33"/>
                    <w:spacing w:line="360" w:lineRule="exact"/>
                    <w:rPr>
                      <w:b/>
                    </w:rPr>
                  </w:pPr>
                  <w:r>
                    <w:rPr>
                      <w:rFonts w:hint="eastAsia"/>
                      <w:b/>
                    </w:rPr>
                    <w:t>X 纬距</w:t>
                  </w:r>
                </w:p>
              </w:tc>
              <w:tc>
                <w:tcPr>
                  <w:tcW w:w="1768" w:type="dxa"/>
                  <w:shd w:val="clear" w:color="auto" w:fill="auto"/>
                  <w:vAlign w:val="center"/>
                </w:tcPr>
                <w:p>
                  <w:pPr>
                    <w:pStyle w:val="33"/>
                    <w:spacing w:line="360" w:lineRule="exact"/>
                    <w:rPr>
                      <w:b/>
                    </w:rPr>
                  </w:pPr>
                  <w:r>
                    <w:rPr>
                      <w:rFonts w:hint="eastAsia"/>
                      <w:b/>
                    </w:rPr>
                    <w:t>Y 经距</w:t>
                  </w:r>
                </w:p>
              </w:tc>
              <w:tc>
                <w:tcPr>
                  <w:tcW w:w="1155" w:type="dxa"/>
                  <w:vMerge w:val="continue"/>
                  <w:shd w:val="clear" w:color="auto" w:fill="auto"/>
                  <w:vAlign w:val="center"/>
                </w:tcPr>
                <w:p>
                  <w:pPr>
                    <w:pStyle w:val="33"/>
                    <w:spacing w:line="360" w:lineRule="exact"/>
                    <w:rPr>
                      <w:b/>
                    </w:rPr>
                  </w:pPr>
                </w:p>
              </w:tc>
              <w:tc>
                <w:tcPr>
                  <w:tcW w:w="1471" w:type="dxa"/>
                  <w:shd w:val="clear" w:color="auto" w:fill="auto"/>
                  <w:vAlign w:val="center"/>
                </w:tcPr>
                <w:p>
                  <w:pPr>
                    <w:pStyle w:val="33"/>
                    <w:spacing w:line="360" w:lineRule="exact"/>
                    <w:rPr>
                      <w:b/>
                    </w:rPr>
                  </w:pPr>
                  <w:r>
                    <w:rPr>
                      <w:rFonts w:hint="eastAsia"/>
                      <w:b/>
                    </w:rPr>
                    <w:t>X 纬距</w:t>
                  </w:r>
                </w:p>
              </w:tc>
              <w:tc>
                <w:tcPr>
                  <w:tcW w:w="1551" w:type="dxa"/>
                  <w:shd w:val="clear" w:color="auto" w:fill="auto"/>
                  <w:vAlign w:val="center"/>
                </w:tcPr>
                <w:p>
                  <w:pPr>
                    <w:pStyle w:val="33"/>
                    <w:spacing w:line="360" w:lineRule="exact"/>
                    <w:rPr>
                      <w:b/>
                    </w:rPr>
                  </w:pPr>
                  <w:r>
                    <w:rPr>
                      <w:rFonts w:hint="eastAsia"/>
                      <w:b/>
                    </w:rPr>
                    <w:t>Y 经距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shd w:val="clear" w:color="auto" w:fill="auto"/>
                  <w:vAlign w:val="center"/>
                </w:tcPr>
                <w:p>
                  <w:pPr>
                    <w:pStyle w:val="33"/>
                    <w:spacing w:line="360" w:lineRule="exact"/>
                  </w:pPr>
                  <w:r>
                    <w:rPr>
                      <w:rFonts w:hint="eastAsia"/>
                    </w:rPr>
                    <w:t>S1</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S9</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shd w:val="clear" w:color="auto" w:fill="auto"/>
                  <w:vAlign w:val="center"/>
                </w:tcPr>
                <w:p>
                  <w:pPr>
                    <w:pStyle w:val="33"/>
                    <w:spacing w:line="360" w:lineRule="exact"/>
                  </w:pPr>
                  <w:r>
                    <w:rPr>
                      <w:rFonts w:hint="eastAsia"/>
                    </w:rPr>
                    <w:t>S2</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S10</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0" w:hRule="atLeast"/>
              </w:trPr>
              <w:tc>
                <w:tcPr>
                  <w:tcW w:w="1121" w:type="dxa"/>
                  <w:shd w:val="clear" w:color="auto" w:fill="auto"/>
                  <w:vAlign w:val="center"/>
                </w:tcPr>
                <w:p>
                  <w:pPr>
                    <w:pStyle w:val="33"/>
                    <w:spacing w:line="360" w:lineRule="exact"/>
                  </w:pPr>
                  <w:r>
                    <w:rPr>
                      <w:rFonts w:hint="eastAsia"/>
                    </w:rPr>
                    <w:t>S3</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S11</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shd w:val="clear" w:color="auto" w:fill="auto"/>
                  <w:vAlign w:val="center"/>
                </w:tcPr>
                <w:p>
                  <w:pPr>
                    <w:pStyle w:val="33"/>
                    <w:spacing w:line="360" w:lineRule="exact"/>
                  </w:pPr>
                  <w:r>
                    <w:rPr>
                      <w:rFonts w:hint="eastAsia"/>
                    </w:rPr>
                    <w:t>S4</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S12</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shd w:val="clear" w:color="auto" w:fill="auto"/>
                  <w:vAlign w:val="center"/>
                </w:tcPr>
                <w:p>
                  <w:pPr>
                    <w:pStyle w:val="33"/>
                    <w:spacing w:line="360" w:lineRule="exact"/>
                  </w:pPr>
                  <w:r>
                    <w:rPr>
                      <w:rFonts w:hint="eastAsia"/>
                    </w:rPr>
                    <w:t>S5</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S13</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shd w:val="clear" w:color="auto" w:fill="auto"/>
                  <w:vAlign w:val="center"/>
                </w:tcPr>
                <w:p>
                  <w:pPr>
                    <w:pStyle w:val="33"/>
                    <w:spacing w:line="360" w:lineRule="exact"/>
                  </w:pPr>
                  <w:r>
                    <w:rPr>
                      <w:rFonts w:hint="eastAsia"/>
                    </w:rPr>
                    <w:t>S6</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S14</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121" w:type="dxa"/>
                  <w:shd w:val="clear" w:color="auto" w:fill="auto"/>
                  <w:vAlign w:val="center"/>
                </w:tcPr>
                <w:p>
                  <w:pPr>
                    <w:pStyle w:val="33"/>
                    <w:spacing w:line="360" w:lineRule="exact"/>
                  </w:pPr>
                  <w:r>
                    <w:rPr>
                      <w:rFonts w:hint="eastAsia"/>
                    </w:rPr>
                    <w:t>S7</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S15</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0" w:hRule="atLeast"/>
              </w:trPr>
              <w:tc>
                <w:tcPr>
                  <w:tcW w:w="1121" w:type="dxa"/>
                  <w:shd w:val="clear" w:color="auto" w:fill="auto"/>
                  <w:vAlign w:val="center"/>
                </w:tcPr>
                <w:p>
                  <w:pPr>
                    <w:pStyle w:val="33"/>
                    <w:spacing w:line="360" w:lineRule="exact"/>
                  </w:pPr>
                  <w:r>
                    <w:rPr>
                      <w:rFonts w:hint="eastAsia"/>
                    </w:rPr>
                    <w:t>S8</w:t>
                  </w:r>
                </w:p>
              </w:tc>
              <w:tc>
                <w:tcPr>
                  <w:tcW w:w="1474" w:type="dxa"/>
                  <w:shd w:val="clear" w:color="auto" w:fill="auto"/>
                  <w:vAlign w:val="center"/>
                </w:tcPr>
                <w:p>
                  <w:pPr>
                    <w:pStyle w:val="33"/>
                    <w:spacing w:line="360" w:lineRule="exact"/>
                  </w:pPr>
                </w:p>
              </w:tc>
              <w:tc>
                <w:tcPr>
                  <w:tcW w:w="1768" w:type="dxa"/>
                  <w:shd w:val="clear" w:color="auto" w:fill="auto"/>
                  <w:vAlign w:val="center"/>
                </w:tcPr>
                <w:p>
                  <w:pPr>
                    <w:pStyle w:val="33"/>
                    <w:spacing w:line="360" w:lineRule="exact"/>
                  </w:pPr>
                </w:p>
              </w:tc>
              <w:tc>
                <w:tcPr>
                  <w:tcW w:w="1155" w:type="dxa"/>
                  <w:shd w:val="clear" w:color="auto" w:fill="auto"/>
                  <w:vAlign w:val="center"/>
                </w:tcPr>
                <w:p>
                  <w:pPr>
                    <w:pStyle w:val="33"/>
                    <w:spacing w:line="360" w:lineRule="exact"/>
                  </w:pPr>
                  <w:r>
                    <w:rPr>
                      <w:rFonts w:hint="eastAsia"/>
                    </w:rPr>
                    <w:t>S16</w:t>
                  </w:r>
                </w:p>
              </w:tc>
              <w:tc>
                <w:tcPr>
                  <w:tcW w:w="1471" w:type="dxa"/>
                  <w:shd w:val="clear" w:color="auto" w:fill="auto"/>
                  <w:vAlign w:val="center"/>
                </w:tcPr>
                <w:p>
                  <w:pPr>
                    <w:pStyle w:val="33"/>
                    <w:spacing w:line="360" w:lineRule="exact"/>
                  </w:pPr>
                </w:p>
              </w:tc>
              <w:tc>
                <w:tcPr>
                  <w:tcW w:w="1551" w:type="dxa"/>
                  <w:shd w:val="clear" w:color="auto" w:fill="auto"/>
                  <w:vAlign w:val="center"/>
                </w:tcPr>
                <w:p>
                  <w:pPr>
                    <w:pStyle w:val="33"/>
                    <w:spacing w:line="360" w:lineRule="exact"/>
                  </w:pPr>
                </w:p>
              </w:tc>
            </w:tr>
          </w:tbl>
          <w:p>
            <w:pPr>
              <w:pStyle w:val="50"/>
              <w:ind w:firstLine="0" w:firstLineChars="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72" w:hRule="atLeast"/>
          <w:jc w:val="center"/>
        </w:trPr>
        <w:tc>
          <w:tcPr>
            <w:tcW w:w="456" w:type="dxa"/>
            <w:shd w:val="clear" w:color="auto" w:fill="auto"/>
            <w:vAlign w:val="center"/>
          </w:tcPr>
          <w:p>
            <w:pPr>
              <w:adjustRightInd w:val="0"/>
              <w:snapToGrid w:val="0"/>
              <w:jc w:val="center"/>
              <w:rPr>
                <w:kern w:val="0"/>
                <w:szCs w:val="21"/>
              </w:rPr>
            </w:pPr>
            <w:r>
              <w:rPr>
                <w:rFonts w:hint="eastAsia"/>
                <w:kern w:val="0"/>
                <w:szCs w:val="21"/>
              </w:rPr>
              <w:t>项目组成及规模</w:t>
            </w:r>
          </w:p>
        </w:tc>
        <w:tc>
          <w:tcPr>
            <w:tcW w:w="8786" w:type="dxa"/>
            <w:shd w:val="clear" w:color="auto" w:fill="auto"/>
            <w:vAlign w:val="center"/>
          </w:tcPr>
          <w:p>
            <w:pPr>
              <w:pStyle w:val="50"/>
              <w:ind w:firstLine="482"/>
              <w:rPr>
                <w:b/>
                <w:bCs/>
              </w:rPr>
            </w:pPr>
            <w:r>
              <w:rPr>
                <w:rFonts w:hint="eastAsia"/>
                <w:b/>
                <w:bCs/>
              </w:rPr>
              <w:t>1、项目工程组成及规模</w:t>
            </w:r>
          </w:p>
          <w:p>
            <w:pPr>
              <w:pStyle w:val="50"/>
              <w:ind w:firstLine="480"/>
              <w:rPr>
                <w:kern w:val="1"/>
              </w:rPr>
            </w:pPr>
            <w:r>
              <w:rPr>
                <w:rFonts w:hint="eastAsia"/>
                <w:kern w:val="1"/>
              </w:rPr>
              <w:t>项目所在矿区分为露天开采部分和地下开采部分，本次评价内容为该矿区的一期工程，即针对矿区露天开采部分进行环境影响评价，</w:t>
            </w:r>
            <w:r>
              <w:rPr>
                <w:rFonts w:hint="eastAsia"/>
                <w:snapToGrid w:val="0"/>
              </w:rPr>
              <w:t>露天开采范围内地面最高开采标高+1540m，</w:t>
            </w:r>
            <w:r>
              <w:rPr>
                <w:rFonts w:hint="eastAsia"/>
                <w:kern w:val="1"/>
              </w:rPr>
              <w:t>地下开采部分另做环评。项目建成后将形成年生产冶镁白云岩50万t（露天），生产建筑石料500万t（露天）。项目组成及主要建设内容</w:t>
            </w:r>
            <w:r>
              <w:rPr>
                <w:rFonts w:hint="eastAsia"/>
              </w:rPr>
              <w:t>详见表7。</w:t>
            </w:r>
          </w:p>
          <w:p>
            <w:pPr>
              <w:pStyle w:val="50"/>
              <w:numPr>
                <w:ilvl w:val="0"/>
                <w:numId w:val="2"/>
              </w:numPr>
              <w:snapToGrid w:val="0"/>
              <w:spacing w:line="240" w:lineRule="auto"/>
              <w:ind w:firstLineChars="0"/>
              <w:jc w:val="center"/>
              <w:rPr>
                <w:b/>
                <w:bCs/>
              </w:rPr>
            </w:pPr>
            <w:r>
              <w:rPr>
                <w:rFonts w:hint="eastAsia"/>
                <w:b/>
                <w:bCs/>
              </w:rPr>
              <w:t>项目组成一览表</w:t>
            </w:r>
          </w:p>
          <w:tbl>
            <w:tblPr>
              <w:tblStyle w:val="22"/>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07"/>
              <w:gridCol w:w="904"/>
              <w:gridCol w:w="1057"/>
              <w:gridCol w:w="567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shd w:val="clear" w:color="auto" w:fill="auto"/>
                  <w:vAlign w:val="center"/>
                </w:tcPr>
                <w:p>
                  <w:pPr>
                    <w:pStyle w:val="7"/>
                    <w:spacing w:line="360" w:lineRule="exact"/>
                    <w:ind w:firstLine="0"/>
                    <w:jc w:val="center"/>
                    <w:rPr>
                      <w:b/>
                      <w:szCs w:val="21"/>
                    </w:rPr>
                  </w:pPr>
                  <w:r>
                    <w:rPr>
                      <w:rFonts w:hint="eastAsia"/>
                      <w:b/>
                      <w:szCs w:val="21"/>
                    </w:rPr>
                    <w:t>项目</w:t>
                  </w:r>
                </w:p>
                <w:p>
                  <w:pPr>
                    <w:pStyle w:val="7"/>
                    <w:spacing w:line="360" w:lineRule="exact"/>
                    <w:ind w:firstLine="0"/>
                    <w:jc w:val="center"/>
                    <w:rPr>
                      <w:b/>
                      <w:szCs w:val="21"/>
                    </w:rPr>
                  </w:pPr>
                  <w:r>
                    <w:rPr>
                      <w:rFonts w:hint="eastAsia"/>
                      <w:b/>
                      <w:szCs w:val="21"/>
                    </w:rPr>
                    <w:t>名称</w:t>
                  </w:r>
                </w:p>
              </w:tc>
              <w:tc>
                <w:tcPr>
                  <w:tcW w:w="1961" w:type="dxa"/>
                  <w:gridSpan w:val="2"/>
                  <w:shd w:val="clear" w:color="auto" w:fill="auto"/>
                  <w:vAlign w:val="center"/>
                </w:tcPr>
                <w:p>
                  <w:pPr>
                    <w:pStyle w:val="7"/>
                    <w:spacing w:line="360" w:lineRule="exact"/>
                    <w:ind w:firstLine="0"/>
                    <w:jc w:val="center"/>
                    <w:rPr>
                      <w:b/>
                      <w:szCs w:val="21"/>
                    </w:rPr>
                  </w:pPr>
                  <w:r>
                    <w:rPr>
                      <w:rFonts w:hint="eastAsia"/>
                      <w:b/>
                      <w:szCs w:val="21"/>
                    </w:rPr>
                    <w:t>工程名称</w:t>
                  </w:r>
                </w:p>
              </w:tc>
              <w:tc>
                <w:tcPr>
                  <w:tcW w:w="5672" w:type="dxa"/>
                  <w:shd w:val="clear" w:color="auto" w:fill="auto"/>
                  <w:vAlign w:val="center"/>
                </w:tcPr>
                <w:p>
                  <w:pPr>
                    <w:pStyle w:val="7"/>
                    <w:spacing w:line="360" w:lineRule="exact"/>
                    <w:ind w:firstLine="0"/>
                    <w:jc w:val="center"/>
                    <w:rPr>
                      <w:b/>
                      <w:szCs w:val="21"/>
                    </w:rPr>
                  </w:pPr>
                  <w:r>
                    <w:rPr>
                      <w:rFonts w:hint="eastAsia"/>
                      <w:b/>
                      <w:szCs w:val="21"/>
                    </w:rPr>
                    <w:t>建设内容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104" w:hRule="atLeast"/>
              </w:trPr>
              <w:tc>
                <w:tcPr>
                  <w:tcW w:w="907" w:type="dxa"/>
                  <w:vMerge w:val="restart"/>
                  <w:shd w:val="clear" w:color="auto" w:fill="auto"/>
                  <w:vAlign w:val="center"/>
                </w:tcPr>
                <w:p>
                  <w:pPr>
                    <w:pStyle w:val="11"/>
                    <w:spacing w:after="0" w:line="360" w:lineRule="exact"/>
                    <w:ind w:left="0" w:leftChars="0"/>
                    <w:jc w:val="center"/>
                    <w:rPr>
                      <w:szCs w:val="21"/>
                    </w:rPr>
                  </w:pPr>
                  <w:r>
                    <w:rPr>
                      <w:rFonts w:hint="eastAsia"/>
                      <w:szCs w:val="21"/>
                    </w:rPr>
                    <w:t>主体</w:t>
                  </w:r>
                </w:p>
                <w:p>
                  <w:pPr>
                    <w:pStyle w:val="11"/>
                    <w:spacing w:after="0" w:line="360" w:lineRule="exact"/>
                    <w:ind w:left="0" w:leftChars="0"/>
                    <w:jc w:val="center"/>
                    <w:rPr>
                      <w:szCs w:val="21"/>
                    </w:rPr>
                  </w:pPr>
                  <w:r>
                    <w:rPr>
                      <w:rFonts w:hint="eastAsia"/>
                      <w:szCs w:val="21"/>
                    </w:rPr>
                    <w:t>工程</w:t>
                  </w:r>
                </w:p>
              </w:tc>
              <w:tc>
                <w:tcPr>
                  <w:tcW w:w="1961" w:type="dxa"/>
                  <w:gridSpan w:val="2"/>
                  <w:shd w:val="clear" w:color="auto" w:fill="auto"/>
                  <w:vAlign w:val="center"/>
                </w:tcPr>
                <w:p>
                  <w:pPr>
                    <w:widowControl/>
                    <w:spacing w:line="360" w:lineRule="exact"/>
                    <w:jc w:val="center"/>
                    <w:rPr>
                      <w:szCs w:val="21"/>
                    </w:rPr>
                  </w:pPr>
                  <w:r>
                    <w:rPr>
                      <w:rFonts w:hint="eastAsia"/>
                      <w:szCs w:val="21"/>
                    </w:rPr>
                    <w:t>露天采区</w:t>
                  </w:r>
                </w:p>
              </w:tc>
              <w:tc>
                <w:tcPr>
                  <w:tcW w:w="5672" w:type="dxa"/>
                  <w:shd w:val="clear" w:color="auto" w:fill="auto"/>
                  <w:vAlign w:val="center"/>
                </w:tcPr>
                <w:p>
                  <w:pPr>
                    <w:spacing w:line="360" w:lineRule="exact"/>
                    <w:jc w:val="left"/>
                    <w:rPr>
                      <w:lang w:val="zh-CN"/>
                    </w:rPr>
                  </w:pPr>
                  <w:r>
                    <w:rPr>
                      <w:rFonts w:hint="eastAsia"/>
                      <w:lang w:val="zh-CN"/>
                    </w:rPr>
                    <w:t>本矿南部1.25km区域上部自+1680m～+1540m水平采用露天开采方式，露天开采地表境界南北走向长约1.25km，东西倾向宽约0.16～0.3km，面积0.31km</w:t>
                  </w:r>
                  <w:r>
                    <w:rPr>
                      <w:rFonts w:hint="eastAsia"/>
                      <w:vertAlign w:val="superscript"/>
                      <w:lang w:val="zh-CN"/>
                    </w:rPr>
                    <w:t>2</w:t>
                  </w:r>
                  <w:r>
                    <w:rPr>
                      <w:rFonts w:hint="eastAsia"/>
                      <w:lang w:val="zh-CN"/>
                    </w:rPr>
                    <w:t>，露天开采范围内地面最高开采标高+1680m，坑底最低开采标高+1540m，开采深度40～140m，平均开采深度约70m。圈定的露天开采境界内总剥离量：1887.29万m³，其中岩石量1872.51万m</w:t>
                  </w:r>
                  <w:r>
                    <w:rPr>
                      <w:rFonts w:hint="eastAsia"/>
                      <w:vertAlign w:val="superscript"/>
                      <w:lang w:val="zh-CN"/>
                    </w:rPr>
                    <w:t>3</w:t>
                  </w:r>
                  <w:r>
                    <w:rPr>
                      <w:rFonts w:hint="eastAsia"/>
                      <w:lang w:val="zh-CN"/>
                    </w:rPr>
                    <w:t>（折合5299.21万t），表土量14.78万m³，平均剥采比7.3m</w:t>
                  </w:r>
                  <w:r>
                    <w:rPr>
                      <w:rFonts w:hint="eastAsia"/>
                      <w:vertAlign w:val="superscript"/>
                      <w:lang w:val="zh-CN"/>
                    </w:rPr>
                    <w:t>3</w:t>
                  </w:r>
                  <w:r>
                    <w:rPr>
                      <w:rFonts w:hint="eastAsia"/>
                      <w:lang w:val="zh-CN"/>
                    </w:rPr>
                    <w:t>/t，均衡生产剥采比5.2m</w:t>
                  </w:r>
                  <w:r>
                    <w:rPr>
                      <w:rFonts w:hint="eastAsia"/>
                      <w:vertAlign w:val="superscript"/>
                      <w:lang w:val="zh-CN"/>
                    </w:rPr>
                    <w:t>3</w:t>
                  </w:r>
                  <w:r>
                    <w:rPr>
                      <w:rFonts w:hint="eastAsia"/>
                      <w:lang w:val="zh-CN"/>
                    </w:rPr>
                    <w:t>/t。露天采区沿南北走向划分为两个采区，分区、分期开采。北部露天一采区为第一期开采、南部露天二采区为第二期开采，采区过渡方式适宜采用重拉沟过渡方式。露天一采区面积0.1743km</w:t>
                  </w:r>
                  <w:r>
                    <w:rPr>
                      <w:rFonts w:hint="eastAsia"/>
                      <w:vertAlign w:val="superscript"/>
                      <w:lang w:val="zh-CN"/>
                    </w:rPr>
                    <w:t>2</w:t>
                  </w:r>
                  <w:r>
                    <w:rPr>
                      <w:rFonts w:hint="eastAsia"/>
                      <w:lang w:val="zh-CN"/>
                    </w:rPr>
                    <w:t>，剥离量1019.42万m³，可采储量117.22万t，可采原矿量123.73万t，平均剥采比8.7m</w:t>
                  </w:r>
                  <w:r>
                    <w:rPr>
                      <w:rFonts w:hint="eastAsia"/>
                      <w:vertAlign w:val="superscript"/>
                      <w:lang w:val="zh-CN"/>
                    </w:rPr>
                    <w:t>3</w:t>
                  </w:r>
                  <w:r>
                    <w:rPr>
                      <w:rFonts w:hint="eastAsia"/>
                      <w:lang w:val="zh-CN"/>
                    </w:rPr>
                    <w:t>/t，服务年限2.5a。露天二采区面积0.1348hm</w:t>
                  </w:r>
                  <w:r>
                    <w:rPr>
                      <w:rFonts w:hint="eastAsia"/>
                      <w:vertAlign w:val="superscript"/>
                      <w:lang w:val="zh-CN"/>
                    </w:rPr>
                    <w:t>2</w:t>
                  </w:r>
                  <w:r>
                    <w:rPr>
                      <w:rFonts w:hint="eastAsia"/>
                      <w:lang w:val="zh-CN"/>
                    </w:rPr>
                    <w:t>，剥离量867.87万m³，可采储量142.89万t，可采原矿量150.83万t，平均剥采比6.1m</w:t>
                  </w:r>
                  <w:r>
                    <w:rPr>
                      <w:rFonts w:hint="eastAsia"/>
                      <w:vertAlign w:val="superscript"/>
                      <w:lang w:val="zh-CN"/>
                    </w:rPr>
                    <w:t>3</w:t>
                  </w:r>
                  <w:r>
                    <w:rPr>
                      <w:rFonts w:hint="eastAsia"/>
                      <w:lang w:val="zh-CN"/>
                    </w:rPr>
                    <w:t>/t，服务年限3.0a。露天开采选用单斗-卡车工艺，</w:t>
                  </w:r>
                  <w:r>
                    <w:rPr>
                      <w:rFonts w:hint="eastAsia"/>
                      <w:kern w:val="1"/>
                      <w:szCs w:val="21"/>
                    </w:rPr>
                    <w:t>采矿方法为自上而下，水平分层台阶开采方法。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kern w:val="1"/>
                      <w:szCs w:val="21"/>
                    </w:rPr>
                  </w:pPr>
                </w:p>
              </w:tc>
              <w:tc>
                <w:tcPr>
                  <w:tcW w:w="1961" w:type="dxa"/>
                  <w:gridSpan w:val="2"/>
                  <w:shd w:val="clear" w:color="auto" w:fill="auto"/>
                  <w:vAlign w:val="center"/>
                </w:tcPr>
                <w:p>
                  <w:pPr>
                    <w:widowControl/>
                    <w:spacing w:line="360" w:lineRule="exact"/>
                    <w:jc w:val="center"/>
                    <w:rPr>
                      <w:kern w:val="1"/>
                      <w:szCs w:val="21"/>
                    </w:rPr>
                  </w:pPr>
                  <w:r>
                    <w:rPr>
                      <w:rFonts w:hint="eastAsia"/>
                      <w:kern w:val="1"/>
                      <w:szCs w:val="21"/>
                    </w:rPr>
                    <w:t>工业场地</w:t>
                  </w:r>
                </w:p>
              </w:tc>
              <w:tc>
                <w:tcPr>
                  <w:tcW w:w="5672" w:type="dxa"/>
                  <w:shd w:val="clear" w:color="auto" w:fill="auto"/>
                  <w:vAlign w:val="center"/>
                </w:tcPr>
                <w:p>
                  <w:pPr>
                    <w:pStyle w:val="47"/>
                    <w:spacing w:line="360" w:lineRule="exact"/>
                    <w:ind w:firstLine="0" w:firstLineChars="0"/>
                    <w:rPr>
                      <w:color w:val="auto"/>
                      <w:kern w:val="1"/>
                      <w:sz w:val="21"/>
                      <w:szCs w:val="21"/>
                    </w:rPr>
                  </w:pPr>
                  <w:r>
                    <w:rPr>
                      <w:rFonts w:hint="eastAsia"/>
                      <w:color w:val="auto"/>
                      <w:sz w:val="21"/>
                      <w:szCs w:val="21"/>
                      <w:lang w:val="zh-CN"/>
                    </w:rPr>
                    <w:t>工业场地布置在12--12′勘探线附近，</w:t>
                  </w:r>
                  <w:r>
                    <w:rPr>
                      <w:rFonts w:hint="eastAsia"/>
                      <w:color w:val="auto"/>
                      <w:sz w:val="21"/>
                      <w:szCs w:val="21"/>
                    </w:rPr>
                    <w:t>工业场地主要布置有筛分破碎系统（全封闭式）、供配电系统、宿舍、办公室、车库、机修场地、水池和矿石及料石堆放场地，面积约10.28hm</w:t>
                  </w:r>
                  <w:r>
                    <w:rPr>
                      <w:rFonts w:hint="eastAsia"/>
                      <w:color w:val="auto"/>
                      <w:sz w:val="21"/>
                      <w:szCs w:val="21"/>
                      <w:vertAlign w:val="superscript"/>
                    </w:rPr>
                    <w:t>2</w:t>
                  </w:r>
                  <w:r>
                    <w:rPr>
                      <w:rFonts w:hint="eastAsia"/>
                      <w:color w:val="auto"/>
                      <w:sz w:val="21"/>
                      <w:szCs w:val="21"/>
                    </w:rPr>
                    <w:t>。料场旁边设置150t的地磅房。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restart"/>
                  <w:shd w:val="clear" w:color="auto" w:fill="auto"/>
                  <w:vAlign w:val="center"/>
                </w:tcPr>
                <w:p>
                  <w:pPr>
                    <w:pStyle w:val="7"/>
                    <w:spacing w:line="360" w:lineRule="exact"/>
                    <w:ind w:firstLine="0"/>
                    <w:jc w:val="left"/>
                    <w:rPr>
                      <w:szCs w:val="21"/>
                    </w:rPr>
                  </w:pPr>
                  <w:r>
                    <w:rPr>
                      <w:rFonts w:hint="eastAsia"/>
                      <w:szCs w:val="21"/>
                    </w:rPr>
                    <w:t>储运</w:t>
                  </w:r>
                </w:p>
                <w:p>
                  <w:pPr>
                    <w:pStyle w:val="7"/>
                    <w:spacing w:line="360" w:lineRule="exact"/>
                    <w:ind w:firstLine="0"/>
                    <w:jc w:val="left"/>
                    <w:rPr>
                      <w:szCs w:val="21"/>
                    </w:rPr>
                  </w:pPr>
                  <w:r>
                    <w:rPr>
                      <w:rFonts w:hint="eastAsia"/>
                      <w:szCs w:val="21"/>
                    </w:rPr>
                    <w:t>工程</w:t>
                  </w:r>
                </w:p>
              </w:tc>
              <w:tc>
                <w:tcPr>
                  <w:tcW w:w="1961" w:type="dxa"/>
                  <w:gridSpan w:val="2"/>
                  <w:shd w:val="clear" w:color="auto" w:fill="auto"/>
                  <w:vAlign w:val="center"/>
                </w:tcPr>
                <w:p>
                  <w:pPr>
                    <w:widowControl/>
                    <w:spacing w:line="360" w:lineRule="exact"/>
                    <w:jc w:val="center"/>
                    <w:rPr>
                      <w:szCs w:val="21"/>
                    </w:rPr>
                  </w:pPr>
                  <w:r>
                    <w:rPr>
                      <w:rFonts w:hint="eastAsia"/>
                      <w:szCs w:val="21"/>
                    </w:rPr>
                    <w:t>开拓运输</w:t>
                  </w:r>
                </w:p>
              </w:tc>
              <w:tc>
                <w:tcPr>
                  <w:tcW w:w="5672" w:type="dxa"/>
                  <w:shd w:val="clear" w:color="auto" w:fill="auto"/>
                  <w:vAlign w:val="center"/>
                </w:tcPr>
                <w:p>
                  <w:pPr>
                    <w:pStyle w:val="7"/>
                    <w:spacing w:line="360" w:lineRule="exact"/>
                    <w:jc w:val="left"/>
                    <w:rPr>
                      <w:lang w:val="zh-CN"/>
                    </w:rPr>
                  </w:pPr>
                  <w:r>
                    <w:rPr>
                      <w:rFonts w:hint="eastAsia"/>
                      <w:szCs w:val="21"/>
                    </w:rPr>
                    <w:t>露天开采采用公路开拓—卡车运输方式，</w:t>
                  </w:r>
                  <w:r>
                    <w:rPr>
                      <w:rFonts w:hint="eastAsia"/>
                      <w:lang w:val="zh-CN"/>
                    </w:rPr>
                    <w:t>设计场内矿山道路为Ⅲ级，设计速度20km/h；道路主干线最大纵坡限8%；道路主干线最大横坡限3%；线路面宽11m；最小曲线半径15m；路面结构采用泥结碎石路面。初始时期首先从露天采区东部16-16’勘探线附近+1550m水平修筑至首采区+1645m水平上山道路，上山道路长1321m，建立+1645m水平工作平盘，然后修筑通往首采区南侧+1620m水平表土堆放场的运输道路，道路长144m。</w:t>
                  </w:r>
                </w:p>
                <w:p>
                  <w:pPr>
                    <w:spacing w:line="360" w:lineRule="exact"/>
                    <w:ind w:firstLine="420"/>
                    <w:jc w:val="left"/>
                    <w:rPr>
                      <w:lang w:val="zh-CN"/>
                    </w:rPr>
                  </w:pPr>
                  <w:r>
                    <w:rPr>
                      <w:rFonts w:hint="eastAsia"/>
                      <w:lang w:val="zh-CN"/>
                    </w:rPr>
                    <w:t>矿山露天开采境界范围之外的道路长约1140m，占地面积约1.25hm</w:t>
                  </w:r>
                  <w:r>
                    <w:rPr>
                      <w:rFonts w:hint="eastAsia"/>
                      <w:vertAlign w:val="superscript"/>
                      <w:lang w:val="zh-CN"/>
                    </w:rPr>
                    <w:t>2</w:t>
                  </w:r>
                  <w:r>
                    <w:rPr>
                      <w:rFonts w:hint="eastAsia"/>
                      <w:lang w:val="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widowControl/>
                    <w:spacing w:line="360" w:lineRule="exact"/>
                    <w:jc w:val="center"/>
                    <w:rPr>
                      <w:szCs w:val="21"/>
                    </w:rPr>
                  </w:pPr>
                  <w:r>
                    <w:rPr>
                      <w:rFonts w:hint="eastAsia"/>
                      <w:szCs w:val="21"/>
                    </w:rPr>
                    <w:t>外部运输</w:t>
                  </w:r>
                  <w:r>
                    <w:rPr>
                      <w:rFonts w:hint="eastAsia"/>
                    </w:rPr>
                    <w:t>道路</w:t>
                  </w:r>
                </w:p>
              </w:tc>
              <w:tc>
                <w:tcPr>
                  <w:tcW w:w="5672" w:type="dxa"/>
                  <w:shd w:val="clear" w:color="auto" w:fill="auto"/>
                  <w:vAlign w:val="center"/>
                </w:tcPr>
                <w:p>
                  <w:pPr>
                    <w:pStyle w:val="7"/>
                    <w:spacing w:line="360" w:lineRule="exact"/>
                    <w:ind w:firstLine="0"/>
                    <w:jc w:val="left"/>
                    <w:rPr>
                      <w:szCs w:val="21"/>
                    </w:rPr>
                  </w:pPr>
                  <w:r>
                    <w:rPr>
                      <w:rFonts w:hint="eastAsia"/>
                      <w:szCs w:val="21"/>
                    </w:rPr>
                    <w:t>成品矿经装载机装车，由汽车外运，运输采用外包方式运输车辆由地方运输力量承担。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55"/>
                    <w:spacing w:line="360" w:lineRule="exact"/>
                    <w:jc w:val="center"/>
                    <w:rPr>
                      <w:color w:val="auto"/>
                      <w:kern w:val="2"/>
                      <w:sz w:val="21"/>
                      <w:szCs w:val="21"/>
                    </w:rPr>
                  </w:pPr>
                  <w:r>
                    <w:rPr>
                      <w:rFonts w:hint="eastAsia"/>
                      <w:color w:val="auto"/>
                      <w:kern w:val="2"/>
                      <w:sz w:val="21"/>
                      <w:szCs w:val="21"/>
                    </w:rPr>
                    <w:t>炸药储运</w:t>
                  </w:r>
                </w:p>
              </w:tc>
              <w:tc>
                <w:tcPr>
                  <w:tcW w:w="5672" w:type="dxa"/>
                  <w:shd w:val="clear" w:color="auto" w:fill="auto"/>
                  <w:vAlign w:val="center"/>
                </w:tcPr>
                <w:p>
                  <w:pPr>
                    <w:spacing w:line="360" w:lineRule="exact"/>
                    <w:jc w:val="left"/>
                    <w:rPr>
                      <w:szCs w:val="21"/>
                    </w:rPr>
                  </w:pPr>
                  <w:r>
                    <w:rPr>
                      <w:rFonts w:hint="eastAsia"/>
                      <w:szCs w:val="21"/>
                    </w:rPr>
                    <w:t>有爆破资质的爆破公司统一提供及组织爆破，本项目不储存炸药及起爆器材。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52"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55"/>
                    <w:spacing w:line="360" w:lineRule="exact"/>
                    <w:jc w:val="center"/>
                    <w:rPr>
                      <w:color w:val="auto"/>
                      <w:kern w:val="2"/>
                      <w:sz w:val="21"/>
                      <w:szCs w:val="21"/>
                    </w:rPr>
                  </w:pPr>
                  <w:r>
                    <w:rPr>
                      <w:rFonts w:hint="eastAsia"/>
                      <w:color w:val="auto"/>
                      <w:kern w:val="2"/>
                      <w:sz w:val="21"/>
                      <w:szCs w:val="21"/>
                    </w:rPr>
                    <w:t>原矿堆场</w:t>
                  </w:r>
                </w:p>
              </w:tc>
              <w:tc>
                <w:tcPr>
                  <w:tcW w:w="5672" w:type="dxa"/>
                  <w:shd w:val="clear" w:color="auto" w:fill="auto"/>
                  <w:vAlign w:val="center"/>
                </w:tcPr>
                <w:p>
                  <w:pPr>
                    <w:spacing w:line="360" w:lineRule="exact"/>
                    <w:jc w:val="left"/>
                    <w:rPr>
                      <w:szCs w:val="21"/>
                    </w:rPr>
                  </w:pPr>
                  <w:r>
                    <w:rPr>
                      <w:rFonts w:hint="eastAsia"/>
                      <w:szCs w:val="21"/>
                    </w:rPr>
                    <w:t>项目不设置原矿堆场，矿石运输至破碎机直接破碎。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widowControl/>
                    <w:spacing w:line="360" w:lineRule="exact"/>
                    <w:jc w:val="center"/>
                    <w:rPr>
                      <w:szCs w:val="21"/>
                    </w:rPr>
                  </w:pPr>
                  <w:r>
                    <w:rPr>
                      <w:rFonts w:hint="eastAsia"/>
                      <w:szCs w:val="21"/>
                    </w:rPr>
                    <w:t>产品堆场</w:t>
                  </w:r>
                </w:p>
              </w:tc>
              <w:tc>
                <w:tcPr>
                  <w:tcW w:w="5672" w:type="dxa"/>
                  <w:shd w:val="clear" w:color="auto" w:fill="auto"/>
                  <w:vAlign w:val="center"/>
                </w:tcPr>
                <w:p>
                  <w:pPr>
                    <w:spacing w:line="360" w:lineRule="exact"/>
                    <w:jc w:val="left"/>
                    <w:rPr>
                      <w:szCs w:val="21"/>
                    </w:rPr>
                  </w:pPr>
                  <w:r>
                    <w:rPr>
                      <w:rFonts w:hint="eastAsia"/>
                      <w:szCs w:val="21"/>
                    </w:rPr>
                    <w:t>设置</w:t>
                  </w:r>
                  <w:r>
                    <w:rPr>
                      <w:rFonts w:hint="eastAsia"/>
                      <w:spacing w:val="4"/>
                    </w:rPr>
                    <w:t>石料成品堆料区两个分别为6万m</w:t>
                  </w:r>
                  <w:r>
                    <w:rPr>
                      <w:rFonts w:hint="eastAsia"/>
                      <w:spacing w:val="4"/>
                      <w:vertAlign w:val="superscript"/>
                    </w:rPr>
                    <w:t>3</w:t>
                  </w:r>
                  <w:r>
                    <w:rPr>
                      <w:rFonts w:hint="eastAsia"/>
                      <w:spacing w:val="4"/>
                    </w:rPr>
                    <w:t>，3万m</w:t>
                  </w:r>
                  <w:r>
                    <w:rPr>
                      <w:rFonts w:hint="eastAsia"/>
                      <w:spacing w:val="4"/>
                      <w:vertAlign w:val="superscript"/>
                    </w:rPr>
                    <w:t>3</w:t>
                  </w:r>
                  <w:r>
                    <w:rPr>
                      <w:rFonts w:hint="eastAsia"/>
                      <w:spacing w:val="4"/>
                    </w:rPr>
                    <w:t>，矿石成品堆料区两个，分别为2.5万m</w:t>
                  </w:r>
                  <w:r>
                    <w:rPr>
                      <w:rFonts w:hint="eastAsia"/>
                      <w:spacing w:val="4"/>
                      <w:vertAlign w:val="superscript"/>
                    </w:rPr>
                    <w:t>3</w:t>
                  </w:r>
                  <w:r>
                    <w:rPr>
                      <w:rFonts w:hint="eastAsia"/>
                      <w:spacing w:val="4"/>
                    </w:rPr>
                    <w:t>，2.0万m</w:t>
                  </w:r>
                  <w:r>
                    <w:rPr>
                      <w:rFonts w:hint="eastAsia"/>
                      <w:spacing w:val="4"/>
                      <w:vertAlign w:val="superscript"/>
                    </w:rPr>
                    <w:t>3</w:t>
                  </w:r>
                  <w:r>
                    <w:rPr>
                      <w:rFonts w:hint="eastAsia"/>
                      <w:spacing w:val="4"/>
                    </w:rPr>
                    <w:t>，均为全密闭厂房。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166"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55"/>
                    <w:spacing w:line="360" w:lineRule="exact"/>
                    <w:jc w:val="center"/>
                    <w:rPr>
                      <w:color w:val="auto"/>
                      <w:kern w:val="2"/>
                      <w:sz w:val="21"/>
                      <w:szCs w:val="21"/>
                    </w:rPr>
                  </w:pPr>
                  <w:r>
                    <w:rPr>
                      <w:rFonts w:hint="eastAsia"/>
                      <w:color w:val="auto"/>
                      <w:kern w:val="2"/>
                      <w:sz w:val="21"/>
                      <w:szCs w:val="21"/>
                    </w:rPr>
                    <w:t>表土暂存场</w:t>
                  </w:r>
                </w:p>
              </w:tc>
              <w:tc>
                <w:tcPr>
                  <w:tcW w:w="5672" w:type="dxa"/>
                  <w:shd w:val="clear" w:color="auto" w:fill="auto"/>
                  <w:vAlign w:val="center"/>
                </w:tcPr>
                <w:p>
                  <w:pPr>
                    <w:adjustRightInd w:val="0"/>
                    <w:snapToGrid w:val="0"/>
                    <w:spacing w:line="360" w:lineRule="exact"/>
                    <w:jc w:val="left"/>
                    <w:rPr>
                      <w:spacing w:val="4"/>
                      <w:szCs w:val="21"/>
                    </w:rPr>
                  </w:pPr>
                  <w:r>
                    <w:rPr>
                      <w:rFonts w:hint="eastAsia" w:cs="宋体"/>
                      <w:kern w:val="0"/>
                      <w:szCs w:val="21"/>
                      <w:lang w:val="zh-CN"/>
                    </w:rPr>
                    <w:t>露天一采区开采排土场</w:t>
                  </w:r>
                  <w:r>
                    <w:rPr>
                      <w:rFonts w:hint="eastAsia"/>
                      <w:snapToGrid w:val="0"/>
                      <w:szCs w:val="21"/>
                    </w:rPr>
                    <w:t>5.8万m</w:t>
                  </w:r>
                  <w:r>
                    <w:rPr>
                      <w:rFonts w:hint="eastAsia"/>
                      <w:snapToGrid w:val="0"/>
                      <w:szCs w:val="21"/>
                      <w:vertAlign w:val="superscript"/>
                    </w:rPr>
                    <w:t>3</w:t>
                  </w:r>
                  <w:r>
                    <w:rPr>
                      <w:rFonts w:hint="eastAsia"/>
                      <w:snapToGrid w:val="0"/>
                      <w:szCs w:val="21"/>
                    </w:rPr>
                    <w:t>，</w:t>
                  </w:r>
                  <w:r>
                    <w:rPr>
                      <w:rFonts w:hint="eastAsia"/>
                      <w:szCs w:val="21"/>
                    </w:rPr>
                    <w:t>仅在露天二采区内废弃采坑内设置表土单独存放场，用于露天一采区土地复垦使用。建设标高+1</w:t>
                  </w:r>
                  <w:r>
                    <w:rPr>
                      <w:szCs w:val="21"/>
                    </w:rPr>
                    <w:t>620</w:t>
                  </w:r>
                  <w:r>
                    <w:rPr>
                      <w:rFonts w:hint="eastAsia"/>
                      <w:szCs w:val="21"/>
                    </w:rPr>
                    <w:t>，最大排弃高度为10m，占地面积0.6万m</w:t>
                  </w:r>
                  <w:r>
                    <w:rPr>
                      <w:rFonts w:hint="eastAsia"/>
                      <w:szCs w:val="21"/>
                      <w:vertAlign w:val="superscript"/>
                    </w:rPr>
                    <w:t>2</w:t>
                  </w:r>
                  <w:r>
                    <w:rPr>
                      <w:rFonts w:hint="eastAsia"/>
                      <w:szCs w:val="21"/>
                    </w:rPr>
                    <w:t>，容量约5.8万m</w:t>
                  </w:r>
                  <w:r>
                    <w:rPr>
                      <w:rFonts w:hint="eastAsia"/>
                      <w:szCs w:val="21"/>
                      <w:vertAlign w:val="superscript"/>
                    </w:rPr>
                    <w:t>3</w:t>
                  </w:r>
                  <w:r>
                    <w:rPr>
                      <w:rFonts w:hint="eastAsia"/>
                      <w:szCs w:val="21"/>
                    </w:rPr>
                    <w:t>。</w:t>
                  </w:r>
                  <w:r>
                    <w:rPr>
                      <w:rFonts w:hint="eastAsia"/>
                      <w:snapToGrid w:val="0"/>
                      <w:szCs w:val="21"/>
                    </w:rPr>
                    <w:t>二期</w:t>
                  </w:r>
                  <w:r>
                    <w:rPr>
                      <w:rFonts w:hint="eastAsia" w:cs="宋体"/>
                      <w:kern w:val="0"/>
                      <w:szCs w:val="21"/>
                      <w:lang w:val="zh-CN"/>
                    </w:rPr>
                    <w:t>开采排土</w:t>
                  </w:r>
                  <w:r>
                    <w:rPr>
                      <w:rFonts w:hint="eastAsia"/>
                      <w:snapToGrid w:val="0"/>
                      <w:szCs w:val="21"/>
                    </w:rPr>
                    <w:t>9.47万m</w:t>
                  </w:r>
                  <w:r>
                    <w:rPr>
                      <w:rFonts w:hint="eastAsia"/>
                      <w:snapToGrid w:val="0"/>
                      <w:szCs w:val="21"/>
                      <w:vertAlign w:val="superscript"/>
                    </w:rPr>
                    <w:t>3</w:t>
                  </w:r>
                  <w:r>
                    <w:rPr>
                      <w:rFonts w:hint="eastAsia"/>
                      <w:snapToGrid w:val="0"/>
                      <w:szCs w:val="21"/>
                    </w:rPr>
                    <w:t>，开采露天二采区时剥离的表土临时堆放在露天一采区的预留采坑内，占地面积0.95</w:t>
                  </w:r>
                  <w:r>
                    <w:rPr>
                      <w:rFonts w:hint="eastAsia"/>
                      <w:szCs w:val="21"/>
                    </w:rPr>
                    <w:t>万m</w:t>
                  </w:r>
                  <w:r>
                    <w:rPr>
                      <w:rFonts w:hint="eastAsia"/>
                      <w:szCs w:val="21"/>
                      <w:vertAlign w:val="superscript"/>
                    </w:rPr>
                    <w:t>2</w:t>
                  </w:r>
                  <w:r>
                    <w:rPr>
                      <w:rFonts w:hint="eastAsia"/>
                      <w:szCs w:val="21"/>
                    </w:rPr>
                    <w:t>，建设标高+</w:t>
                  </w:r>
                  <w:r>
                    <w:rPr>
                      <w:szCs w:val="21"/>
                    </w:rPr>
                    <w:t>1585</w:t>
                  </w:r>
                  <w:r>
                    <w:rPr>
                      <w:rFonts w:hint="eastAsia"/>
                      <w:szCs w:val="21"/>
                    </w:rPr>
                    <w:t>，最大排弃高度为10m，用于露天一采区预留采坑及露天二采区土地复垦使用。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restart"/>
                  <w:shd w:val="clear" w:color="auto" w:fill="auto"/>
                  <w:vAlign w:val="center"/>
                </w:tcPr>
                <w:p>
                  <w:pPr>
                    <w:pStyle w:val="7"/>
                    <w:spacing w:line="360" w:lineRule="exact"/>
                    <w:ind w:firstLine="0"/>
                    <w:jc w:val="left"/>
                    <w:rPr>
                      <w:szCs w:val="21"/>
                    </w:rPr>
                  </w:pPr>
                  <w:r>
                    <w:rPr>
                      <w:rFonts w:hint="eastAsia"/>
                      <w:szCs w:val="21"/>
                    </w:rPr>
                    <w:t>辅助</w:t>
                  </w:r>
                </w:p>
                <w:p>
                  <w:pPr>
                    <w:pStyle w:val="7"/>
                    <w:spacing w:line="360" w:lineRule="exact"/>
                    <w:ind w:firstLine="0"/>
                    <w:jc w:val="left"/>
                    <w:rPr>
                      <w:szCs w:val="21"/>
                    </w:rPr>
                  </w:pPr>
                  <w:r>
                    <w:rPr>
                      <w:rFonts w:hint="eastAsia"/>
                      <w:szCs w:val="21"/>
                    </w:rPr>
                    <w:t>工程</w:t>
                  </w: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配电室</w:t>
                  </w:r>
                </w:p>
              </w:tc>
              <w:tc>
                <w:tcPr>
                  <w:tcW w:w="5672" w:type="dxa"/>
                  <w:shd w:val="clear" w:color="auto" w:fill="auto"/>
                  <w:vAlign w:val="center"/>
                </w:tcPr>
                <w:p>
                  <w:pPr>
                    <w:pStyle w:val="7"/>
                    <w:spacing w:line="360" w:lineRule="exact"/>
                    <w:ind w:firstLine="0"/>
                    <w:jc w:val="left"/>
                    <w:rPr>
                      <w:szCs w:val="21"/>
                    </w:rPr>
                  </w:pPr>
                  <w:r>
                    <w:rPr>
                      <w:rFonts w:hint="eastAsia"/>
                      <w:lang w:val="zh-CN"/>
                    </w:rPr>
                    <w:t>位于工业场地，占地面积240m²。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pStyle w:val="7"/>
                    <w:spacing w:line="360" w:lineRule="exact"/>
                    <w:ind w:firstLine="0"/>
                    <w:jc w:val="left"/>
                    <w:rPr>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机修间</w:t>
                  </w:r>
                </w:p>
              </w:tc>
              <w:tc>
                <w:tcPr>
                  <w:tcW w:w="5672" w:type="dxa"/>
                  <w:shd w:val="clear" w:color="auto" w:fill="auto"/>
                  <w:vAlign w:val="center"/>
                </w:tcPr>
                <w:p>
                  <w:pPr>
                    <w:adjustRightInd w:val="0"/>
                    <w:snapToGrid w:val="0"/>
                    <w:spacing w:line="360" w:lineRule="exact"/>
                    <w:jc w:val="left"/>
                    <w:rPr>
                      <w:lang w:val="zh-CN"/>
                    </w:rPr>
                  </w:pPr>
                  <w:r>
                    <w:rPr>
                      <w:rFonts w:hint="eastAsia"/>
                      <w:lang w:val="zh-CN"/>
                    </w:rPr>
                    <w:t>在工业场地内设置1间机修间，占地面积700m²，用于生产设施日常维修。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办公生活区</w:t>
                  </w:r>
                </w:p>
              </w:tc>
              <w:tc>
                <w:tcPr>
                  <w:tcW w:w="5672" w:type="dxa"/>
                  <w:shd w:val="clear" w:color="auto" w:fill="auto"/>
                  <w:vAlign w:val="center"/>
                </w:tcPr>
                <w:p>
                  <w:pPr>
                    <w:adjustRightInd w:val="0"/>
                    <w:snapToGrid w:val="0"/>
                    <w:spacing w:line="360" w:lineRule="exact"/>
                    <w:jc w:val="left"/>
                    <w:rPr>
                      <w:szCs w:val="21"/>
                    </w:rPr>
                  </w:pPr>
                  <w:r>
                    <w:rPr>
                      <w:rFonts w:hint="eastAsia"/>
                      <w:kern w:val="0"/>
                      <w:szCs w:val="21"/>
                      <w:lang w:val="zh-CN"/>
                    </w:rPr>
                    <w:t>位于工业场地，占地面积1740.6m²，其中施工临时办公室面积330m²，宿舍区1215m²，食堂195.6m²。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地磅房</w:t>
                  </w:r>
                </w:p>
              </w:tc>
              <w:tc>
                <w:tcPr>
                  <w:tcW w:w="5672" w:type="dxa"/>
                  <w:shd w:val="clear" w:color="auto" w:fill="auto"/>
                  <w:vAlign w:val="center"/>
                </w:tcPr>
                <w:p>
                  <w:pPr>
                    <w:pStyle w:val="7"/>
                    <w:spacing w:line="360" w:lineRule="exact"/>
                    <w:ind w:firstLine="0"/>
                    <w:jc w:val="left"/>
                    <w:rPr>
                      <w:szCs w:val="21"/>
                    </w:rPr>
                  </w:pPr>
                  <w:r>
                    <w:rPr>
                      <w:rFonts w:hint="eastAsia"/>
                      <w:szCs w:val="21"/>
                    </w:rPr>
                    <w:t>料场旁边设置1个150t的地磅房。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spacing w:line="360" w:lineRule="exact"/>
                    <w:jc w:val="center"/>
                    <w:rPr>
                      <w:kern w:val="1"/>
                      <w:szCs w:val="21"/>
                    </w:rPr>
                  </w:pPr>
                  <w:r>
                    <w:rPr>
                      <w:rFonts w:hint="eastAsia"/>
                      <w:kern w:val="1"/>
                      <w:szCs w:val="21"/>
                    </w:rPr>
                    <w:t>危废暂存间</w:t>
                  </w:r>
                </w:p>
              </w:tc>
              <w:tc>
                <w:tcPr>
                  <w:tcW w:w="5672" w:type="dxa"/>
                  <w:shd w:val="clear" w:color="auto" w:fill="auto"/>
                  <w:vAlign w:val="center"/>
                </w:tcPr>
                <w:p>
                  <w:pPr>
                    <w:adjustRightInd w:val="0"/>
                    <w:snapToGrid w:val="0"/>
                    <w:spacing w:line="360" w:lineRule="exact"/>
                    <w:jc w:val="left"/>
                    <w:rPr>
                      <w:szCs w:val="21"/>
                    </w:rPr>
                  </w:pPr>
                  <w:r>
                    <w:rPr>
                      <w:rFonts w:hint="eastAsia"/>
                      <w:kern w:val="0"/>
                      <w:szCs w:val="21"/>
                      <w:lang w:val="zh-CN"/>
                    </w:rPr>
                    <w:t>在工业场地内设置1间危险废物暂存间，建筑面积20m</w:t>
                  </w:r>
                  <w:r>
                    <w:rPr>
                      <w:rFonts w:hint="eastAsia"/>
                      <w:kern w:val="0"/>
                      <w:szCs w:val="21"/>
                      <w:vertAlign w:val="superscript"/>
                      <w:lang w:val="zh-CN"/>
                    </w:rPr>
                    <w:t>2</w:t>
                  </w:r>
                  <w:r>
                    <w:rPr>
                      <w:rFonts w:hint="eastAsia"/>
                      <w:kern w:val="0"/>
                      <w:szCs w:val="21"/>
                      <w:lang w:val="zh-CN"/>
                    </w:rPr>
                    <w:t>，用于暂存废润滑油、废油桶。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restart"/>
                  <w:shd w:val="clear" w:color="auto" w:fill="auto"/>
                  <w:vAlign w:val="center"/>
                </w:tcPr>
                <w:p>
                  <w:pPr>
                    <w:spacing w:line="360" w:lineRule="exact"/>
                    <w:jc w:val="left"/>
                    <w:rPr>
                      <w:szCs w:val="21"/>
                    </w:rPr>
                  </w:pPr>
                  <w:r>
                    <w:rPr>
                      <w:rFonts w:hint="eastAsia"/>
                      <w:szCs w:val="21"/>
                    </w:rPr>
                    <w:t>公用</w:t>
                  </w:r>
                </w:p>
                <w:p>
                  <w:pPr>
                    <w:spacing w:line="360" w:lineRule="exact"/>
                    <w:jc w:val="left"/>
                    <w:rPr>
                      <w:szCs w:val="21"/>
                    </w:rPr>
                  </w:pPr>
                  <w:r>
                    <w:rPr>
                      <w:rFonts w:hint="eastAsia"/>
                      <w:szCs w:val="21"/>
                    </w:rPr>
                    <w:t>工程</w:t>
                  </w: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给水</w:t>
                  </w:r>
                </w:p>
              </w:tc>
              <w:tc>
                <w:tcPr>
                  <w:tcW w:w="5672" w:type="dxa"/>
                  <w:shd w:val="clear" w:color="auto" w:fill="auto"/>
                  <w:vAlign w:val="center"/>
                </w:tcPr>
                <w:p>
                  <w:pPr>
                    <w:adjustRightInd w:val="0"/>
                    <w:snapToGrid w:val="0"/>
                    <w:spacing w:line="360" w:lineRule="exact"/>
                    <w:jc w:val="left"/>
                    <w:rPr>
                      <w:szCs w:val="21"/>
                    </w:rPr>
                  </w:pPr>
                  <w:r>
                    <w:rPr>
                      <w:rFonts w:hint="eastAsia"/>
                      <w:kern w:val="0"/>
                      <w:szCs w:val="21"/>
                      <w:lang w:val="zh-CN"/>
                    </w:rPr>
                    <w:t>项目用水主要靠汽车从韦州镇拉运，用水量为16.537m</w:t>
                  </w:r>
                  <w:r>
                    <w:rPr>
                      <w:rFonts w:hint="eastAsia"/>
                      <w:kern w:val="0"/>
                      <w:szCs w:val="21"/>
                      <w:vertAlign w:val="superscript"/>
                      <w:lang w:val="zh-CN"/>
                    </w:rPr>
                    <w:t>3</w:t>
                  </w:r>
                  <w:r>
                    <w:rPr>
                      <w:rFonts w:hint="eastAsia"/>
                      <w:kern w:val="0"/>
                      <w:szCs w:val="21"/>
                      <w:lang w:val="zh-CN"/>
                    </w:rPr>
                    <w:t>/d，工业场地内设置容积为100m</w:t>
                  </w:r>
                  <w:r>
                    <w:rPr>
                      <w:rFonts w:hint="eastAsia"/>
                      <w:kern w:val="0"/>
                      <w:szCs w:val="21"/>
                      <w:vertAlign w:val="superscript"/>
                      <w:lang w:val="zh-CN"/>
                    </w:rPr>
                    <w:t>3</w:t>
                  </w:r>
                  <w:r>
                    <w:rPr>
                      <w:rFonts w:hint="eastAsia"/>
                      <w:kern w:val="0"/>
                      <w:szCs w:val="21"/>
                      <w:lang w:val="zh-CN"/>
                    </w:rPr>
                    <w:t>蓄水箱一个。</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排水</w:t>
                  </w:r>
                </w:p>
              </w:tc>
              <w:tc>
                <w:tcPr>
                  <w:tcW w:w="5672" w:type="dxa"/>
                  <w:shd w:val="clear" w:color="auto" w:fill="auto"/>
                  <w:vAlign w:val="center"/>
                </w:tcPr>
                <w:p>
                  <w:pPr>
                    <w:pStyle w:val="7"/>
                    <w:spacing w:line="360" w:lineRule="exact"/>
                    <w:ind w:firstLine="0"/>
                    <w:jc w:val="left"/>
                    <w:rPr>
                      <w:szCs w:val="21"/>
                    </w:rPr>
                  </w:pPr>
                  <w:r>
                    <w:rPr>
                      <w:rFonts w:hint="eastAsia"/>
                      <w:szCs w:val="21"/>
                    </w:rPr>
                    <w:t>项目员工洗漱废水产生量为8.8m</w:t>
                  </w:r>
                  <w:r>
                    <w:rPr>
                      <w:rFonts w:hint="eastAsia"/>
                      <w:kern w:val="21"/>
                      <w:szCs w:val="21"/>
                      <w:vertAlign w:val="superscript"/>
                    </w:rPr>
                    <w:t>3</w:t>
                  </w:r>
                  <w:r>
                    <w:rPr>
                      <w:rFonts w:hint="eastAsia"/>
                      <w:kern w:val="21"/>
                      <w:szCs w:val="21"/>
                    </w:rPr>
                    <w:t>/d，</w:t>
                  </w:r>
                  <w:r>
                    <w:rPr>
                      <w:rFonts w:hint="eastAsia"/>
                      <w:szCs w:val="21"/>
                    </w:rPr>
                    <w:t>厂区泼洒降尘；生活区设置防渗旱厕；</w:t>
                  </w:r>
                  <w:r>
                    <w:rPr>
                      <w:rFonts w:hint="eastAsia"/>
                    </w:rPr>
                    <w:t>矿区及厂区建有雨水截（排）水沟和集水池，地表径流水经沉淀处理后用于厂区泼洒降尘或外排，抑尘用水全部损耗；车辆冲洗废水经隔油沉淀池处理后回用于车辆冲洗。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截排水沟</w:t>
                  </w:r>
                </w:p>
              </w:tc>
              <w:tc>
                <w:tcPr>
                  <w:tcW w:w="5672" w:type="dxa"/>
                  <w:shd w:val="clear" w:color="auto" w:fill="auto"/>
                  <w:vAlign w:val="center"/>
                </w:tcPr>
                <w:p>
                  <w:pPr>
                    <w:pStyle w:val="7"/>
                    <w:spacing w:line="360" w:lineRule="exact"/>
                    <w:ind w:firstLine="0"/>
                    <w:jc w:val="left"/>
                    <w:rPr>
                      <w:szCs w:val="21"/>
                    </w:rPr>
                  </w:pPr>
                  <w:r>
                    <w:rPr>
                      <w:rFonts w:hint="eastAsia"/>
                      <w:szCs w:val="21"/>
                    </w:rPr>
                    <w:t>露天开采初期通过运输道路与自然冲沟相连将雨季积水排出，开采期在采矿场最终边坡的安全平台及清扫平台上设置排水沟。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供电系统</w:t>
                  </w:r>
                </w:p>
                <w:p>
                  <w:pPr>
                    <w:pStyle w:val="7"/>
                    <w:spacing w:line="360" w:lineRule="exact"/>
                    <w:ind w:firstLine="0"/>
                    <w:jc w:val="center"/>
                    <w:rPr>
                      <w:szCs w:val="21"/>
                    </w:rPr>
                  </w:pPr>
                  <w:r>
                    <w:rPr>
                      <w:rFonts w:hint="eastAsia"/>
                      <w:szCs w:val="21"/>
                    </w:rPr>
                    <w:t>（架空线路）</w:t>
                  </w:r>
                </w:p>
              </w:tc>
              <w:tc>
                <w:tcPr>
                  <w:tcW w:w="5672" w:type="dxa"/>
                  <w:shd w:val="clear" w:color="auto" w:fill="auto"/>
                  <w:vAlign w:val="center"/>
                </w:tcPr>
                <w:p>
                  <w:pPr>
                    <w:pStyle w:val="7"/>
                    <w:spacing w:line="360" w:lineRule="exact"/>
                    <w:ind w:firstLine="0"/>
                    <w:jc w:val="left"/>
                    <w:rPr>
                      <w:szCs w:val="21"/>
                    </w:rPr>
                  </w:pPr>
                  <w:r>
                    <w:rPr>
                      <w:rFonts w:hint="eastAsia"/>
                      <w:szCs w:val="21"/>
                    </w:rPr>
                    <w:t>矿总电源选用双回10kV供电，电源引自汪家河110kV变电站10kV出线间隔，供电线路选用JL/G1A-240/30mm²型架空线，沿惠新公路至矿区的公路、采用混凝土杆架空敷设，单回供电距离约6km。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9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spacing w:line="360" w:lineRule="exact"/>
                    <w:jc w:val="center"/>
                    <w:rPr>
                      <w:kern w:val="1"/>
                      <w:szCs w:val="21"/>
                    </w:rPr>
                  </w:pPr>
                  <w:r>
                    <w:rPr>
                      <w:rFonts w:hint="eastAsia"/>
                      <w:kern w:val="1"/>
                      <w:szCs w:val="21"/>
                    </w:rPr>
                    <w:t>供暖供热</w:t>
                  </w:r>
                </w:p>
              </w:tc>
              <w:tc>
                <w:tcPr>
                  <w:tcW w:w="5672" w:type="dxa"/>
                  <w:shd w:val="clear" w:color="auto" w:fill="auto"/>
                  <w:vAlign w:val="center"/>
                </w:tcPr>
                <w:p>
                  <w:pPr>
                    <w:pStyle w:val="7"/>
                    <w:spacing w:line="360" w:lineRule="exact"/>
                    <w:ind w:firstLine="0"/>
                    <w:jc w:val="left"/>
                    <w:rPr>
                      <w:szCs w:val="21"/>
                    </w:rPr>
                  </w:pPr>
                  <w:r>
                    <w:rPr>
                      <w:rFonts w:hint="eastAsia"/>
                      <w:szCs w:val="21"/>
                    </w:rPr>
                    <w:t>项目采暖均采用空调、电暖气采暖。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restart"/>
                  <w:shd w:val="clear" w:color="auto" w:fill="auto"/>
                  <w:vAlign w:val="center"/>
                </w:tcPr>
                <w:p>
                  <w:pPr>
                    <w:pStyle w:val="7"/>
                    <w:spacing w:line="360" w:lineRule="exact"/>
                    <w:ind w:firstLine="0"/>
                    <w:jc w:val="left"/>
                    <w:rPr>
                      <w:szCs w:val="21"/>
                    </w:rPr>
                  </w:pPr>
                  <w:r>
                    <w:rPr>
                      <w:rFonts w:hint="eastAsia"/>
                      <w:szCs w:val="21"/>
                    </w:rPr>
                    <w:t>环保</w:t>
                  </w:r>
                </w:p>
                <w:p>
                  <w:pPr>
                    <w:pStyle w:val="7"/>
                    <w:spacing w:line="360" w:lineRule="exact"/>
                    <w:ind w:firstLine="0"/>
                    <w:jc w:val="left"/>
                    <w:rPr>
                      <w:szCs w:val="21"/>
                    </w:rPr>
                  </w:pPr>
                  <w:r>
                    <w:rPr>
                      <w:rFonts w:hint="eastAsia"/>
                      <w:szCs w:val="21"/>
                    </w:rPr>
                    <w:t>工程</w:t>
                  </w:r>
                </w:p>
              </w:tc>
              <w:tc>
                <w:tcPr>
                  <w:tcW w:w="904" w:type="dxa"/>
                  <w:vMerge w:val="restart"/>
                  <w:shd w:val="clear" w:color="auto" w:fill="auto"/>
                  <w:vAlign w:val="center"/>
                </w:tcPr>
                <w:p>
                  <w:pPr>
                    <w:pStyle w:val="7"/>
                    <w:spacing w:line="360" w:lineRule="exact"/>
                    <w:ind w:firstLine="0"/>
                    <w:jc w:val="left"/>
                    <w:rPr>
                      <w:szCs w:val="21"/>
                    </w:rPr>
                  </w:pPr>
                  <w:r>
                    <w:rPr>
                      <w:rFonts w:hint="eastAsia"/>
                      <w:szCs w:val="21"/>
                    </w:rPr>
                    <w:t>废气防治措施</w:t>
                  </w:r>
                </w:p>
              </w:tc>
              <w:tc>
                <w:tcPr>
                  <w:tcW w:w="1057" w:type="dxa"/>
                  <w:shd w:val="clear" w:color="auto" w:fill="auto"/>
                  <w:vAlign w:val="center"/>
                </w:tcPr>
                <w:p>
                  <w:pPr>
                    <w:pStyle w:val="7"/>
                    <w:spacing w:line="360" w:lineRule="exact"/>
                    <w:ind w:firstLine="0"/>
                    <w:jc w:val="center"/>
                    <w:rPr>
                      <w:szCs w:val="21"/>
                    </w:rPr>
                  </w:pPr>
                  <w:r>
                    <w:rPr>
                      <w:rFonts w:hint="eastAsia"/>
                      <w:szCs w:val="21"/>
                    </w:rPr>
                    <w:t>破碎筛分粉尘</w:t>
                  </w:r>
                </w:p>
              </w:tc>
              <w:tc>
                <w:tcPr>
                  <w:tcW w:w="5672" w:type="dxa"/>
                  <w:shd w:val="clear" w:color="auto" w:fill="auto"/>
                  <w:vAlign w:val="center"/>
                </w:tcPr>
                <w:p>
                  <w:pPr>
                    <w:pStyle w:val="7"/>
                    <w:spacing w:line="360" w:lineRule="exact"/>
                    <w:ind w:firstLine="0"/>
                    <w:jc w:val="left"/>
                    <w:rPr>
                      <w:szCs w:val="21"/>
                    </w:rPr>
                  </w:pPr>
                  <w:r>
                    <w:rPr>
                      <w:rFonts w:hint="eastAsia"/>
                      <w:szCs w:val="21"/>
                    </w:rPr>
                    <w:t>破碎车间密闭，针对白云岩和伴生石料破碎筛分粉尘，项目通过在破碎机投料口﹑出料口及筛分机上部安装密闭收集装置，将输送皮带全封闭，将含尘废气抽送至旋风除尘器+布袋除尘器处理；在破碎车间内设置抑尘水供水管和喷淋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pStyle w:val="7"/>
                    <w:spacing w:line="360" w:lineRule="exact"/>
                    <w:ind w:firstLine="0"/>
                    <w:jc w:val="left"/>
                    <w:rPr>
                      <w:szCs w:val="21"/>
                    </w:rPr>
                  </w:pPr>
                </w:p>
              </w:tc>
              <w:tc>
                <w:tcPr>
                  <w:tcW w:w="904" w:type="dxa"/>
                  <w:vMerge w:val="continue"/>
                  <w:shd w:val="clear" w:color="auto" w:fill="auto"/>
                  <w:vAlign w:val="center"/>
                </w:tcPr>
                <w:p>
                  <w:pPr>
                    <w:pStyle w:val="7"/>
                    <w:spacing w:line="360" w:lineRule="exact"/>
                    <w:ind w:firstLine="0"/>
                    <w:jc w:val="left"/>
                    <w:rPr>
                      <w:szCs w:val="21"/>
                    </w:rPr>
                  </w:pPr>
                </w:p>
              </w:tc>
              <w:tc>
                <w:tcPr>
                  <w:tcW w:w="1057" w:type="dxa"/>
                  <w:shd w:val="clear" w:color="auto" w:fill="auto"/>
                  <w:vAlign w:val="center"/>
                </w:tcPr>
                <w:p>
                  <w:pPr>
                    <w:pStyle w:val="7"/>
                    <w:spacing w:line="360" w:lineRule="exact"/>
                    <w:ind w:firstLine="0"/>
                    <w:jc w:val="center"/>
                    <w:rPr>
                      <w:szCs w:val="21"/>
                    </w:rPr>
                  </w:pPr>
                  <w:r>
                    <w:rPr>
                      <w:rFonts w:hint="eastAsia"/>
                      <w:szCs w:val="21"/>
                    </w:rPr>
                    <w:t>钻孔凿岩粉尘</w:t>
                  </w:r>
                </w:p>
              </w:tc>
              <w:tc>
                <w:tcPr>
                  <w:tcW w:w="5672" w:type="dxa"/>
                  <w:shd w:val="clear" w:color="auto" w:fill="auto"/>
                  <w:vAlign w:val="center"/>
                </w:tcPr>
                <w:p>
                  <w:pPr>
                    <w:pStyle w:val="7"/>
                    <w:spacing w:line="360" w:lineRule="exact"/>
                    <w:ind w:firstLine="0"/>
                    <w:jc w:val="left"/>
                    <w:rPr>
                      <w:szCs w:val="21"/>
                    </w:rPr>
                  </w:pPr>
                  <w:r>
                    <w:rPr>
                      <w:rFonts w:hint="eastAsia"/>
                      <w:szCs w:val="21"/>
                    </w:rPr>
                    <w:t>采场设置洒水车1台，针对钻孔凿岩粉尘拟采用洒水车洒水的方式减少粉尘逸散；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pStyle w:val="7"/>
                    <w:spacing w:line="360" w:lineRule="exact"/>
                    <w:ind w:firstLine="0"/>
                    <w:jc w:val="left"/>
                    <w:rPr>
                      <w:szCs w:val="21"/>
                    </w:rPr>
                  </w:pPr>
                </w:p>
              </w:tc>
              <w:tc>
                <w:tcPr>
                  <w:tcW w:w="904" w:type="dxa"/>
                  <w:vMerge w:val="continue"/>
                  <w:shd w:val="clear" w:color="auto" w:fill="auto"/>
                  <w:vAlign w:val="center"/>
                </w:tcPr>
                <w:p>
                  <w:pPr>
                    <w:pStyle w:val="7"/>
                    <w:spacing w:line="360" w:lineRule="exact"/>
                    <w:ind w:firstLine="0"/>
                    <w:jc w:val="left"/>
                    <w:rPr>
                      <w:szCs w:val="21"/>
                    </w:rPr>
                  </w:pPr>
                </w:p>
              </w:tc>
              <w:tc>
                <w:tcPr>
                  <w:tcW w:w="1057" w:type="dxa"/>
                  <w:shd w:val="clear" w:color="auto" w:fill="auto"/>
                  <w:vAlign w:val="center"/>
                </w:tcPr>
                <w:p>
                  <w:pPr>
                    <w:pStyle w:val="7"/>
                    <w:spacing w:line="360" w:lineRule="exact"/>
                    <w:ind w:firstLine="0"/>
                    <w:jc w:val="center"/>
                    <w:rPr>
                      <w:szCs w:val="21"/>
                    </w:rPr>
                  </w:pPr>
                  <w:r>
                    <w:rPr>
                      <w:rFonts w:hint="eastAsia"/>
                      <w:szCs w:val="21"/>
                    </w:rPr>
                    <w:t>爆破污染物</w:t>
                  </w:r>
                </w:p>
              </w:tc>
              <w:tc>
                <w:tcPr>
                  <w:tcW w:w="5672" w:type="dxa"/>
                  <w:shd w:val="clear" w:color="auto" w:fill="auto"/>
                  <w:vAlign w:val="center"/>
                </w:tcPr>
                <w:p>
                  <w:pPr>
                    <w:pStyle w:val="7"/>
                    <w:spacing w:line="360" w:lineRule="exact"/>
                    <w:ind w:firstLine="0"/>
                    <w:jc w:val="left"/>
                    <w:rPr>
                      <w:szCs w:val="21"/>
                    </w:rPr>
                  </w:pPr>
                  <w:r>
                    <w:rPr>
                      <w:rFonts w:hint="eastAsia"/>
                      <w:szCs w:val="21"/>
                    </w:rPr>
                    <w:t>针对爆破粉尘，项目拟通过对爆破面进行洒水的方式降低粉尘产生；针对爆破CO和NO</w:t>
                  </w:r>
                  <w:r>
                    <w:rPr>
                      <w:rFonts w:hint="eastAsia"/>
                      <w:szCs w:val="21"/>
                      <w:vertAlign w:val="subscript"/>
                    </w:rPr>
                    <w:t>2</w:t>
                  </w:r>
                  <w:r>
                    <w:rPr>
                      <w:rFonts w:hint="eastAsia"/>
                      <w:szCs w:val="21"/>
                    </w:rPr>
                    <w:t>，通过自然通风的方式降低排放；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pStyle w:val="7"/>
                    <w:spacing w:line="360" w:lineRule="exact"/>
                    <w:ind w:firstLine="0"/>
                    <w:jc w:val="left"/>
                    <w:rPr>
                      <w:szCs w:val="21"/>
                    </w:rPr>
                  </w:pPr>
                </w:p>
              </w:tc>
              <w:tc>
                <w:tcPr>
                  <w:tcW w:w="904" w:type="dxa"/>
                  <w:vMerge w:val="continue"/>
                  <w:shd w:val="clear" w:color="auto" w:fill="auto"/>
                  <w:vAlign w:val="center"/>
                </w:tcPr>
                <w:p>
                  <w:pPr>
                    <w:pStyle w:val="7"/>
                    <w:spacing w:line="360" w:lineRule="exact"/>
                    <w:ind w:firstLine="0"/>
                    <w:jc w:val="left"/>
                    <w:rPr>
                      <w:szCs w:val="21"/>
                    </w:rPr>
                  </w:pPr>
                </w:p>
              </w:tc>
              <w:tc>
                <w:tcPr>
                  <w:tcW w:w="1057" w:type="dxa"/>
                  <w:shd w:val="clear" w:color="auto" w:fill="auto"/>
                  <w:vAlign w:val="center"/>
                </w:tcPr>
                <w:p>
                  <w:pPr>
                    <w:pStyle w:val="7"/>
                    <w:spacing w:line="360" w:lineRule="exact"/>
                    <w:ind w:firstLine="0"/>
                    <w:jc w:val="center"/>
                    <w:rPr>
                      <w:szCs w:val="21"/>
                    </w:rPr>
                  </w:pPr>
                  <w:r>
                    <w:rPr>
                      <w:rFonts w:hint="eastAsia"/>
                      <w:szCs w:val="21"/>
                    </w:rPr>
                    <w:t>装卸扬尘</w:t>
                  </w:r>
                </w:p>
              </w:tc>
              <w:tc>
                <w:tcPr>
                  <w:tcW w:w="5672" w:type="dxa"/>
                  <w:shd w:val="clear" w:color="auto" w:fill="auto"/>
                  <w:vAlign w:val="center"/>
                </w:tcPr>
                <w:p>
                  <w:pPr>
                    <w:pStyle w:val="7"/>
                    <w:spacing w:line="360" w:lineRule="exact"/>
                    <w:ind w:firstLine="0"/>
                    <w:jc w:val="left"/>
                    <w:rPr>
                      <w:szCs w:val="21"/>
                    </w:rPr>
                  </w:pPr>
                  <w:r>
                    <w:rPr>
                      <w:rFonts w:hint="eastAsia"/>
                      <w:szCs w:val="21"/>
                    </w:rPr>
                    <w:t>本次评价要求建设单位加强装车管理工作，尽量降低装卸物料落差；除日常对堆场采取洒水降尘措施外，原料装卸车过程应临时增加对卸车矿石及卸车区域的喷洒水从而减少扬尘产生；物料装车后迅速遮盖篷布，防治发生二次扬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pStyle w:val="7"/>
                    <w:spacing w:line="360" w:lineRule="exact"/>
                    <w:ind w:firstLine="0"/>
                    <w:jc w:val="left"/>
                    <w:rPr>
                      <w:szCs w:val="21"/>
                    </w:rPr>
                  </w:pPr>
                </w:p>
              </w:tc>
              <w:tc>
                <w:tcPr>
                  <w:tcW w:w="904" w:type="dxa"/>
                  <w:vMerge w:val="continue"/>
                  <w:shd w:val="clear" w:color="auto" w:fill="auto"/>
                  <w:vAlign w:val="center"/>
                </w:tcPr>
                <w:p>
                  <w:pPr>
                    <w:pStyle w:val="7"/>
                    <w:spacing w:line="360" w:lineRule="exact"/>
                    <w:ind w:firstLine="0"/>
                    <w:jc w:val="left"/>
                    <w:rPr>
                      <w:szCs w:val="21"/>
                    </w:rPr>
                  </w:pPr>
                </w:p>
              </w:tc>
              <w:tc>
                <w:tcPr>
                  <w:tcW w:w="1057" w:type="dxa"/>
                  <w:shd w:val="clear" w:color="auto" w:fill="auto"/>
                  <w:vAlign w:val="center"/>
                </w:tcPr>
                <w:p>
                  <w:pPr>
                    <w:pStyle w:val="7"/>
                    <w:spacing w:line="360" w:lineRule="exact"/>
                    <w:ind w:firstLine="0"/>
                    <w:jc w:val="center"/>
                    <w:rPr>
                      <w:szCs w:val="21"/>
                    </w:rPr>
                  </w:pPr>
                  <w:r>
                    <w:rPr>
                      <w:rFonts w:hint="eastAsia"/>
                      <w:szCs w:val="21"/>
                    </w:rPr>
                    <w:t>汽车道路扬尘</w:t>
                  </w:r>
                </w:p>
              </w:tc>
              <w:tc>
                <w:tcPr>
                  <w:tcW w:w="5672" w:type="dxa"/>
                  <w:shd w:val="clear" w:color="auto" w:fill="auto"/>
                  <w:vAlign w:val="center"/>
                </w:tcPr>
                <w:p>
                  <w:pPr>
                    <w:pStyle w:val="7"/>
                    <w:spacing w:line="360" w:lineRule="exact"/>
                    <w:ind w:firstLine="0"/>
                    <w:jc w:val="left"/>
                    <w:rPr>
                      <w:szCs w:val="21"/>
                    </w:rPr>
                  </w:pPr>
                  <w:r>
                    <w:rPr>
                      <w:rFonts w:hint="eastAsia"/>
                      <w:szCs w:val="21"/>
                    </w:rPr>
                    <w:t>针对汽车道路扬尘，项目拟采用道路洒水的方式控制汽车扬尘产生，同时矿区内道路路面结构采用泥结碎石路面，降低厂内道路粉尘产生量，在矿区进出口设置车辆冲洗平台，冲洗水经收集沉淀处理后回用。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pStyle w:val="7"/>
                    <w:spacing w:line="360" w:lineRule="exact"/>
                    <w:ind w:firstLine="0"/>
                    <w:jc w:val="left"/>
                    <w:rPr>
                      <w:szCs w:val="21"/>
                    </w:rPr>
                  </w:pPr>
                </w:p>
              </w:tc>
              <w:tc>
                <w:tcPr>
                  <w:tcW w:w="904" w:type="dxa"/>
                  <w:vMerge w:val="continue"/>
                  <w:shd w:val="clear" w:color="auto" w:fill="auto"/>
                  <w:vAlign w:val="center"/>
                </w:tcPr>
                <w:p>
                  <w:pPr>
                    <w:pStyle w:val="7"/>
                    <w:spacing w:line="360" w:lineRule="exact"/>
                    <w:ind w:firstLine="0"/>
                    <w:jc w:val="left"/>
                    <w:rPr>
                      <w:szCs w:val="21"/>
                    </w:rPr>
                  </w:pPr>
                </w:p>
              </w:tc>
              <w:tc>
                <w:tcPr>
                  <w:tcW w:w="1057" w:type="dxa"/>
                  <w:shd w:val="clear" w:color="auto" w:fill="auto"/>
                  <w:vAlign w:val="center"/>
                </w:tcPr>
                <w:p>
                  <w:pPr>
                    <w:pStyle w:val="7"/>
                    <w:spacing w:line="360" w:lineRule="exact"/>
                    <w:ind w:firstLine="0"/>
                    <w:jc w:val="center"/>
                    <w:rPr>
                      <w:szCs w:val="21"/>
                    </w:rPr>
                  </w:pPr>
                  <w:r>
                    <w:rPr>
                      <w:rFonts w:hint="eastAsia"/>
                      <w:szCs w:val="21"/>
                    </w:rPr>
                    <w:t>排土场扬尘</w:t>
                  </w:r>
                </w:p>
              </w:tc>
              <w:tc>
                <w:tcPr>
                  <w:tcW w:w="5672" w:type="dxa"/>
                  <w:shd w:val="clear" w:color="auto" w:fill="auto"/>
                  <w:vAlign w:val="center"/>
                </w:tcPr>
                <w:p>
                  <w:pPr>
                    <w:pStyle w:val="89"/>
                    <w:spacing w:line="360" w:lineRule="exact"/>
                    <w:jc w:val="left"/>
                    <w:rPr>
                      <w:rFonts w:ascii="Times New Roman" w:hAnsi="Times New Roman"/>
                    </w:rPr>
                  </w:pPr>
                  <w:r>
                    <w:rPr>
                      <w:rFonts w:hint="eastAsia" w:ascii="Times New Roman" w:hAnsi="Times New Roman"/>
                    </w:rPr>
                    <w:t>排土场堆体表面采用篷布覆盖，并采用高压喷雾机定期洒水抑尘；并在露天一采区开采完毕后及时用于复垦覆土。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pStyle w:val="7"/>
                    <w:spacing w:line="360" w:lineRule="exact"/>
                    <w:ind w:firstLine="0"/>
                    <w:jc w:val="left"/>
                    <w:rPr>
                      <w:szCs w:val="21"/>
                    </w:rPr>
                  </w:pPr>
                </w:p>
              </w:tc>
              <w:tc>
                <w:tcPr>
                  <w:tcW w:w="904" w:type="dxa"/>
                  <w:vMerge w:val="continue"/>
                  <w:shd w:val="clear" w:color="auto" w:fill="auto"/>
                  <w:vAlign w:val="center"/>
                </w:tcPr>
                <w:p>
                  <w:pPr>
                    <w:pStyle w:val="7"/>
                    <w:spacing w:line="360" w:lineRule="exact"/>
                    <w:ind w:firstLine="0"/>
                    <w:jc w:val="left"/>
                    <w:rPr>
                      <w:szCs w:val="21"/>
                    </w:rPr>
                  </w:pPr>
                </w:p>
              </w:tc>
              <w:tc>
                <w:tcPr>
                  <w:tcW w:w="1057" w:type="dxa"/>
                  <w:shd w:val="clear" w:color="auto" w:fill="auto"/>
                  <w:vAlign w:val="center"/>
                </w:tcPr>
                <w:p>
                  <w:pPr>
                    <w:pStyle w:val="7"/>
                    <w:spacing w:line="360" w:lineRule="exact"/>
                    <w:ind w:firstLine="0"/>
                    <w:jc w:val="center"/>
                    <w:rPr>
                      <w:szCs w:val="21"/>
                    </w:rPr>
                  </w:pPr>
                  <w:r>
                    <w:rPr>
                      <w:rFonts w:hint="eastAsia"/>
                      <w:szCs w:val="21"/>
                    </w:rPr>
                    <w:t>堆场扬尘</w:t>
                  </w:r>
                </w:p>
              </w:tc>
              <w:tc>
                <w:tcPr>
                  <w:tcW w:w="5672" w:type="dxa"/>
                  <w:shd w:val="clear" w:color="auto" w:fill="auto"/>
                  <w:vAlign w:val="center"/>
                </w:tcPr>
                <w:p>
                  <w:pPr>
                    <w:pStyle w:val="7"/>
                    <w:spacing w:line="360" w:lineRule="exact"/>
                    <w:ind w:firstLine="0"/>
                    <w:jc w:val="left"/>
                    <w:rPr>
                      <w:szCs w:val="21"/>
                    </w:rPr>
                  </w:pPr>
                  <w:r>
                    <w:rPr>
                      <w:rFonts w:hint="eastAsia"/>
                      <w:szCs w:val="21"/>
                    </w:rPr>
                    <w:t>本项目设置全封闭式破碎站产品堆场，无组织粉尘量较小。同时运行过程中控制产品堆存高度，在堆放区设置抑尘水供水管和喷淋头洒水降尘。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污水处理措施</w:t>
                  </w:r>
                </w:p>
              </w:tc>
              <w:tc>
                <w:tcPr>
                  <w:tcW w:w="5672" w:type="dxa"/>
                  <w:shd w:val="clear" w:color="auto" w:fill="auto"/>
                  <w:vAlign w:val="center"/>
                </w:tcPr>
                <w:p>
                  <w:pPr>
                    <w:pStyle w:val="7"/>
                    <w:spacing w:line="360" w:lineRule="exact"/>
                    <w:ind w:firstLine="0"/>
                    <w:jc w:val="left"/>
                    <w:rPr>
                      <w:szCs w:val="21"/>
                    </w:rPr>
                  </w:pPr>
                  <w:r>
                    <w:rPr>
                      <w:rFonts w:hint="eastAsia"/>
                      <w:szCs w:val="21"/>
                    </w:rPr>
                    <w:t>员工生活废水项目设置防渗旱厕，定期由周边居民拉走堆肥；</w:t>
                  </w:r>
                  <w:r>
                    <w:rPr>
                      <w:rFonts w:hint="eastAsia"/>
                    </w:rPr>
                    <w:t>车辆冲洗废水经隔油沉淀池处理后回用于车辆冲洗。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left"/>
                    <w:rPr>
                      <w:kern w:val="1"/>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固废处置措施</w:t>
                  </w:r>
                </w:p>
              </w:tc>
              <w:tc>
                <w:tcPr>
                  <w:tcW w:w="5672" w:type="dxa"/>
                  <w:shd w:val="clear" w:color="auto" w:fill="auto"/>
                  <w:vAlign w:val="center"/>
                </w:tcPr>
                <w:p>
                  <w:pPr>
                    <w:pStyle w:val="7"/>
                    <w:spacing w:line="360" w:lineRule="exact"/>
                    <w:ind w:firstLine="0"/>
                    <w:jc w:val="left"/>
                    <w:rPr>
                      <w:szCs w:val="21"/>
                    </w:rPr>
                  </w:pPr>
                  <w:r>
                    <w:rPr>
                      <w:rFonts w:hint="eastAsia"/>
                      <w:szCs w:val="21"/>
                    </w:rPr>
                    <w:t>基建过程剥离岩石部分回填矿坑和工业场地冲沟，部分破碎后作为建筑材料外售，除尘器收集尘收集后外售作为白云粉生产原料，生活垃圾集中收集后送至政府指定场所统一处理；废润滑油、废油桶集中收集后暂存于危废暂存间，（危废间地面硬化后涂覆环氧树脂防渗，周围设置围堰（宽20cm，高10cm））。定期交有资质单位处置；</w:t>
                  </w:r>
                  <w:r>
                    <w:rPr>
                      <w:rFonts w:hint="eastAsia"/>
                      <w:kern w:val="2"/>
                      <w:szCs w:val="21"/>
                    </w:rPr>
                    <w:t>剥离表土运往排土场，一部分及时进行绿化，另一部分用于后期复垦使用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center"/>
                    <w:rPr>
                      <w:kern w:val="1"/>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噪声防治措施</w:t>
                  </w:r>
                </w:p>
              </w:tc>
              <w:tc>
                <w:tcPr>
                  <w:tcW w:w="5672" w:type="dxa"/>
                  <w:shd w:val="clear" w:color="auto" w:fill="auto"/>
                  <w:vAlign w:val="center"/>
                </w:tcPr>
                <w:p>
                  <w:pPr>
                    <w:pStyle w:val="7"/>
                    <w:spacing w:line="360" w:lineRule="exact"/>
                    <w:ind w:firstLine="0"/>
                    <w:jc w:val="center"/>
                    <w:rPr>
                      <w:szCs w:val="21"/>
                    </w:rPr>
                  </w:pPr>
                  <w:r>
                    <w:rPr>
                      <w:rFonts w:hint="eastAsia"/>
                      <w:szCs w:val="21"/>
                    </w:rPr>
                    <w:t>对高噪声设备集中布置，并选用低噪声设备，设置基础减振、消声等降噪措施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vMerge w:val="continue"/>
                  <w:shd w:val="clear" w:color="auto" w:fill="auto"/>
                  <w:vAlign w:val="center"/>
                </w:tcPr>
                <w:p>
                  <w:pPr>
                    <w:spacing w:line="360" w:lineRule="exact"/>
                    <w:jc w:val="center"/>
                    <w:rPr>
                      <w:kern w:val="1"/>
                      <w:szCs w:val="21"/>
                    </w:rPr>
                  </w:pPr>
                </w:p>
              </w:tc>
              <w:tc>
                <w:tcPr>
                  <w:tcW w:w="1961" w:type="dxa"/>
                  <w:gridSpan w:val="2"/>
                  <w:shd w:val="clear" w:color="auto" w:fill="auto"/>
                  <w:vAlign w:val="center"/>
                </w:tcPr>
                <w:p>
                  <w:pPr>
                    <w:pStyle w:val="7"/>
                    <w:spacing w:line="360" w:lineRule="exact"/>
                    <w:ind w:firstLine="0"/>
                    <w:jc w:val="center"/>
                    <w:rPr>
                      <w:szCs w:val="21"/>
                    </w:rPr>
                  </w:pPr>
                  <w:r>
                    <w:rPr>
                      <w:rFonts w:hint="eastAsia"/>
                      <w:szCs w:val="21"/>
                    </w:rPr>
                    <w:t>生态保护措施</w:t>
                  </w:r>
                </w:p>
              </w:tc>
              <w:tc>
                <w:tcPr>
                  <w:tcW w:w="5672" w:type="dxa"/>
                  <w:shd w:val="clear" w:color="auto" w:fill="auto"/>
                  <w:vAlign w:val="center"/>
                </w:tcPr>
                <w:p>
                  <w:pPr>
                    <w:spacing w:line="360" w:lineRule="exact"/>
                    <w:jc w:val="center"/>
                    <w:rPr>
                      <w:szCs w:val="21"/>
                    </w:rPr>
                  </w:pPr>
                  <w:r>
                    <w:rPr>
                      <w:rFonts w:hint="eastAsia"/>
                    </w:rPr>
                    <w:t>建设单位已制定水土保护方案与土地复垦方案，拟严格按照方案对水土流失和损毁的土地进行水土保持及生态治理，其中预期水土保持治理面积29.20hm</w:t>
                  </w:r>
                  <w:r>
                    <w:rPr>
                      <w:rFonts w:hint="eastAsia"/>
                      <w:vertAlign w:val="superscript"/>
                    </w:rPr>
                    <w:t>2</w:t>
                  </w:r>
                  <w:r>
                    <w:rPr>
                      <w:rFonts w:hint="eastAsia"/>
                    </w:rPr>
                    <w:t>、土地复垦面积181.68hm</w:t>
                  </w:r>
                  <w:r>
                    <w:rPr>
                      <w:rFonts w:hint="eastAsia"/>
                      <w:vertAlign w:val="superscript"/>
                    </w:rPr>
                    <w:t>2</w:t>
                  </w:r>
                  <w:r>
                    <w:rPr>
                      <w:rFonts w:hint="eastAsi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trPr>
              <w:tc>
                <w:tcPr>
                  <w:tcW w:w="907" w:type="dxa"/>
                  <w:shd w:val="clear" w:color="auto" w:fill="auto"/>
                  <w:vAlign w:val="center"/>
                </w:tcPr>
                <w:p>
                  <w:pPr>
                    <w:spacing w:line="360" w:lineRule="exact"/>
                    <w:jc w:val="center"/>
                    <w:rPr>
                      <w:kern w:val="1"/>
                      <w:szCs w:val="21"/>
                    </w:rPr>
                  </w:pPr>
                  <w:r>
                    <w:rPr>
                      <w:rFonts w:hint="eastAsia"/>
                      <w:kern w:val="1"/>
                      <w:szCs w:val="21"/>
                    </w:rPr>
                    <w:t>其他</w:t>
                  </w:r>
                </w:p>
              </w:tc>
              <w:tc>
                <w:tcPr>
                  <w:tcW w:w="7633" w:type="dxa"/>
                  <w:gridSpan w:val="3"/>
                  <w:shd w:val="clear" w:color="auto" w:fill="auto"/>
                  <w:vAlign w:val="center"/>
                </w:tcPr>
                <w:p>
                  <w:pPr>
                    <w:spacing w:line="360" w:lineRule="exact"/>
                    <w:jc w:val="left"/>
                  </w:pPr>
                  <w:r>
                    <w:rPr>
                      <w:rFonts w:hint="eastAsia"/>
                    </w:rPr>
                    <w:t>建设全过程制定严格的环境管理与监测计划，定期监测；对污染治理设施定期维</w:t>
                  </w:r>
                </w:p>
                <w:p>
                  <w:pPr>
                    <w:spacing w:line="360" w:lineRule="exact"/>
                    <w:jc w:val="left"/>
                  </w:pPr>
                  <w:r>
                    <w:rPr>
                      <w:rFonts w:hint="eastAsia"/>
                    </w:rPr>
                    <w:t>护保养；露天采场周边设置围栏和安全标志。</w:t>
                  </w:r>
                </w:p>
              </w:tc>
            </w:tr>
          </w:tbl>
          <w:p>
            <w:pPr>
              <w:pStyle w:val="50"/>
              <w:ind w:firstLine="482"/>
              <w:rPr>
                <w:b/>
                <w:bCs/>
              </w:rPr>
            </w:pPr>
            <w:r>
              <w:rPr>
                <w:rFonts w:hint="eastAsia"/>
                <w:b/>
                <w:bCs/>
              </w:rPr>
              <w:t>2、建设规模及产品方案</w:t>
            </w:r>
          </w:p>
          <w:p>
            <w:pPr>
              <w:spacing w:line="360" w:lineRule="auto"/>
              <w:ind w:firstLine="480"/>
              <w:rPr>
                <w:b/>
                <w:kern w:val="1"/>
                <w:sz w:val="24"/>
              </w:rPr>
            </w:pPr>
            <w:r>
              <w:rPr>
                <w:rFonts w:hint="eastAsia"/>
                <w:b/>
                <w:kern w:val="1"/>
                <w:sz w:val="24"/>
              </w:rPr>
              <w:t>（1）建设规模和服务年限</w:t>
            </w:r>
          </w:p>
          <w:p>
            <w:pPr>
              <w:pStyle w:val="47"/>
              <w:ind w:firstLine="480"/>
              <w:rPr>
                <w:color w:val="auto"/>
                <w:kern w:val="1"/>
              </w:rPr>
            </w:pPr>
            <w:r>
              <w:rPr>
                <w:rFonts w:hint="eastAsia"/>
                <w:color w:val="auto"/>
                <w:kern w:val="1"/>
              </w:rPr>
              <w:t>生产冶镁用白云岩矿石50万t/a，采矿损失率为5</w:t>
            </w:r>
            <w:r>
              <w:rPr>
                <w:color w:val="auto"/>
                <w:kern w:val="1"/>
              </w:rPr>
              <w:t>%</w:t>
            </w:r>
            <w:r>
              <w:rPr>
                <w:rFonts w:hint="eastAsia"/>
                <w:color w:val="auto"/>
                <w:kern w:val="1"/>
              </w:rPr>
              <w:t>，贫化率为1</w:t>
            </w:r>
            <w:r>
              <w:rPr>
                <w:color w:val="auto"/>
                <w:kern w:val="1"/>
              </w:rPr>
              <w:t>0%</w:t>
            </w:r>
            <w:r>
              <w:rPr>
                <w:rFonts w:hint="eastAsia"/>
                <w:color w:val="auto"/>
                <w:kern w:val="1"/>
              </w:rPr>
              <w:t>，露天开采设计服务年限为5.</w:t>
            </w:r>
            <w:r>
              <w:rPr>
                <w:color w:val="auto"/>
                <w:kern w:val="1"/>
              </w:rPr>
              <w:t>5</w:t>
            </w:r>
            <w:r>
              <w:rPr>
                <w:rFonts w:hint="eastAsia"/>
                <w:color w:val="auto"/>
                <w:kern w:val="1"/>
              </w:rPr>
              <w:t>a。</w:t>
            </w:r>
          </w:p>
          <w:p>
            <w:pPr>
              <w:pStyle w:val="47"/>
              <w:ind w:firstLine="480"/>
              <w:rPr>
                <w:color w:val="auto"/>
                <w:kern w:val="1"/>
              </w:rPr>
            </w:pPr>
            <w:r>
              <w:rPr>
                <w:rFonts w:hint="eastAsia"/>
                <w:color w:val="auto"/>
                <w:kern w:val="1"/>
              </w:rPr>
              <w:t>建筑石料矿生产规模为500万t/a，服务年限为</w:t>
            </w:r>
            <w:r>
              <w:rPr>
                <w:color w:val="auto"/>
                <w:kern w:val="1"/>
              </w:rPr>
              <w:t>5.5</w:t>
            </w:r>
            <w:r>
              <w:rPr>
                <w:rFonts w:hint="eastAsia"/>
                <w:color w:val="auto"/>
                <w:kern w:val="1"/>
              </w:rPr>
              <w:t>年。</w:t>
            </w:r>
          </w:p>
          <w:p>
            <w:pPr>
              <w:spacing w:line="360" w:lineRule="auto"/>
              <w:ind w:firstLine="480"/>
              <w:rPr>
                <w:b/>
                <w:kern w:val="1"/>
                <w:sz w:val="24"/>
              </w:rPr>
            </w:pPr>
            <w:r>
              <w:rPr>
                <w:rFonts w:hint="eastAsia"/>
                <w:b/>
                <w:kern w:val="1"/>
                <w:sz w:val="24"/>
              </w:rPr>
              <w:t>（2）产品方案</w:t>
            </w:r>
          </w:p>
          <w:p>
            <w:pPr>
              <w:pStyle w:val="47"/>
              <w:ind w:firstLine="480"/>
              <w:rPr>
                <w:color w:val="auto"/>
              </w:rPr>
            </w:pPr>
            <w:r>
              <w:rPr>
                <w:rFonts w:hint="eastAsia"/>
                <w:color w:val="auto"/>
              </w:rPr>
              <w:t>杜家圈南白云岩矿年产量50万t，根据冶镁技术对原料的要求，破碎成0.5～1mm、1～25mm、25～40mm三种产品，外售。</w:t>
            </w:r>
          </w:p>
          <w:p>
            <w:pPr>
              <w:pStyle w:val="47"/>
              <w:ind w:firstLine="480"/>
              <w:rPr>
                <w:color w:val="auto"/>
              </w:rPr>
            </w:pPr>
            <w:r>
              <w:rPr>
                <w:rFonts w:hint="eastAsia"/>
                <w:color w:val="auto"/>
              </w:rPr>
              <w:t>生产过程中质量较好的剥离岩石运至破碎场进行破碎，破碎筛分成10～20mm、20～30mm、≥30mm等产品作为建筑石料外销，≤10mm碎石经振动筛，制砂机制成0~5mm砂子外卖，建筑石料年生产能力为500万t。</w:t>
            </w:r>
          </w:p>
          <w:p>
            <w:pPr>
              <w:pStyle w:val="47"/>
              <w:ind w:firstLine="480"/>
              <w:rPr>
                <w:color w:val="auto"/>
              </w:rPr>
            </w:pPr>
            <w:r>
              <w:rPr>
                <w:rFonts w:hint="eastAsia"/>
                <w:color w:val="auto"/>
              </w:rPr>
              <w:t>产品方案一览表见下表。</w:t>
            </w:r>
          </w:p>
          <w:p>
            <w:pPr>
              <w:pStyle w:val="50"/>
              <w:numPr>
                <w:ilvl w:val="0"/>
                <w:numId w:val="2"/>
              </w:numPr>
              <w:snapToGrid w:val="0"/>
              <w:spacing w:line="240" w:lineRule="auto"/>
              <w:ind w:firstLineChars="0"/>
              <w:jc w:val="center"/>
              <w:rPr>
                <w:b/>
                <w:bCs/>
              </w:rPr>
            </w:pPr>
            <w:r>
              <w:rPr>
                <w:rFonts w:hint="eastAsia"/>
              </w:rPr>
              <w:t xml:space="preserve">  </w:t>
            </w:r>
            <w:r>
              <w:rPr>
                <w:rFonts w:hint="eastAsia"/>
                <w:b/>
                <w:bCs/>
              </w:rPr>
              <w:t>项目产品方案一览表</w:t>
            </w:r>
          </w:p>
          <w:tbl>
            <w:tblPr>
              <w:tblStyle w:val="23"/>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033"/>
              <w:gridCol w:w="1134"/>
              <w:gridCol w:w="47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637"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序号</w:t>
                  </w:r>
                </w:p>
              </w:tc>
              <w:tc>
                <w:tcPr>
                  <w:tcW w:w="2033"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产品名称</w:t>
                  </w:r>
                </w:p>
              </w:tc>
              <w:tc>
                <w:tcPr>
                  <w:tcW w:w="1134"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产量</w:t>
                  </w:r>
                </w:p>
              </w:tc>
              <w:tc>
                <w:tcPr>
                  <w:tcW w:w="4736"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规格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637" w:type="dxa"/>
                  <w:shd w:val="clear" w:color="auto" w:fill="auto"/>
                  <w:vAlign w:val="center"/>
                </w:tcPr>
                <w:p>
                  <w:pPr>
                    <w:pStyle w:val="50"/>
                    <w:snapToGrid w:val="0"/>
                    <w:spacing w:line="360" w:lineRule="exact"/>
                    <w:ind w:firstLine="0" w:firstLineChars="0"/>
                    <w:jc w:val="center"/>
                    <w:rPr>
                      <w:sz w:val="21"/>
                    </w:rPr>
                  </w:pPr>
                  <w:r>
                    <w:rPr>
                      <w:rFonts w:hint="eastAsia"/>
                      <w:sz w:val="21"/>
                    </w:rPr>
                    <w:t>1</w:t>
                  </w:r>
                </w:p>
              </w:tc>
              <w:tc>
                <w:tcPr>
                  <w:tcW w:w="2033" w:type="dxa"/>
                  <w:shd w:val="clear" w:color="auto" w:fill="auto"/>
                  <w:vAlign w:val="center"/>
                </w:tcPr>
                <w:p>
                  <w:pPr>
                    <w:pStyle w:val="50"/>
                    <w:snapToGrid w:val="0"/>
                    <w:spacing w:line="360" w:lineRule="exact"/>
                    <w:ind w:firstLine="0" w:firstLineChars="0"/>
                    <w:jc w:val="center"/>
                    <w:rPr>
                      <w:sz w:val="21"/>
                    </w:rPr>
                  </w:pPr>
                  <w:r>
                    <w:rPr>
                      <w:rFonts w:hint="eastAsia"/>
                      <w:sz w:val="21"/>
                    </w:rPr>
                    <w:t>冶镁用白云岩矿石</w:t>
                  </w:r>
                </w:p>
              </w:tc>
              <w:tc>
                <w:tcPr>
                  <w:tcW w:w="1134" w:type="dxa"/>
                  <w:shd w:val="clear" w:color="auto" w:fill="auto"/>
                  <w:vAlign w:val="center"/>
                </w:tcPr>
                <w:p>
                  <w:pPr>
                    <w:pStyle w:val="50"/>
                    <w:snapToGrid w:val="0"/>
                    <w:spacing w:line="360" w:lineRule="exact"/>
                    <w:ind w:firstLine="0" w:firstLineChars="0"/>
                    <w:jc w:val="center"/>
                    <w:rPr>
                      <w:sz w:val="21"/>
                    </w:rPr>
                  </w:pPr>
                  <w:r>
                    <w:rPr>
                      <w:rFonts w:hint="eastAsia"/>
                      <w:sz w:val="21"/>
                    </w:rPr>
                    <w:t>50万t/a</w:t>
                  </w:r>
                </w:p>
              </w:tc>
              <w:tc>
                <w:tcPr>
                  <w:tcW w:w="4736" w:type="dxa"/>
                  <w:shd w:val="clear" w:color="auto" w:fill="auto"/>
                  <w:vAlign w:val="center"/>
                </w:tcPr>
                <w:p>
                  <w:pPr>
                    <w:pStyle w:val="50"/>
                    <w:snapToGrid w:val="0"/>
                    <w:spacing w:line="360" w:lineRule="exact"/>
                    <w:ind w:firstLine="0" w:firstLineChars="0"/>
                    <w:jc w:val="center"/>
                    <w:rPr>
                      <w:sz w:val="21"/>
                    </w:rPr>
                  </w:pPr>
                  <w:r>
                    <w:rPr>
                      <w:rFonts w:hint="eastAsia"/>
                      <w:sz w:val="21"/>
                    </w:rPr>
                    <w:t>0.5～1mm、1～25mm、25～40mm三种产品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637" w:type="dxa"/>
                  <w:shd w:val="clear" w:color="auto" w:fill="auto"/>
                  <w:vAlign w:val="center"/>
                </w:tcPr>
                <w:p>
                  <w:pPr>
                    <w:pStyle w:val="50"/>
                    <w:snapToGrid w:val="0"/>
                    <w:spacing w:line="360" w:lineRule="exact"/>
                    <w:ind w:firstLine="0" w:firstLineChars="0"/>
                    <w:jc w:val="center"/>
                    <w:rPr>
                      <w:sz w:val="21"/>
                    </w:rPr>
                  </w:pPr>
                  <w:r>
                    <w:rPr>
                      <w:rFonts w:hint="eastAsia"/>
                      <w:sz w:val="21"/>
                    </w:rPr>
                    <w:t>2</w:t>
                  </w:r>
                </w:p>
              </w:tc>
              <w:tc>
                <w:tcPr>
                  <w:tcW w:w="2033" w:type="dxa"/>
                  <w:shd w:val="clear" w:color="auto" w:fill="auto"/>
                  <w:vAlign w:val="center"/>
                </w:tcPr>
                <w:p>
                  <w:pPr>
                    <w:pStyle w:val="50"/>
                    <w:snapToGrid w:val="0"/>
                    <w:spacing w:line="360" w:lineRule="exact"/>
                    <w:ind w:firstLine="0" w:firstLineChars="0"/>
                    <w:jc w:val="center"/>
                    <w:rPr>
                      <w:sz w:val="21"/>
                    </w:rPr>
                  </w:pPr>
                  <w:r>
                    <w:rPr>
                      <w:rFonts w:hint="eastAsia"/>
                      <w:sz w:val="21"/>
                    </w:rPr>
                    <w:t>建筑石料</w:t>
                  </w:r>
                </w:p>
              </w:tc>
              <w:tc>
                <w:tcPr>
                  <w:tcW w:w="1134" w:type="dxa"/>
                  <w:shd w:val="clear" w:color="auto" w:fill="auto"/>
                  <w:vAlign w:val="center"/>
                </w:tcPr>
                <w:p>
                  <w:pPr>
                    <w:pStyle w:val="50"/>
                    <w:snapToGrid w:val="0"/>
                    <w:spacing w:line="360" w:lineRule="exact"/>
                    <w:ind w:firstLine="0" w:firstLineChars="0"/>
                    <w:jc w:val="center"/>
                    <w:rPr>
                      <w:sz w:val="21"/>
                    </w:rPr>
                  </w:pPr>
                  <w:r>
                    <w:rPr>
                      <w:rFonts w:hint="eastAsia"/>
                      <w:sz w:val="21"/>
                    </w:rPr>
                    <w:t>500万t/a</w:t>
                  </w:r>
                </w:p>
              </w:tc>
              <w:tc>
                <w:tcPr>
                  <w:tcW w:w="4736" w:type="dxa"/>
                  <w:shd w:val="clear" w:color="auto" w:fill="auto"/>
                  <w:vAlign w:val="center"/>
                </w:tcPr>
                <w:p>
                  <w:pPr>
                    <w:pStyle w:val="50"/>
                    <w:snapToGrid w:val="0"/>
                    <w:spacing w:line="360" w:lineRule="exact"/>
                    <w:ind w:firstLine="0" w:firstLineChars="0"/>
                    <w:jc w:val="center"/>
                    <w:rPr>
                      <w:sz w:val="21"/>
                    </w:rPr>
                  </w:pPr>
                  <w:r>
                    <w:rPr>
                      <w:rFonts w:hint="eastAsia"/>
                      <w:sz w:val="21"/>
                    </w:rPr>
                    <w:t>10～20mm、20～30mm、≥30mm建筑石料，0~5mm砂子</w:t>
                  </w:r>
                </w:p>
              </w:tc>
            </w:tr>
          </w:tbl>
          <w:p>
            <w:pPr>
              <w:pStyle w:val="47"/>
              <w:ind w:firstLine="482"/>
              <w:rPr>
                <w:b/>
                <w:bCs/>
                <w:color w:val="auto"/>
              </w:rPr>
            </w:pPr>
            <w:r>
              <w:rPr>
                <w:rFonts w:hint="eastAsia"/>
                <w:b/>
                <w:bCs/>
                <w:color w:val="auto"/>
              </w:rPr>
              <w:t>（3）矿石工业类型</w:t>
            </w:r>
          </w:p>
          <w:p>
            <w:pPr>
              <w:pStyle w:val="47"/>
              <w:ind w:firstLine="480"/>
              <w:rPr>
                <w:color w:val="auto"/>
              </w:rPr>
            </w:pPr>
            <w:r>
              <w:rPr>
                <w:rFonts w:hint="eastAsia"/>
                <w:color w:val="auto"/>
              </w:rPr>
              <w:t>根据项目详查、勘探两阶段矿石成分分析结果，确定本矿范围内矿石中MgO含量在19.06-21.87%，平均21.04%，CaO含量在27.67-32.31%，平均29.79%，SiO</w:t>
            </w:r>
            <w:r>
              <w:rPr>
                <w:rFonts w:hint="eastAsia"/>
                <w:color w:val="auto"/>
                <w:vertAlign w:val="subscript"/>
              </w:rPr>
              <w:t>2</w:t>
            </w:r>
            <w:r>
              <w:rPr>
                <w:rFonts w:hint="eastAsia"/>
                <w:color w:val="auto"/>
              </w:rPr>
              <w:t>含量在0.05-1.30%，平均0.76%，M•CaO/M•MgO为0.94-1.06，平均1.01，工业类型为优质的冶镁白云岩矿石。</w:t>
            </w:r>
          </w:p>
          <w:p>
            <w:pPr>
              <w:pStyle w:val="50"/>
              <w:ind w:firstLine="482"/>
              <w:rPr>
                <w:b/>
                <w:bCs/>
              </w:rPr>
            </w:pPr>
            <w:r>
              <w:rPr>
                <w:rFonts w:hint="eastAsia"/>
                <w:b/>
                <w:bCs/>
              </w:rPr>
              <w:t>3、物料消耗、能源消耗及主要生产设备</w:t>
            </w:r>
          </w:p>
          <w:p>
            <w:pPr>
              <w:spacing w:line="360" w:lineRule="auto"/>
              <w:ind w:firstLine="361" w:firstLineChars="150"/>
              <w:rPr>
                <w:b/>
                <w:kern w:val="1"/>
                <w:sz w:val="24"/>
              </w:rPr>
            </w:pPr>
            <w:r>
              <w:rPr>
                <w:rFonts w:hint="eastAsia"/>
                <w:b/>
                <w:kern w:val="1"/>
                <w:sz w:val="24"/>
              </w:rPr>
              <w:t>（1）物料消耗</w:t>
            </w:r>
          </w:p>
          <w:p>
            <w:pPr>
              <w:spacing w:line="360" w:lineRule="auto"/>
              <w:ind w:firstLine="480"/>
              <w:rPr>
                <w:kern w:val="1"/>
                <w:sz w:val="24"/>
              </w:rPr>
            </w:pPr>
            <w:r>
              <w:rPr>
                <w:rFonts w:hint="eastAsia"/>
                <w:kern w:val="1"/>
                <w:sz w:val="24"/>
              </w:rPr>
              <w:t>矿山开采主要物料消耗为炸药、导爆管、非电导爆管，炸药采用硝酸铵型炸药，机油和柴油。项目矿区开采爆破工作及爆炸物运输工作均委托有资质单位进行操作处理，炸药、雷管由爆破公司统一提供、运输，并由该公司组织设计实施爆破，本项目不储存炸药。矿山露天开采年需要炸药量约1336t，导爆管67万m、非电雷管200430值。一般每隔7天爆破1次，每次炸药使用消耗量为31t，每年共需爆破43次。炸药的化学成分及理化指标见表9。主要原辅材料用量表见表10。</w:t>
            </w:r>
          </w:p>
          <w:p>
            <w:pPr>
              <w:pStyle w:val="50"/>
              <w:numPr>
                <w:ilvl w:val="0"/>
                <w:numId w:val="2"/>
              </w:numPr>
              <w:snapToGrid w:val="0"/>
              <w:spacing w:line="240" w:lineRule="auto"/>
              <w:ind w:firstLineChars="0"/>
              <w:jc w:val="center"/>
              <w:rPr>
                <w:b/>
                <w:bCs/>
              </w:rPr>
            </w:pPr>
            <w:r>
              <w:rPr>
                <w:rFonts w:hint="eastAsia"/>
                <w:b/>
                <w:bCs/>
              </w:rPr>
              <w:t>炸药的化学成分及理化性质情况一览表</w:t>
            </w:r>
          </w:p>
          <w:tbl>
            <w:tblPr>
              <w:tblStyle w:val="22"/>
              <w:tblW w:w="8567" w:type="dxa"/>
              <w:tblInd w:w="0" w:type="dxa"/>
              <w:tblLayout w:type="fixed"/>
              <w:tblCellMar>
                <w:top w:w="0" w:type="dxa"/>
                <w:left w:w="108" w:type="dxa"/>
                <w:bottom w:w="0" w:type="dxa"/>
                <w:right w:w="108" w:type="dxa"/>
              </w:tblCellMar>
            </w:tblPr>
            <w:tblGrid>
              <w:gridCol w:w="2084"/>
              <w:gridCol w:w="2207"/>
              <w:gridCol w:w="4276"/>
            </w:tblGrid>
            <w:tr>
              <w:tblPrEx>
                <w:tblCellMar>
                  <w:top w:w="0" w:type="dxa"/>
                  <w:left w:w="108" w:type="dxa"/>
                  <w:bottom w:w="0" w:type="dxa"/>
                  <w:right w:w="108" w:type="dxa"/>
                </w:tblCellMar>
              </w:tblPrEx>
              <w:trPr>
                <w:trHeight w:val="227" w:hRule="atLeast"/>
              </w:trPr>
              <w:tc>
                <w:tcPr>
                  <w:tcW w:w="2084" w:type="dxa"/>
                  <w:tcBorders>
                    <w:top w:val="single" w:color="000000" w:sz="12" w:space="0"/>
                    <w:left w:val="single" w:color="000000" w:sz="12" w:space="0"/>
                    <w:bottom w:val="single" w:color="000000" w:sz="4" w:space="0"/>
                    <w:right w:val="single" w:color="000000" w:sz="4" w:space="0"/>
                  </w:tcBorders>
                  <w:vAlign w:val="center"/>
                </w:tcPr>
                <w:p>
                  <w:pPr>
                    <w:autoSpaceDE w:val="0"/>
                    <w:autoSpaceDN w:val="0"/>
                    <w:adjustRightInd w:val="0"/>
                    <w:jc w:val="center"/>
                    <w:rPr>
                      <w:b/>
                      <w:szCs w:val="21"/>
                    </w:rPr>
                  </w:pPr>
                  <w:r>
                    <w:rPr>
                      <w:rFonts w:hint="eastAsia"/>
                      <w:b/>
                      <w:szCs w:val="21"/>
                    </w:rPr>
                    <w:t>主要成分</w:t>
                  </w:r>
                </w:p>
              </w:tc>
              <w:tc>
                <w:tcPr>
                  <w:tcW w:w="2207"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b/>
                      <w:szCs w:val="21"/>
                    </w:rPr>
                  </w:pPr>
                  <w:r>
                    <w:rPr>
                      <w:rFonts w:hint="eastAsia"/>
                      <w:b/>
                      <w:szCs w:val="21"/>
                    </w:rPr>
                    <w:t>配比（%）</w:t>
                  </w:r>
                </w:p>
              </w:tc>
              <w:tc>
                <w:tcPr>
                  <w:tcW w:w="4276" w:type="dxa"/>
                  <w:tcBorders>
                    <w:top w:val="single" w:color="000000" w:sz="12" w:space="0"/>
                    <w:left w:val="single" w:color="000000" w:sz="4" w:space="0"/>
                    <w:bottom w:val="single" w:color="000000" w:sz="4" w:space="0"/>
                    <w:right w:val="single" w:color="000000" w:sz="12" w:space="0"/>
                  </w:tcBorders>
                  <w:vAlign w:val="center"/>
                </w:tcPr>
                <w:p>
                  <w:pPr>
                    <w:autoSpaceDE w:val="0"/>
                    <w:autoSpaceDN w:val="0"/>
                    <w:adjustRightInd w:val="0"/>
                    <w:jc w:val="center"/>
                    <w:rPr>
                      <w:b/>
                      <w:szCs w:val="21"/>
                    </w:rPr>
                  </w:pPr>
                  <w:r>
                    <w:rPr>
                      <w:rFonts w:hint="eastAsia"/>
                      <w:b/>
                      <w:szCs w:val="21"/>
                    </w:rPr>
                    <w:t>主要理化指标</w:t>
                  </w:r>
                </w:p>
              </w:tc>
            </w:tr>
            <w:tr>
              <w:tblPrEx>
                <w:tblCellMar>
                  <w:top w:w="0" w:type="dxa"/>
                  <w:left w:w="108" w:type="dxa"/>
                  <w:bottom w:w="0" w:type="dxa"/>
                  <w:right w:w="108" w:type="dxa"/>
                </w:tblCellMar>
              </w:tblPrEx>
              <w:trPr>
                <w:trHeight w:val="227" w:hRule="atLeast"/>
              </w:trPr>
              <w:tc>
                <w:tcPr>
                  <w:tcW w:w="2084"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硝酸铵</w:t>
                  </w:r>
                </w:p>
              </w:tc>
              <w:tc>
                <w:tcPr>
                  <w:tcW w:w="220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75</w:t>
                  </w:r>
                </w:p>
              </w:tc>
              <w:tc>
                <w:tcPr>
                  <w:tcW w:w="4276" w:type="dxa"/>
                  <w:vMerge w:val="restart"/>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szCs w:val="21"/>
                    </w:rPr>
                  </w:pPr>
                  <w:r>
                    <w:rPr>
                      <w:rFonts w:hint="eastAsia"/>
                      <w:szCs w:val="21"/>
                    </w:rPr>
                    <w:t>灰白色至灰黄色松散粉状混合物，水分≤0.5%，易吸湿、易结块</w:t>
                  </w:r>
                </w:p>
              </w:tc>
            </w:tr>
            <w:tr>
              <w:tblPrEx>
                <w:tblCellMar>
                  <w:top w:w="0" w:type="dxa"/>
                  <w:left w:w="108" w:type="dxa"/>
                  <w:bottom w:w="0" w:type="dxa"/>
                  <w:right w:w="108" w:type="dxa"/>
                </w:tblCellMar>
              </w:tblPrEx>
              <w:trPr>
                <w:trHeight w:val="227" w:hRule="atLeast"/>
              </w:trPr>
              <w:tc>
                <w:tcPr>
                  <w:tcW w:w="2084"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梯恩梯</w:t>
                  </w:r>
                </w:p>
              </w:tc>
              <w:tc>
                <w:tcPr>
                  <w:tcW w:w="220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11</w:t>
                  </w:r>
                </w:p>
              </w:tc>
              <w:tc>
                <w:tcPr>
                  <w:tcW w:w="4276" w:type="dxa"/>
                  <w:vMerge w:val="continue"/>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szCs w:val="21"/>
                    </w:rPr>
                  </w:pPr>
                </w:p>
              </w:tc>
            </w:tr>
            <w:tr>
              <w:tblPrEx>
                <w:tblCellMar>
                  <w:top w:w="0" w:type="dxa"/>
                  <w:left w:w="108" w:type="dxa"/>
                  <w:bottom w:w="0" w:type="dxa"/>
                  <w:right w:w="108" w:type="dxa"/>
                </w:tblCellMar>
              </w:tblPrEx>
              <w:trPr>
                <w:trHeight w:val="227" w:hRule="atLeast"/>
              </w:trPr>
              <w:tc>
                <w:tcPr>
                  <w:tcW w:w="2084"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木粉</w:t>
                  </w:r>
                </w:p>
              </w:tc>
              <w:tc>
                <w:tcPr>
                  <w:tcW w:w="220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4</w:t>
                  </w:r>
                </w:p>
              </w:tc>
              <w:tc>
                <w:tcPr>
                  <w:tcW w:w="4276" w:type="dxa"/>
                  <w:vMerge w:val="continue"/>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szCs w:val="21"/>
                    </w:rPr>
                  </w:pPr>
                </w:p>
              </w:tc>
            </w:tr>
            <w:tr>
              <w:tblPrEx>
                <w:tblCellMar>
                  <w:top w:w="0" w:type="dxa"/>
                  <w:left w:w="108" w:type="dxa"/>
                  <w:bottom w:w="0" w:type="dxa"/>
                  <w:right w:w="108" w:type="dxa"/>
                </w:tblCellMar>
              </w:tblPrEx>
              <w:trPr>
                <w:trHeight w:val="227" w:hRule="atLeast"/>
              </w:trPr>
              <w:tc>
                <w:tcPr>
                  <w:tcW w:w="2084"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氯化钠</w:t>
                  </w:r>
                </w:p>
              </w:tc>
              <w:tc>
                <w:tcPr>
                  <w:tcW w:w="220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szCs w:val="21"/>
                    </w:rPr>
                  </w:pPr>
                  <w:r>
                    <w:rPr>
                      <w:rFonts w:hint="eastAsia"/>
                      <w:szCs w:val="21"/>
                    </w:rPr>
                    <w:t>10</w:t>
                  </w:r>
                </w:p>
              </w:tc>
              <w:tc>
                <w:tcPr>
                  <w:tcW w:w="4276" w:type="dxa"/>
                  <w:vMerge w:val="continue"/>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szCs w:val="21"/>
                    </w:rPr>
                  </w:pPr>
                </w:p>
              </w:tc>
            </w:tr>
            <w:tr>
              <w:tblPrEx>
                <w:tblCellMar>
                  <w:top w:w="0" w:type="dxa"/>
                  <w:left w:w="108" w:type="dxa"/>
                  <w:bottom w:w="0" w:type="dxa"/>
                  <w:right w:w="108" w:type="dxa"/>
                </w:tblCellMar>
              </w:tblPrEx>
              <w:trPr>
                <w:trHeight w:val="227" w:hRule="atLeast"/>
              </w:trPr>
              <w:tc>
                <w:tcPr>
                  <w:tcW w:w="2084" w:type="dxa"/>
                  <w:tcBorders>
                    <w:top w:val="single" w:color="000000" w:sz="4" w:space="0"/>
                    <w:left w:val="single" w:color="000000" w:sz="12" w:space="0"/>
                    <w:bottom w:val="single" w:color="000000" w:sz="12" w:space="0"/>
                    <w:right w:val="single" w:color="000000" w:sz="4" w:space="0"/>
                  </w:tcBorders>
                  <w:vAlign w:val="center"/>
                </w:tcPr>
                <w:p>
                  <w:pPr>
                    <w:autoSpaceDE w:val="0"/>
                    <w:autoSpaceDN w:val="0"/>
                    <w:adjustRightInd w:val="0"/>
                    <w:jc w:val="center"/>
                    <w:rPr>
                      <w:szCs w:val="21"/>
                    </w:rPr>
                  </w:pPr>
                  <w:r>
                    <w:rPr>
                      <w:rFonts w:hint="eastAsia"/>
                      <w:szCs w:val="21"/>
                    </w:rPr>
                    <w:t>合计</w:t>
                  </w:r>
                </w:p>
              </w:tc>
              <w:tc>
                <w:tcPr>
                  <w:tcW w:w="2207"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szCs w:val="21"/>
                    </w:rPr>
                  </w:pPr>
                  <w:r>
                    <w:rPr>
                      <w:rFonts w:hint="eastAsia"/>
                      <w:szCs w:val="21"/>
                    </w:rPr>
                    <w:t>100</w:t>
                  </w:r>
                </w:p>
              </w:tc>
              <w:tc>
                <w:tcPr>
                  <w:tcW w:w="4276" w:type="dxa"/>
                  <w:vMerge w:val="continue"/>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szCs w:val="21"/>
                    </w:rPr>
                  </w:pPr>
                </w:p>
              </w:tc>
            </w:tr>
          </w:tbl>
          <w:p>
            <w:pPr>
              <w:pStyle w:val="50"/>
              <w:numPr>
                <w:ilvl w:val="0"/>
                <w:numId w:val="2"/>
              </w:numPr>
              <w:snapToGrid w:val="0"/>
              <w:spacing w:line="240" w:lineRule="auto"/>
              <w:ind w:firstLineChars="0"/>
              <w:jc w:val="center"/>
              <w:rPr>
                <w:b/>
                <w:bCs/>
              </w:rPr>
            </w:pPr>
            <w:r>
              <w:rPr>
                <w:rFonts w:hint="eastAsia"/>
                <w:b/>
                <w:bCs/>
              </w:rPr>
              <w:t>项目开采期主要原辅材料用量</w:t>
            </w:r>
          </w:p>
          <w:tbl>
            <w:tblPr>
              <w:tblStyle w:val="22"/>
              <w:tblW w:w="85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69"/>
              <w:gridCol w:w="1559"/>
              <w:gridCol w:w="1136"/>
              <w:gridCol w:w="1220"/>
              <w:gridCol w:w="1220"/>
              <w:gridCol w:w="1220"/>
              <w:gridCol w:w="121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69" w:type="dxa"/>
                  <w:shd w:val="clear" w:color="auto" w:fill="auto"/>
                  <w:vAlign w:val="center"/>
                </w:tcPr>
                <w:p>
                  <w:pPr>
                    <w:autoSpaceDE w:val="0"/>
                    <w:autoSpaceDN w:val="0"/>
                    <w:adjustRightInd w:val="0"/>
                    <w:spacing w:line="360" w:lineRule="exact"/>
                    <w:jc w:val="center"/>
                    <w:rPr>
                      <w:szCs w:val="21"/>
                    </w:rPr>
                  </w:pPr>
                  <w:r>
                    <w:rPr>
                      <w:rFonts w:hint="eastAsia"/>
                      <w:szCs w:val="21"/>
                    </w:rPr>
                    <w:t>序号</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材料名称</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单位</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一次最大存放量</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年用量</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存放方式</w:t>
                  </w:r>
                </w:p>
              </w:tc>
              <w:tc>
                <w:tcPr>
                  <w:tcW w:w="1216" w:type="dxa"/>
                  <w:shd w:val="clear" w:color="auto" w:fill="auto"/>
                  <w:vAlign w:val="center"/>
                </w:tcPr>
                <w:p>
                  <w:pPr>
                    <w:autoSpaceDE w:val="0"/>
                    <w:autoSpaceDN w:val="0"/>
                    <w:adjustRightInd w:val="0"/>
                    <w:spacing w:line="360" w:lineRule="exact"/>
                    <w:jc w:val="center"/>
                    <w:rPr>
                      <w:szCs w:val="21"/>
                    </w:rPr>
                  </w:pPr>
                  <w:r>
                    <w:rPr>
                      <w:rFonts w:hint="eastAsia"/>
                      <w:szCs w:val="21"/>
                    </w:rPr>
                    <w:t>存放位置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69" w:type="dxa"/>
                  <w:shd w:val="clear" w:color="auto" w:fill="auto"/>
                  <w:vAlign w:val="center"/>
                </w:tcPr>
                <w:p>
                  <w:pPr>
                    <w:autoSpaceDE w:val="0"/>
                    <w:autoSpaceDN w:val="0"/>
                    <w:adjustRightInd w:val="0"/>
                    <w:spacing w:line="360" w:lineRule="exact"/>
                    <w:jc w:val="center"/>
                    <w:rPr>
                      <w:szCs w:val="21"/>
                    </w:rPr>
                  </w:pPr>
                  <w:r>
                    <w:rPr>
                      <w:rFonts w:hint="eastAsia"/>
                      <w:szCs w:val="21"/>
                    </w:rPr>
                    <w:t>1</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硝铵炸药</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t</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1336</w:t>
                  </w:r>
                </w:p>
              </w:tc>
              <w:tc>
                <w:tcPr>
                  <w:tcW w:w="2436" w:type="dxa"/>
                  <w:gridSpan w:val="2"/>
                  <w:vMerge w:val="restart"/>
                  <w:shd w:val="clear" w:color="auto" w:fill="auto"/>
                  <w:vAlign w:val="center"/>
                </w:tcPr>
                <w:p>
                  <w:pPr>
                    <w:autoSpaceDE w:val="0"/>
                    <w:autoSpaceDN w:val="0"/>
                    <w:adjustRightInd w:val="0"/>
                    <w:spacing w:line="360" w:lineRule="exact"/>
                    <w:jc w:val="center"/>
                    <w:rPr>
                      <w:szCs w:val="21"/>
                    </w:rPr>
                  </w:pPr>
                  <w:r>
                    <w:rPr>
                      <w:rFonts w:hint="eastAsia"/>
                      <w:szCs w:val="21"/>
                    </w:rPr>
                    <w:t>不暂存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69" w:type="dxa"/>
                  <w:shd w:val="clear" w:color="auto" w:fill="auto"/>
                  <w:vAlign w:val="center"/>
                </w:tcPr>
                <w:p>
                  <w:pPr>
                    <w:spacing w:line="360" w:lineRule="exact"/>
                    <w:jc w:val="center"/>
                  </w:pPr>
                  <w:r>
                    <w:rPr>
                      <w:rFonts w:hint="eastAsia"/>
                    </w:rPr>
                    <w:t>2</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导爆管</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万米</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67</w:t>
                  </w:r>
                </w:p>
              </w:tc>
              <w:tc>
                <w:tcPr>
                  <w:tcW w:w="2436" w:type="dxa"/>
                  <w:gridSpan w:val="2"/>
                  <w:vMerge w:val="continue"/>
                  <w:shd w:val="clear" w:color="auto" w:fill="auto"/>
                  <w:vAlign w:val="center"/>
                </w:tcPr>
                <w:p>
                  <w:pPr>
                    <w:autoSpaceDE w:val="0"/>
                    <w:autoSpaceDN w:val="0"/>
                    <w:adjustRightInd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969" w:type="dxa"/>
                  <w:shd w:val="clear" w:color="auto" w:fill="auto"/>
                  <w:vAlign w:val="center"/>
                </w:tcPr>
                <w:p>
                  <w:pPr>
                    <w:spacing w:line="360" w:lineRule="exact"/>
                    <w:jc w:val="center"/>
                  </w:pPr>
                  <w:r>
                    <w:rPr>
                      <w:rFonts w:hint="eastAsia"/>
                    </w:rPr>
                    <w:t>3</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非电雷管</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只</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200430</w:t>
                  </w:r>
                </w:p>
              </w:tc>
              <w:tc>
                <w:tcPr>
                  <w:tcW w:w="2436" w:type="dxa"/>
                  <w:gridSpan w:val="2"/>
                  <w:vMerge w:val="continue"/>
                  <w:shd w:val="clear" w:color="auto" w:fill="auto"/>
                  <w:vAlign w:val="center"/>
                </w:tcPr>
                <w:p>
                  <w:pPr>
                    <w:autoSpaceDE w:val="0"/>
                    <w:autoSpaceDN w:val="0"/>
                    <w:adjustRightInd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69" w:type="dxa"/>
                  <w:shd w:val="clear" w:color="auto" w:fill="auto"/>
                  <w:vAlign w:val="center"/>
                </w:tcPr>
                <w:p>
                  <w:pPr>
                    <w:spacing w:line="360" w:lineRule="exact"/>
                    <w:jc w:val="center"/>
                  </w:pPr>
                  <w:r>
                    <w:rPr>
                      <w:rFonts w:hint="eastAsia"/>
                    </w:rPr>
                    <w:t>4</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钻头</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个</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20</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87</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16" w:type="dxa"/>
                  <w:shd w:val="clear" w:color="auto" w:fill="auto"/>
                  <w:vAlign w:val="center"/>
                </w:tcPr>
                <w:p>
                  <w:pPr>
                    <w:autoSpaceDE w:val="0"/>
                    <w:autoSpaceDN w:val="0"/>
                    <w:adjustRightInd w:val="0"/>
                    <w:spacing w:line="360" w:lineRule="exact"/>
                    <w:jc w:val="center"/>
                    <w:rPr>
                      <w:szCs w:val="21"/>
                    </w:rPr>
                  </w:pPr>
                  <w:r>
                    <w:rPr>
                      <w:rFonts w:hint="eastAsia"/>
                      <w:szCs w:val="21"/>
                    </w:rPr>
                    <w:t>机修区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69" w:type="dxa"/>
                  <w:shd w:val="clear" w:color="auto" w:fill="auto"/>
                  <w:vAlign w:val="center"/>
                </w:tcPr>
                <w:p>
                  <w:pPr>
                    <w:spacing w:line="360" w:lineRule="exact"/>
                    <w:jc w:val="center"/>
                  </w:pPr>
                  <w:r>
                    <w:rPr>
                      <w:rFonts w:hint="eastAsia"/>
                    </w:rPr>
                    <w:t>5</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钻杆</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根</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10</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40</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16" w:type="dxa"/>
                  <w:shd w:val="clear" w:color="auto" w:fill="auto"/>
                  <w:vAlign w:val="center"/>
                </w:tcPr>
                <w:p>
                  <w:pPr>
                    <w:autoSpaceDE w:val="0"/>
                    <w:autoSpaceDN w:val="0"/>
                    <w:adjustRightInd w:val="0"/>
                    <w:spacing w:line="360" w:lineRule="exact"/>
                    <w:jc w:val="center"/>
                    <w:rPr>
                      <w:szCs w:val="21"/>
                    </w:rPr>
                  </w:pPr>
                  <w:r>
                    <w:rPr>
                      <w:rFonts w:hint="eastAsia"/>
                      <w:szCs w:val="21"/>
                    </w:rPr>
                    <w:t>机修区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69" w:type="dxa"/>
                  <w:shd w:val="clear" w:color="auto" w:fill="auto"/>
                  <w:vAlign w:val="center"/>
                </w:tcPr>
                <w:p>
                  <w:pPr>
                    <w:spacing w:line="360" w:lineRule="exact"/>
                    <w:jc w:val="center"/>
                  </w:pPr>
                  <w:r>
                    <w:rPr>
                      <w:rFonts w:hint="eastAsia"/>
                    </w:rPr>
                    <w:t>6</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挖掘机牙尖</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只</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20</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120</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16" w:type="dxa"/>
                  <w:shd w:val="clear" w:color="auto" w:fill="auto"/>
                  <w:vAlign w:val="center"/>
                </w:tcPr>
                <w:p>
                  <w:pPr>
                    <w:autoSpaceDE w:val="0"/>
                    <w:autoSpaceDN w:val="0"/>
                    <w:adjustRightInd w:val="0"/>
                    <w:spacing w:line="360" w:lineRule="exact"/>
                    <w:jc w:val="center"/>
                    <w:rPr>
                      <w:szCs w:val="21"/>
                    </w:rPr>
                  </w:pPr>
                  <w:r>
                    <w:rPr>
                      <w:rFonts w:hint="eastAsia"/>
                      <w:szCs w:val="21"/>
                    </w:rPr>
                    <w:t>机修区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969" w:type="dxa"/>
                  <w:shd w:val="clear" w:color="auto" w:fill="auto"/>
                  <w:vAlign w:val="center"/>
                </w:tcPr>
                <w:p>
                  <w:pPr>
                    <w:spacing w:line="360" w:lineRule="exact"/>
                    <w:jc w:val="center"/>
                  </w:pPr>
                  <w:r>
                    <w:rPr>
                      <w:rFonts w:hint="eastAsia"/>
                    </w:rPr>
                    <w:t>7</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装载机机牙尖</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只</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5</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60</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16" w:type="dxa"/>
                  <w:shd w:val="clear" w:color="auto" w:fill="auto"/>
                  <w:vAlign w:val="center"/>
                </w:tcPr>
                <w:p>
                  <w:pPr>
                    <w:autoSpaceDE w:val="0"/>
                    <w:autoSpaceDN w:val="0"/>
                    <w:adjustRightInd w:val="0"/>
                    <w:spacing w:line="360" w:lineRule="exact"/>
                    <w:jc w:val="center"/>
                    <w:rPr>
                      <w:szCs w:val="21"/>
                    </w:rPr>
                  </w:pPr>
                  <w:r>
                    <w:rPr>
                      <w:rFonts w:hint="eastAsia"/>
                      <w:szCs w:val="21"/>
                    </w:rPr>
                    <w:t>机修区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69" w:type="dxa"/>
                  <w:shd w:val="clear" w:color="auto" w:fill="auto"/>
                  <w:vAlign w:val="center"/>
                </w:tcPr>
                <w:p>
                  <w:pPr>
                    <w:spacing w:line="360" w:lineRule="exact"/>
                    <w:jc w:val="center"/>
                  </w:pPr>
                  <w:r>
                    <w:rPr>
                      <w:rFonts w:hint="eastAsia"/>
                    </w:rPr>
                    <w:t>8</w:t>
                  </w:r>
                </w:p>
              </w:tc>
              <w:tc>
                <w:tcPr>
                  <w:tcW w:w="1559" w:type="dxa"/>
                  <w:shd w:val="clear" w:color="auto" w:fill="auto"/>
                  <w:vAlign w:val="center"/>
                </w:tcPr>
                <w:p>
                  <w:pPr>
                    <w:autoSpaceDE w:val="0"/>
                    <w:autoSpaceDN w:val="0"/>
                    <w:adjustRightInd w:val="0"/>
                    <w:spacing w:line="360" w:lineRule="exact"/>
                    <w:jc w:val="center"/>
                    <w:rPr>
                      <w:szCs w:val="21"/>
                    </w:rPr>
                  </w:pPr>
                  <w:r>
                    <w:rPr>
                      <w:rFonts w:hint="eastAsia"/>
                      <w:szCs w:val="21"/>
                    </w:rPr>
                    <w:t>推土机牙尖</w:t>
                  </w:r>
                </w:p>
              </w:tc>
              <w:tc>
                <w:tcPr>
                  <w:tcW w:w="1136" w:type="dxa"/>
                  <w:shd w:val="clear" w:color="auto" w:fill="auto"/>
                  <w:vAlign w:val="center"/>
                </w:tcPr>
                <w:p>
                  <w:pPr>
                    <w:autoSpaceDE w:val="0"/>
                    <w:autoSpaceDN w:val="0"/>
                    <w:adjustRightInd w:val="0"/>
                    <w:spacing w:line="360" w:lineRule="exact"/>
                    <w:jc w:val="center"/>
                    <w:rPr>
                      <w:szCs w:val="21"/>
                    </w:rPr>
                  </w:pPr>
                  <w:r>
                    <w:rPr>
                      <w:rFonts w:hint="eastAsia"/>
                      <w:szCs w:val="21"/>
                    </w:rPr>
                    <w:t>只</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5</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60</w:t>
                  </w:r>
                </w:p>
              </w:tc>
              <w:tc>
                <w:tcPr>
                  <w:tcW w:w="1220" w:type="dxa"/>
                  <w:shd w:val="clear" w:color="auto" w:fill="auto"/>
                  <w:vAlign w:val="center"/>
                </w:tcPr>
                <w:p>
                  <w:pPr>
                    <w:autoSpaceDE w:val="0"/>
                    <w:autoSpaceDN w:val="0"/>
                    <w:adjustRightInd w:val="0"/>
                    <w:spacing w:line="360" w:lineRule="exact"/>
                    <w:jc w:val="center"/>
                    <w:rPr>
                      <w:szCs w:val="21"/>
                    </w:rPr>
                  </w:pPr>
                  <w:r>
                    <w:rPr>
                      <w:rFonts w:hint="eastAsia"/>
                      <w:szCs w:val="21"/>
                    </w:rPr>
                    <w:t>/</w:t>
                  </w:r>
                </w:p>
              </w:tc>
              <w:tc>
                <w:tcPr>
                  <w:tcW w:w="1216" w:type="dxa"/>
                  <w:shd w:val="clear" w:color="auto" w:fill="auto"/>
                  <w:vAlign w:val="center"/>
                </w:tcPr>
                <w:p>
                  <w:pPr>
                    <w:autoSpaceDE w:val="0"/>
                    <w:autoSpaceDN w:val="0"/>
                    <w:adjustRightInd w:val="0"/>
                    <w:spacing w:line="360" w:lineRule="exact"/>
                    <w:jc w:val="center"/>
                    <w:rPr>
                      <w:szCs w:val="21"/>
                    </w:rPr>
                  </w:pPr>
                  <w:r>
                    <w:rPr>
                      <w:rFonts w:hint="eastAsia"/>
                      <w:szCs w:val="21"/>
                    </w:rPr>
                    <w:t>机修区</w:t>
                  </w:r>
                </w:p>
              </w:tc>
            </w:tr>
          </w:tbl>
          <w:p>
            <w:pPr>
              <w:spacing w:line="360" w:lineRule="auto"/>
              <w:ind w:firstLine="480"/>
              <w:rPr>
                <w:b/>
                <w:kern w:val="1"/>
                <w:sz w:val="24"/>
              </w:rPr>
            </w:pPr>
            <w:r>
              <w:rPr>
                <w:rFonts w:hint="eastAsia"/>
                <w:b/>
                <w:kern w:val="1"/>
                <w:sz w:val="24"/>
              </w:rPr>
              <w:t>（2）能耗</w:t>
            </w:r>
          </w:p>
          <w:p>
            <w:pPr>
              <w:pStyle w:val="7"/>
              <w:spacing w:line="360" w:lineRule="auto"/>
              <w:ind w:firstLine="480"/>
              <w:rPr>
                <w:sz w:val="24"/>
                <w:szCs w:val="24"/>
              </w:rPr>
            </w:pPr>
            <w:r>
              <w:rPr>
                <w:rFonts w:hint="eastAsia"/>
                <w:sz w:val="24"/>
                <w:szCs w:val="24"/>
              </w:rPr>
              <w:t>本项目生产过程所用能耗为新鲜水、柴油和电，总能源消耗情况见下表。</w:t>
            </w:r>
          </w:p>
          <w:p>
            <w:pPr>
              <w:pStyle w:val="50"/>
              <w:numPr>
                <w:ilvl w:val="0"/>
                <w:numId w:val="2"/>
              </w:numPr>
              <w:snapToGrid w:val="0"/>
              <w:spacing w:line="240" w:lineRule="auto"/>
              <w:ind w:firstLineChars="0"/>
              <w:jc w:val="center"/>
              <w:rPr>
                <w:b/>
                <w:bCs/>
              </w:rPr>
            </w:pPr>
            <w:r>
              <w:rPr>
                <w:rFonts w:hint="eastAsia"/>
                <w:b/>
                <w:bCs/>
              </w:rPr>
              <w:t>项目能源消耗一览表</w:t>
            </w:r>
          </w:p>
          <w:tbl>
            <w:tblPr>
              <w:tblStyle w:val="22"/>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94"/>
              <w:gridCol w:w="1411"/>
              <w:gridCol w:w="1840"/>
              <w:gridCol w:w="1443"/>
              <w:gridCol w:w="30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794" w:type="dxa"/>
                  <w:shd w:val="clear" w:color="auto" w:fill="auto"/>
                  <w:vAlign w:val="center"/>
                </w:tcPr>
                <w:p>
                  <w:pPr>
                    <w:spacing w:line="360" w:lineRule="exact"/>
                    <w:jc w:val="center"/>
                    <w:rPr>
                      <w:b/>
                      <w:kern w:val="1"/>
                      <w:szCs w:val="21"/>
                    </w:rPr>
                  </w:pPr>
                  <w:r>
                    <w:rPr>
                      <w:rFonts w:hint="eastAsia"/>
                      <w:b/>
                      <w:kern w:val="1"/>
                      <w:szCs w:val="21"/>
                    </w:rPr>
                    <w:t>序号</w:t>
                  </w:r>
                </w:p>
              </w:tc>
              <w:tc>
                <w:tcPr>
                  <w:tcW w:w="1411" w:type="dxa"/>
                  <w:shd w:val="clear" w:color="auto" w:fill="auto"/>
                  <w:vAlign w:val="center"/>
                </w:tcPr>
                <w:p>
                  <w:pPr>
                    <w:spacing w:line="360" w:lineRule="exact"/>
                    <w:jc w:val="center"/>
                    <w:rPr>
                      <w:b/>
                      <w:kern w:val="1"/>
                      <w:szCs w:val="21"/>
                    </w:rPr>
                  </w:pPr>
                  <w:r>
                    <w:rPr>
                      <w:rFonts w:hint="eastAsia"/>
                      <w:b/>
                      <w:kern w:val="1"/>
                      <w:szCs w:val="21"/>
                    </w:rPr>
                    <w:t>能源品种</w:t>
                  </w:r>
                </w:p>
              </w:tc>
              <w:tc>
                <w:tcPr>
                  <w:tcW w:w="1840" w:type="dxa"/>
                  <w:shd w:val="clear" w:color="auto" w:fill="auto"/>
                  <w:vAlign w:val="center"/>
                </w:tcPr>
                <w:p>
                  <w:pPr>
                    <w:spacing w:line="360" w:lineRule="exact"/>
                    <w:jc w:val="center"/>
                    <w:rPr>
                      <w:b/>
                      <w:kern w:val="1"/>
                      <w:szCs w:val="21"/>
                    </w:rPr>
                  </w:pPr>
                  <w:r>
                    <w:rPr>
                      <w:rFonts w:hint="eastAsia"/>
                      <w:b/>
                      <w:kern w:val="1"/>
                      <w:szCs w:val="21"/>
                    </w:rPr>
                    <w:t>单位</w:t>
                  </w:r>
                </w:p>
              </w:tc>
              <w:tc>
                <w:tcPr>
                  <w:tcW w:w="1443" w:type="dxa"/>
                  <w:shd w:val="clear" w:color="auto" w:fill="auto"/>
                  <w:vAlign w:val="center"/>
                </w:tcPr>
                <w:p>
                  <w:pPr>
                    <w:spacing w:line="360" w:lineRule="exact"/>
                    <w:jc w:val="center"/>
                    <w:rPr>
                      <w:b/>
                      <w:kern w:val="1"/>
                      <w:szCs w:val="21"/>
                    </w:rPr>
                  </w:pPr>
                  <w:r>
                    <w:rPr>
                      <w:rFonts w:hint="eastAsia"/>
                      <w:b/>
                      <w:kern w:val="1"/>
                      <w:szCs w:val="21"/>
                    </w:rPr>
                    <w:t>年用量</w:t>
                  </w:r>
                </w:p>
              </w:tc>
              <w:tc>
                <w:tcPr>
                  <w:tcW w:w="3052" w:type="dxa"/>
                  <w:shd w:val="clear" w:color="auto" w:fill="auto"/>
                  <w:vAlign w:val="center"/>
                </w:tcPr>
                <w:p>
                  <w:pPr>
                    <w:spacing w:line="360" w:lineRule="exact"/>
                    <w:jc w:val="center"/>
                    <w:rPr>
                      <w:b/>
                      <w:kern w:val="1"/>
                      <w:szCs w:val="21"/>
                    </w:rPr>
                  </w:pPr>
                  <w:r>
                    <w:rPr>
                      <w:rFonts w:hint="eastAsia"/>
                      <w:b/>
                      <w:kern w:val="1"/>
                      <w:szCs w:val="21"/>
                    </w:rPr>
                    <w:t>供应来源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794" w:type="dxa"/>
                  <w:shd w:val="clear" w:color="auto" w:fill="auto"/>
                  <w:vAlign w:val="center"/>
                </w:tcPr>
                <w:p>
                  <w:pPr>
                    <w:pStyle w:val="7"/>
                    <w:spacing w:line="360" w:lineRule="exact"/>
                    <w:ind w:firstLine="0"/>
                    <w:jc w:val="center"/>
                    <w:rPr>
                      <w:szCs w:val="21"/>
                    </w:rPr>
                  </w:pPr>
                  <w:r>
                    <w:rPr>
                      <w:rFonts w:hint="eastAsia"/>
                      <w:szCs w:val="21"/>
                    </w:rPr>
                    <w:t>1</w:t>
                  </w:r>
                </w:p>
              </w:tc>
              <w:tc>
                <w:tcPr>
                  <w:tcW w:w="1411" w:type="dxa"/>
                  <w:shd w:val="clear" w:color="auto" w:fill="auto"/>
                  <w:vAlign w:val="center"/>
                </w:tcPr>
                <w:p>
                  <w:pPr>
                    <w:pStyle w:val="7"/>
                    <w:spacing w:line="360" w:lineRule="exact"/>
                    <w:ind w:firstLine="0"/>
                    <w:jc w:val="center"/>
                    <w:rPr>
                      <w:szCs w:val="21"/>
                    </w:rPr>
                  </w:pPr>
                  <w:r>
                    <w:rPr>
                      <w:rFonts w:hint="eastAsia"/>
                      <w:szCs w:val="21"/>
                    </w:rPr>
                    <w:t>电</w:t>
                  </w:r>
                </w:p>
              </w:tc>
              <w:tc>
                <w:tcPr>
                  <w:tcW w:w="1840" w:type="dxa"/>
                  <w:shd w:val="clear" w:color="auto" w:fill="auto"/>
                  <w:vAlign w:val="center"/>
                </w:tcPr>
                <w:p>
                  <w:pPr>
                    <w:spacing w:line="360" w:lineRule="exact"/>
                    <w:jc w:val="center"/>
                    <w:rPr>
                      <w:kern w:val="1"/>
                      <w:szCs w:val="21"/>
                    </w:rPr>
                  </w:pPr>
                  <w:r>
                    <w:rPr>
                      <w:rFonts w:hint="eastAsia"/>
                      <w:kern w:val="1"/>
                      <w:szCs w:val="21"/>
                    </w:rPr>
                    <w:t>万kWh</w:t>
                  </w:r>
                  <w:r>
                    <w:rPr>
                      <w:rFonts w:hint="eastAsia"/>
                      <w:szCs w:val="21"/>
                    </w:rPr>
                    <w:t>/a</w:t>
                  </w:r>
                </w:p>
              </w:tc>
              <w:tc>
                <w:tcPr>
                  <w:tcW w:w="1443" w:type="dxa"/>
                  <w:shd w:val="clear" w:color="auto" w:fill="auto"/>
                  <w:vAlign w:val="center"/>
                </w:tcPr>
                <w:p>
                  <w:pPr>
                    <w:pStyle w:val="7"/>
                    <w:spacing w:line="360" w:lineRule="exact"/>
                    <w:ind w:firstLine="0"/>
                    <w:jc w:val="center"/>
                    <w:rPr>
                      <w:szCs w:val="21"/>
                    </w:rPr>
                  </w:pPr>
                  <w:r>
                    <w:rPr>
                      <w:rFonts w:hint="eastAsia"/>
                      <w:szCs w:val="21"/>
                    </w:rPr>
                    <w:t>762</w:t>
                  </w:r>
                </w:p>
              </w:tc>
              <w:tc>
                <w:tcPr>
                  <w:tcW w:w="3052" w:type="dxa"/>
                  <w:shd w:val="clear" w:color="auto" w:fill="auto"/>
                  <w:vAlign w:val="center"/>
                </w:tcPr>
                <w:p>
                  <w:pPr>
                    <w:pStyle w:val="7"/>
                    <w:spacing w:line="360" w:lineRule="exact"/>
                    <w:ind w:firstLine="0"/>
                    <w:jc w:val="center"/>
                    <w:rPr>
                      <w:szCs w:val="21"/>
                    </w:rPr>
                  </w:pPr>
                  <w:r>
                    <w:rPr>
                      <w:rFonts w:hint="eastAsia"/>
                      <w:szCs w:val="21"/>
                    </w:rPr>
                    <w:t>汪家河变电站接入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794" w:type="dxa"/>
                  <w:shd w:val="clear" w:color="auto" w:fill="auto"/>
                  <w:vAlign w:val="center"/>
                </w:tcPr>
                <w:p>
                  <w:pPr>
                    <w:pStyle w:val="7"/>
                    <w:spacing w:line="360" w:lineRule="exact"/>
                    <w:ind w:firstLine="0"/>
                    <w:jc w:val="center"/>
                    <w:rPr>
                      <w:szCs w:val="21"/>
                    </w:rPr>
                  </w:pPr>
                  <w:r>
                    <w:rPr>
                      <w:rFonts w:hint="eastAsia"/>
                      <w:szCs w:val="21"/>
                    </w:rPr>
                    <w:t>2</w:t>
                  </w:r>
                </w:p>
              </w:tc>
              <w:tc>
                <w:tcPr>
                  <w:tcW w:w="1411" w:type="dxa"/>
                  <w:shd w:val="clear" w:color="auto" w:fill="auto"/>
                  <w:vAlign w:val="center"/>
                </w:tcPr>
                <w:p>
                  <w:pPr>
                    <w:pStyle w:val="7"/>
                    <w:spacing w:line="360" w:lineRule="exact"/>
                    <w:ind w:firstLine="0"/>
                    <w:jc w:val="center"/>
                    <w:rPr>
                      <w:szCs w:val="21"/>
                    </w:rPr>
                  </w:pPr>
                  <w:r>
                    <w:rPr>
                      <w:rFonts w:hint="eastAsia"/>
                      <w:szCs w:val="21"/>
                    </w:rPr>
                    <w:t>新鲜水</w:t>
                  </w:r>
                </w:p>
              </w:tc>
              <w:tc>
                <w:tcPr>
                  <w:tcW w:w="1840" w:type="dxa"/>
                  <w:shd w:val="clear" w:color="auto" w:fill="auto"/>
                  <w:vAlign w:val="center"/>
                </w:tcPr>
                <w:p>
                  <w:pPr>
                    <w:spacing w:line="360" w:lineRule="exact"/>
                    <w:jc w:val="center"/>
                    <w:rPr>
                      <w:kern w:val="1"/>
                      <w:szCs w:val="21"/>
                    </w:rPr>
                  </w:pPr>
                  <w:r>
                    <w:rPr>
                      <w:rFonts w:hint="eastAsia"/>
                      <w:szCs w:val="21"/>
                    </w:rPr>
                    <w:t>m</w:t>
                  </w:r>
                  <w:r>
                    <w:rPr>
                      <w:rFonts w:hint="eastAsia"/>
                      <w:szCs w:val="21"/>
                      <w:vertAlign w:val="superscript"/>
                    </w:rPr>
                    <w:t>3</w:t>
                  </w:r>
                  <w:r>
                    <w:rPr>
                      <w:rFonts w:hint="eastAsia"/>
                      <w:szCs w:val="21"/>
                    </w:rPr>
                    <w:t>/a</w:t>
                  </w:r>
                </w:p>
              </w:tc>
              <w:tc>
                <w:tcPr>
                  <w:tcW w:w="1443" w:type="dxa"/>
                  <w:shd w:val="clear" w:color="auto" w:fill="auto"/>
                  <w:vAlign w:val="center"/>
                </w:tcPr>
                <w:p>
                  <w:pPr>
                    <w:pStyle w:val="7"/>
                    <w:spacing w:line="360" w:lineRule="exact"/>
                    <w:ind w:firstLine="0"/>
                    <w:jc w:val="center"/>
                    <w:rPr>
                      <w:szCs w:val="21"/>
                    </w:rPr>
                  </w:pPr>
                  <w:r>
                    <w:rPr>
                      <w:rFonts w:hint="eastAsia"/>
                      <w:szCs w:val="21"/>
                    </w:rPr>
                    <w:t>4961.1</w:t>
                  </w:r>
                </w:p>
              </w:tc>
              <w:tc>
                <w:tcPr>
                  <w:tcW w:w="3052" w:type="dxa"/>
                  <w:shd w:val="clear" w:color="auto" w:fill="auto"/>
                  <w:vAlign w:val="center"/>
                </w:tcPr>
                <w:p>
                  <w:pPr>
                    <w:spacing w:line="360" w:lineRule="exact"/>
                    <w:jc w:val="center"/>
                    <w:rPr>
                      <w:kern w:val="1"/>
                      <w:szCs w:val="21"/>
                    </w:rPr>
                  </w:pPr>
                  <w:r>
                    <w:rPr>
                      <w:rFonts w:hint="eastAsia"/>
                      <w:kern w:val="1"/>
                      <w:szCs w:val="21"/>
                    </w:rPr>
                    <w:t>由汽车自韦州镇拉运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794" w:type="dxa"/>
                  <w:shd w:val="clear" w:color="auto" w:fill="auto"/>
                  <w:vAlign w:val="center"/>
                </w:tcPr>
                <w:p>
                  <w:pPr>
                    <w:pStyle w:val="7"/>
                    <w:spacing w:line="360" w:lineRule="exact"/>
                    <w:ind w:firstLine="0"/>
                    <w:jc w:val="center"/>
                    <w:rPr>
                      <w:szCs w:val="21"/>
                    </w:rPr>
                  </w:pPr>
                  <w:r>
                    <w:rPr>
                      <w:rFonts w:hint="eastAsia"/>
                      <w:szCs w:val="21"/>
                    </w:rPr>
                    <w:t>3</w:t>
                  </w:r>
                </w:p>
              </w:tc>
              <w:tc>
                <w:tcPr>
                  <w:tcW w:w="1411" w:type="dxa"/>
                  <w:shd w:val="clear" w:color="auto" w:fill="auto"/>
                  <w:vAlign w:val="center"/>
                </w:tcPr>
                <w:p>
                  <w:pPr>
                    <w:pStyle w:val="7"/>
                    <w:spacing w:line="360" w:lineRule="exact"/>
                    <w:ind w:firstLine="0"/>
                    <w:jc w:val="center"/>
                    <w:rPr>
                      <w:szCs w:val="21"/>
                    </w:rPr>
                  </w:pPr>
                  <w:r>
                    <w:rPr>
                      <w:rFonts w:hint="eastAsia"/>
                      <w:szCs w:val="21"/>
                    </w:rPr>
                    <w:t>柴油</w:t>
                  </w:r>
                </w:p>
              </w:tc>
              <w:tc>
                <w:tcPr>
                  <w:tcW w:w="1840" w:type="dxa"/>
                  <w:shd w:val="clear" w:color="auto" w:fill="auto"/>
                  <w:vAlign w:val="center"/>
                </w:tcPr>
                <w:p>
                  <w:pPr>
                    <w:spacing w:line="360" w:lineRule="exact"/>
                    <w:jc w:val="center"/>
                    <w:rPr>
                      <w:szCs w:val="21"/>
                    </w:rPr>
                  </w:pPr>
                  <w:r>
                    <w:rPr>
                      <w:rFonts w:hint="eastAsia"/>
                      <w:szCs w:val="21"/>
                    </w:rPr>
                    <w:t>t/a</w:t>
                  </w:r>
                </w:p>
              </w:tc>
              <w:tc>
                <w:tcPr>
                  <w:tcW w:w="1443" w:type="dxa"/>
                  <w:shd w:val="clear" w:color="auto" w:fill="auto"/>
                  <w:vAlign w:val="center"/>
                </w:tcPr>
                <w:p>
                  <w:pPr>
                    <w:pStyle w:val="7"/>
                    <w:spacing w:line="360" w:lineRule="exact"/>
                    <w:ind w:firstLine="0"/>
                    <w:jc w:val="center"/>
                    <w:rPr>
                      <w:szCs w:val="21"/>
                    </w:rPr>
                  </w:pPr>
                  <w:r>
                    <w:rPr>
                      <w:szCs w:val="21"/>
                    </w:rPr>
                    <w:t>2379</w:t>
                  </w:r>
                </w:p>
              </w:tc>
              <w:tc>
                <w:tcPr>
                  <w:tcW w:w="3052" w:type="dxa"/>
                  <w:shd w:val="clear" w:color="auto" w:fill="auto"/>
                  <w:vAlign w:val="center"/>
                </w:tcPr>
                <w:p>
                  <w:pPr>
                    <w:spacing w:line="360" w:lineRule="exact"/>
                    <w:jc w:val="center"/>
                    <w:rPr>
                      <w:kern w:val="1"/>
                      <w:szCs w:val="21"/>
                    </w:rPr>
                  </w:pPr>
                  <w:r>
                    <w:rPr>
                      <w:rFonts w:hint="eastAsia"/>
                      <w:kern w:val="1"/>
                      <w:szCs w:val="21"/>
                    </w:rPr>
                    <w:t>采用1</w:t>
                  </w:r>
                  <w:r>
                    <w:rPr>
                      <w:kern w:val="1"/>
                      <w:szCs w:val="21"/>
                    </w:rPr>
                    <w:t>0t</w:t>
                  </w:r>
                  <w:r>
                    <w:rPr>
                      <w:rFonts w:hint="eastAsia"/>
                      <w:kern w:val="1"/>
                      <w:szCs w:val="21"/>
                    </w:rPr>
                    <w:t>加油车从周边柴油站现用现购，不储存</w:t>
                  </w:r>
                </w:p>
              </w:tc>
            </w:tr>
          </w:tbl>
          <w:p>
            <w:pPr>
              <w:spacing w:line="360" w:lineRule="auto"/>
              <w:ind w:firstLine="480"/>
              <w:rPr>
                <w:b/>
                <w:bCs/>
                <w:kern w:val="1"/>
                <w:sz w:val="24"/>
              </w:rPr>
            </w:pPr>
            <w:r>
              <w:rPr>
                <w:rFonts w:hint="eastAsia"/>
                <w:b/>
                <w:bCs/>
                <w:kern w:val="1"/>
                <w:sz w:val="24"/>
              </w:rPr>
              <w:t>（3）生产设备</w:t>
            </w:r>
          </w:p>
          <w:p>
            <w:pPr>
              <w:spacing w:line="360" w:lineRule="auto"/>
              <w:ind w:firstLine="480"/>
              <w:rPr>
                <w:kern w:val="1"/>
                <w:sz w:val="24"/>
              </w:rPr>
            </w:pPr>
            <w:r>
              <w:rPr>
                <w:rFonts w:hint="eastAsia"/>
                <w:sz w:val="24"/>
              </w:rPr>
              <w:t>本项目的主要开采设备为自卸汽车等，项目主要生产设备的参数及数量情况</w:t>
            </w:r>
            <w:r>
              <w:rPr>
                <w:rFonts w:hint="eastAsia"/>
                <w:kern w:val="1"/>
                <w:sz w:val="24"/>
              </w:rPr>
              <w:t>见下表。</w:t>
            </w:r>
          </w:p>
          <w:p>
            <w:pPr>
              <w:pStyle w:val="50"/>
              <w:numPr>
                <w:ilvl w:val="0"/>
                <w:numId w:val="2"/>
              </w:numPr>
              <w:snapToGrid w:val="0"/>
              <w:spacing w:line="240" w:lineRule="auto"/>
              <w:ind w:firstLineChars="0"/>
              <w:jc w:val="center"/>
              <w:rPr>
                <w:b/>
                <w:bCs/>
              </w:rPr>
            </w:pPr>
            <w:r>
              <w:rPr>
                <w:rFonts w:hint="eastAsia"/>
                <w:b/>
                <w:bCs/>
              </w:rPr>
              <w:t>本项目主要设备一览表</w:t>
            </w:r>
          </w:p>
          <w:tbl>
            <w:tblPr>
              <w:tblStyle w:val="22"/>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06"/>
              <w:gridCol w:w="493"/>
              <w:gridCol w:w="1470"/>
              <w:gridCol w:w="1488"/>
              <w:gridCol w:w="495"/>
              <w:gridCol w:w="495"/>
              <w:gridCol w:w="30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shd w:val="clear" w:color="auto" w:fill="auto"/>
                  <w:vAlign w:val="center"/>
                </w:tcPr>
                <w:p>
                  <w:pPr>
                    <w:spacing w:line="360" w:lineRule="exact"/>
                    <w:jc w:val="center"/>
                    <w:rPr>
                      <w:kern w:val="0"/>
                      <w:szCs w:val="21"/>
                    </w:rPr>
                  </w:pPr>
                  <w:r>
                    <w:rPr>
                      <w:rFonts w:hint="eastAsia"/>
                      <w:kern w:val="0"/>
                      <w:szCs w:val="21"/>
                    </w:rPr>
                    <w:t>生产工艺</w:t>
                  </w:r>
                </w:p>
              </w:tc>
              <w:tc>
                <w:tcPr>
                  <w:tcW w:w="493" w:type="dxa"/>
                  <w:shd w:val="clear" w:color="auto" w:fill="auto"/>
                  <w:vAlign w:val="center"/>
                </w:tcPr>
                <w:p>
                  <w:pPr>
                    <w:spacing w:line="360" w:lineRule="exact"/>
                    <w:jc w:val="center"/>
                    <w:rPr>
                      <w:kern w:val="0"/>
                      <w:szCs w:val="21"/>
                    </w:rPr>
                  </w:pPr>
                  <w:r>
                    <w:rPr>
                      <w:rFonts w:hint="eastAsia"/>
                      <w:kern w:val="0"/>
                      <w:szCs w:val="21"/>
                    </w:rPr>
                    <w:t>序号</w:t>
                  </w:r>
                </w:p>
              </w:tc>
              <w:tc>
                <w:tcPr>
                  <w:tcW w:w="1470" w:type="dxa"/>
                  <w:shd w:val="clear" w:color="auto" w:fill="auto"/>
                  <w:vAlign w:val="center"/>
                </w:tcPr>
                <w:p>
                  <w:pPr>
                    <w:spacing w:line="360" w:lineRule="exact"/>
                    <w:jc w:val="center"/>
                    <w:rPr>
                      <w:kern w:val="0"/>
                      <w:szCs w:val="21"/>
                    </w:rPr>
                  </w:pPr>
                  <w:r>
                    <w:rPr>
                      <w:rFonts w:hint="eastAsia"/>
                      <w:kern w:val="0"/>
                      <w:szCs w:val="21"/>
                    </w:rPr>
                    <w:t>设备名称</w:t>
                  </w:r>
                </w:p>
              </w:tc>
              <w:tc>
                <w:tcPr>
                  <w:tcW w:w="1488" w:type="dxa"/>
                  <w:shd w:val="clear" w:color="auto" w:fill="auto"/>
                  <w:vAlign w:val="center"/>
                </w:tcPr>
                <w:p>
                  <w:pPr>
                    <w:spacing w:line="360" w:lineRule="exact"/>
                    <w:jc w:val="center"/>
                    <w:rPr>
                      <w:kern w:val="0"/>
                      <w:szCs w:val="21"/>
                    </w:rPr>
                  </w:pPr>
                  <w:r>
                    <w:rPr>
                      <w:rFonts w:hint="eastAsia"/>
                      <w:kern w:val="0"/>
                      <w:szCs w:val="21"/>
                    </w:rPr>
                    <w:t>规格型号</w:t>
                  </w:r>
                </w:p>
              </w:tc>
              <w:tc>
                <w:tcPr>
                  <w:tcW w:w="495" w:type="dxa"/>
                  <w:shd w:val="clear" w:color="auto" w:fill="auto"/>
                  <w:vAlign w:val="center"/>
                </w:tcPr>
                <w:p>
                  <w:pPr>
                    <w:spacing w:line="360" w:lineRule="exact"/>
                    <w:jc w:val="center"/>
                    <w:rPr>
                      <w:kern w:val="0"/>
                      <w:szCs w:val="21"/>
                    </w:rPr>
                  </w:pPr>
                  <w:r>
                    <w:rPr>
                      <w:rFonts w:hint="eastAsia"/>
                      <w:kern w:val="0"/>
                      <w:szCs w:val="21"/>
                    </w:rPr>
                    <w:t>单位</w:t>
                  </w:r>
                </w:p>
              </w:tc>
              <w:tc>
                <w:tcPr>
                  <w:tcW w:w="495" w:type="dxa"/>
                  <w:shd w:val="clear" w:color="auto" w:fill="auto"/>
                  <w:vAlign w:val="center"/>
                </w:tcPr>
                <w:p>
                  <w:pPr>
                    <w:spacing w:line="360" w:lineRule="exact"/>
                    <w:jc w:val="center"/>
                    <w:rPr>
                      <w:kern w:val="0"/>
                      <w:szCs w:val="21"/>
                    </w:rPr>
                  </w:pPr>
                  <w:r>
                    <w:rPr>
                      <w:rFonts w:hint="eastAsia"/>
                      <w:kern w:val="0"/>
                      <w:szCs w:val="21"/>
                    </w:rPr>
                    <w:t>数量</w:t>
                  </w:r>
                </w:p>
              </w:tc>
              <w:tc>
                <w:tcPr>
                  <w:tcW w:w="3093" w:type="dxa"/>
                  <w:shd w:val="clear" w:color="auto" w:fill="auto"/>
                  <w:vAlign w:val="center"/>
                </w:tcPr>
                <w:p>
                  <w:pPr>
                    <w:spacing w:line="360" w:lineRule="exact"/>
                    <w:jc w:val="center"/>
                    <w:rPr>
                      <w:kern w:val="0"/>
                      <w:szCs w:val="21"/>
                    </w:rPr>
                  </w:pPr>
                  <w:r>
                    <w:rPr>
                      <w:rFonts w:hint="eastAsia"/>
                      <w:kern w:val="0"/>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restart"/>
                  <w:shd w:val="clear" w:color="auto" w:fill="auto"/>
                  <w:vAlign w:val="center"/>
                </w:tcPr>
                <w:p>
                  <w:pPr>
                    <w:spacing w:line="360" w:lineRule="exact"/>
                    <w:jc w:val="center"/>
                    <w:rPr>
                      <w:kern w:val="0"/>
                      <w:szCs w:val="21"/>
                    </w:rPr>
                  </w:pPr>
                  <w:r>
                    <w:rPr>
                      <w:rFonts w:hint="eastAsia"/>
                      <w:kern w:val="0"/>
                      <w:szCs w:val="21"/>
                    </w:rPr>
                    <w:t>露天开采</w:t>
                  </w:r>
                </w:p>
              </w:tc>
              <w:tc>
                <w:tcPr>
                  <w:tcW w:w="7534" w:type="dxa"/>
                  <w:gridSpan w:val="6"/>
                  <w:shd w:val="clear" w:color="auto" w:fill="auto"/>
                  <w:vAlign w:val="center"/>
                </w:tcPr>
                <w:p>
                  <w:pPr>
                    <w:spacing w:line="360" w:lineRule="exact"/>
                    <w:jc w:val="center"/>
                    <w:rPr>
                      <w:kern w:val="0"/>
                      <w:szCs w:val="21"/>
                    </w:rPr>
                  </w:pPr>
                  <w:r>
                    <w:rPr>
                      <w:rFonts w:hint="eastAsia"/>
                      <w:kern w:val="0"/>
                      <w:szCs w:val="21"/>
                    </w:rPr>
                    <w:t>采剥设备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w:t>
                  </w:r>
                </w:p>
              </w:tc>
              <w:tc>
                <w:tcPr>
                  <w:tcW w:w="1470" w:type="dxa"/>
                  <w:shd w:val="clear" w:color="auto" w:fill="auto"/>
                  <w:vAlign w:val="center"/>
                </w:tcPr>
                <w:p>
                  <w:pPr>
                    <w:spacing w:line="360" w:lineRule="exact"/>
                    <w:jc w:val="center"/>
                    <w:rPr>
                      <w:kern w:val="0"/>
                      <w:szCs w:val="21"/>
                    </w:rPr>
                  </w:pPr>
                  <w:r>
                    <w:rPr>
                      <w:rFonts w:hint="eastAsia"/>
                      <w:kern w:val="0"/>
                      <w:szCs w:val="21"/>
                    </w:rPr>
                    <w:t>潜孔钻机</w:t>
                  </w:r>
                </w:p>
              </w:tc>
              <w:tc>
                <w:tcPr>
                  <w:tcW w:w="1488" w:type="dxa"/>
                  <w:shd w:val="clear" w:color="auto" w:fill="auto"/>
                  <w:vAlign w:val="center"/>
                </w:tcPr>
                <w:p>
                  <w:pPr>
                    <w:spacing w:line="360" w:lineRule="exact"/>
                    <w:jc w:val="center"/>
                    <w:rPr>
                      <w:kern w:val="0"/>
                      <w:szCs w:val="21"/>
                    </w:rPr>
                  </w:pPr>
                  <w:r>
                    <w:rPr>
                      <w:rFonts w:hint="eastAsia"/>
                      <w:kern w:val="0"/>
                      <w:szCs w:val="21"/>
                    </w:rPr>
                    <w:t>孔径150mm</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6</w:t>
                  </w:r>
                </w:p>
              </w:tc>
              <w:tc>
                <w:tcPr>
                  <w:tcW w:w="3093" w:type="dxa"/>
                  <w:shd w:val="clear" w:color="auto" w:fill="auto"/>
                  <w:vAlign w:val="center"/>
                </w:tcPr>
                <w:p>
                  <w:pPr>
                    <w:spacing w:line="360" w:lineRule="exact"/>
                    <w:jc w:val="center"/>
                    <w:rPr>
                      <w:kern w:val="0"/>
                      <w:szCs w:val="21"/>
                    </w:rPr>
                  </w:pPr>
                  <w:r>
                    <w:rPr>
                      <w:rFonts w:hint="eastAsia"/>
                      <w:lang w:val="zh-CN"/>
                    </w:rPr>
                    <w:t>钻孔最大深度25m，剥离5台+采矿1台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2</w:t>
                  </w:r>
                </w:p>
              </w:tc>
              <w:tc>
                <w:tcPr>
                  <w:tcW w:w="1470" w:type="dxa"/>
                  <w:shd w:val="clear" w:color="auto" w:fill="auto"/>
                  <w:vAlign w:val="center"/>
                </w:tcPr>
                <w:p>
                  <w:pPr>
                    <w:spacing w:line="360" w:lineRule="exact"/>
                    <w:jc w:val="center"/>
                    <w:rPr>
                      <w:kern w:val="0"/>
                      <w:szCs w:val="21"/>
                    </w:rPr>
                  </w:pPr>
                  <w:r>
                    <w:rPr>
                      <w:rFonts w:hint="eastAsia"/>
                      <w:kern w:val="0"/>
                      <w:szCs w:val="21"/>
                    </w:rPr>
                    <w:t>液压挖掘机</w:t>
                  </w:r>
                </w:p>
              </w:tc>
              <w:tc>
                <w:tcPr>
                  <w:tcW w:w="1488" w:type="dxa"/>
                  <w:shd w:val="clear" w:color="auto" w:fill="auto"/>
                  <w:vAlign w:val="center"/>
                </w:tcPr>
                <w:p>
                  <w:pPr>
                    <w:spacing w:line="360" w:lineRule="exact"/>
                    <w:jc w:val="center"/>
                    <w:rPr>
                      <w:kern w:val="0"/>
                      <w:szCs w:val="21"/>
                    </w:rPr>
                  </w:pPr>
                  <w:r>
                    <w:rPr>
                      <w:rFonts w:hint="eastAsia"/>
                      <w:kern w:val="0"/>
                      <w:szCs w:val="21"/>
                    </w:rPr>
                    <w:t>斗容2m³</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7</w:t>
                  </w:r>
                </w:p>
              </w:tc>
              <w:tc>
                <w:tcPr>
                  <w:tcW w:w="3093" w:type="dxa"/>
                  <w:shd w:val="clear" w:color="auto" w:fill="auto"/>
                  <w:vAlign w:val="center"/>
                </w:tcPr>
                <w:p>
                  <w:pPr>
                    <w:spacing w:line="360" w:lineRule="exact"/>
                    <w:jc w:val="center"/>
                    <w:rPr>
                      <w:kern w:val="0"/>
                      <w:szCs w:val="21"/>
                    </w:rPr>
                  </w:pPr>
                  <w:r>
                    <w:rPr>
                      <w:rFonts w:hint="eastAsia"/>
                      <w:lang w:val="zh-CN"/>
                    </w:rPr>
                    <w:t>柴油机驱动，小时能力116.5</w:t>
                  </w:r>
                  <w:r>
                    <w:rPr>
                      <w:rFonts w:hint="eastAsia"/>
                    </w:rPr>
                    <w:t xml:space="preserve"> </w:t>
                  </w:r>
                  <w:r>
                    <w:rPr>
                      <w:rFonts w:hint="eastAsia"/>
                      <w:lang w:val="zh-CN"/>
                    </w:rPr>
                    <w:t>m</w:t>
                  </w:r>
                  <w:r>
                    <w:rPr>
                      <w:rFonts w:hint="eastAsia"/>
                      <w:vertAlign w:val="superscript"/>
                      <w:lang w:val="zh-CN"/>
                    </w:rPr>
                    <w:t>3</w:t>
                  </w:r>
                  <w:r>
                    <w:rPr>
                      <w:rFonts w:hint="eastAsia"/>
                      <w:lang w:val="zh-CN"/>
                    </w:rPr>
                    <w:t>/h，其中剥离6台+采矿1台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3</w:t>
                  </w:r>
                </w:p>
              </w:tc>
              <w:tc>
                <w:tcPr>
                  <w:tcW w:w="1470" w:type="dxa"/>
                  <w:shd w:val="clear" w:color="auto" w:fill="auto"/>
                  <w:vAlign w:val="center"/>
                </w:tcPr>
                <w:p>
                  <w:pPr>
                    <w:spacing w:line="360" w:lineRule="exact"/>
                    <w:jc w:val="center"/>
                    <w:rPr>
                      <w:kern w:val="0"/>
                      <w:szCs w:val="21"/>
                    </w:rPr>
                  </w:pPr>
                  <w:r>
                    <w:rPr>
                      <w:rFonts w:hint="eastAsia"/>
                      <w:kern w:val="0"/>
                      <w:szCs w:val="21"/>
                    </w:rPr>
                    <w:t>装载机</w:t>
                  </w:r>
                </w:p>
              </w:tc>
              <w:tc>
                <w:tcPr>
                  <w:tcW w:w="1488" w:type="dxa"/>
                  <w:shd w:val="clear" w:color="auto" w:fill="auto"/>
                  <w:vAlign w:val="center"/>
                </w:tcPr>
                <w:p>
                  <w:pPr>
                    <w:spacing w:line="360" w:lineRule="exact"/>
                    <w:jc w:val="center"/>
                    <w:rPr>
                      <w:kern w:val="0"/>
                      <w:szCs w:val="21"/>
                    </w:rPr>
                  </w:pPr>
                  <w:r>
                    <w:rPr>
                      <w:rFonts w:hint="eastAsia"/>
                      <w:kern w:val="0"/>
                      <w:szCs w:val="21"/>
                    </w:rPr>
                    <w:t>ZL-50</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3</w:t>
                  </w:r>
                </w:p>
              </w:tc>
              <w:tc>
                <w:tcPr>
                  <w:tcW w:w="3093" w:type="dxa"/>
                  <w:shd w:val="clear" w:color="auto" w:fill="auto"/>
                  <w:vAlign w:val="center"/>
                </w:tcPr>
                <w:p>
                  <w:pPr>
                    <w:spacing w:line="36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7534" w:type="dxa"/>
                  <w:gridSpan w:val="6"/>
                  <w:shd w:val="clear" w:color="auto" w:fill="auto"/>
                  <w:vAlign w:val="center"/>
                </w:tcPr>
                <w:p>
                  <w:pPr>
                    <w:spacing w:line="360" w:lineRule="exact"/>
                    <w:jc w:val="center"/>
                    <w:rPr>
                      <w:kern w:val="0"/>
                      <w:szCs w:val="21"/>
                    </w:rPr>
                  </w:pPr>
                  <w:r>
                    <w:rPr>
                      <w:rFonts w:hint="eastAsia"/>
                      <w:kern w:val="0"/>
                      <w:szCs w:val="21"/>
                    </w:rPr>
                    <w:t>运输设备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w:t>
                  </w:r>
                </w:p>
              </w:tc>
              <w:tc>
                <w:tcPr>
                  <w:tcW w:w="1470" w:type="dxa"/>
                  <w:shd w:val="clear" w:color="auto" w:fill="auto"/>
                  <w:vAlign w:val="center"/>
                </w:tcPr>
                <w:p>
                  <w:pPr>
                    <w:spacing w:line="360" w:lineRule="exact"/>
                    <w:jc w:val="center"/>
                    <w:rPr>
                      <w:kern w:val="0"/>
                      <w:szCs w:val="21"/>
                    </w:rPr>
                  </w:pPr>
                  <w:r>
                    <w:rPr>
                      <w:rFonts w:hint="eastAsia"/>
                      <w:kern w:val="0"/>
                      <w:szCs w:val="21"/>
                    </w:rPr>
                    <w:t>自卸卡车</w:t>
                  </w:r>
                </w:p>
              </w:tc>
              <w:tc>
                <w:tcPr>
                  <w:tcW w:w="1488" w:type="dxa"/>
                  <w:shd w:val="clear" w:color="auto" w:fill="auto"/>
                  <w:vAlign w:val="center"/>
                </w:tcPr>
                <w:p>
                  <w:pPr>
                    <w:spacing w:line="360" w:lineRule="exact"/>
                    <w:jc w:val="center"/>
                    <w:rPr>
                      <w:kern w:val="0"/>
                      <w:szCs w:val="21"/>
                    </w:rPr>
                  </w:pPr>
                  <w:r>
                    <w:rPr>
                      <w:rFonts w:hint="eastAsia"/>
                      <w:kern w:val="0"/>
                      <w:szCs w:val="21"/>
                    </w:rPr>
                    <w:t>载重32t</w:t>
                  </w:r>
                </w:p>
              </w:tc>
              <w:tc>
                <w:tcPr>
                  <w:tcW w:w="495" w:type="dxa"/>
                  <w:shd w:val="clear" w:color="auto" w:fill="auto"/>
                  <w:vAlign w:val="center"/>
                </w:tcPr>
                <w:p>
                  <w:pPr>
                    <w:spacing w:line="360" w:lineRule="exact"/>
                    <w:jc w:val="center"/>
                    <w:rPr>
                      <w:kern w:val="0"/>
                      <w:szCs w:val="21"/>
                    </w:rPr>
                  </w:pPr>
                  <w:r>
                    <w:rPr>
                      <w:rFonts w:hint="eastAsia"/>
                      <w:kern w:val="0"/>
                      <w:szCs w:val="21"/>
                    </w:rPr>
                    <w:t>辆</w:t>
                  </w:r>
                </w:p>
              </w:tc>
              <w:tc>
                <w:tcPr>
                  <w:tcW w:w="495" w:type="dxa"/>
                  <w:shd w:val="clear" w:color="auto" w:fill="auto"/>
                  <w:vAlign w:val="center"/>
                </w:tcPr>
                <w:p>
                  <w:pPr>
                    <w:spacing w:line="360" w:lineRule="exact"/>
                    <w:jc w:val="center"/>
                    <w:rPr>
                      <w:kern w:val="0"/>
                      <w:szCs w:val="21"/>
                    </w:rPr>
                  </w:pPr>
                  <w:r>
                    <w:rPr>
                      <w:rFonts w:hint="eastAsia"/>
                      <w:kern w:val="0"/>
                      <w:szCs w:val="21"/>
                    </w:rPr>
                    <w:t>26</w:t>
                  </w:r>
                </w:p>
              </w:tc>
              <w:tc>
                <w:tcPr>
                  <w:tcW w:w="3093" w:type="dxa"/>
                  <w:shd w:val="clear" w:color="auto" w:fill="auto"/>
                  <w:vAlign w:val="center"/>
                </w:tcPr>
                <w:p>
                  <w:pPr>
                    <w:spacing w:line="360" w:lineRule="exact"/>
                    <w:jc w:val="center"/>
                    <w:rPr>
                      <w:kern w:val="0"/>
                      <w:szCs w:val="21"/>
                    </w:rPr>
                  </w:pPr>
                  <w:r>
                    <w:rPr>
                      <w:rFonts w:hint="eastAsia"/>
                      <w:lang w:val="zh-CN"/>
                    </w:rPr>
                    <w:t>运岩24台+运矿2台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7534" w:type="dxa"/>
                  <w:gridSpan w:val="6"/>
                  <w:shd w:val="clear" w:color="auto" w:fill="auto"/>
                  <w:vAlign w:val="center"/>
                </w:tcPr>
                <w:p>
                  <w:pPr>
                    <w:spacing w:line="360" w:lineRule="exact"/>
                    <w:jc w:val="center"/>
                    <w:rPr>
                      <w:kern w:val="0"/>
                      <w:szCs w:val="21"/>
                    </w:rPr>
                  </w:pPr>
                  <w:r>
                    <w:rPr>
                      <w:rFonts w:hint="eastAsia"/>
                      <w:kern w:val="0"/>
                      <w:szCs w:val="21"/>
                    </w:rPr>
                    <w:t>排土设备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w:t>
                  </w:r>
                </w:p>
              </w:tc>
              <w:tc>
                <w:tcPr>
                  <w:tcW w:w="1470" w:type="dxa"/>
                  <w:shd w:val="clear" w:color="auto" w:fill="auto"/>
                  <w:vAlign w:val="center"/>
                </w:tcPr>
                <w:p>
                  <w:pPr>
                    <w:spacing w:line="360" w:lineRule="exact"/>
                    <w:jc w:val="center"/>
                    <w:rPr>
                      <w:kern w:val="0"/>
                      <w:szCs w:val="21"/>
                    </w:rPr>
                  </w:pPr>
                  <w:r>
                    <w:rPr>
                      <w:rFonts w:hint="eastAsia"/>
                      <w:kern w:val="0"/>
                      <w:szCs w:val="21"/>
                    </w:rPr>
                    <w:t>推土机</w:t>
                  </w:r>
                </w:p>
              </w:tc>
              <w:tc>
                <w:tcPr>
                  <w:tcW w:w="1488" w:type="dxa"/>
                  <w:shd w:val="clear" w:color="auto" w:fill="auto"/>
                  <w:vAlign w:val="center"/>
                </w:tcPr>
                <w:p>
                  <w:pPr>
                    <w:spacing w:line="360" w:lineRule="exact"/>
                    <w:jc w:val="center"/>
                    <w:rPr>
                      <w:kern w:val="0"/>
                      <w:szCs w:val="21"/>
                    </w:rPr>
                  </w:pPr>
                  <w:r>
                    <w:rPr>
                      <w:rFonts w:hint="eastAsia"/>
                      <w:kern w:val="0"/>
                      <w:szCs w:val="21"/>
                    </w:rPr>
                    <w:t>120马力</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2</w:t>
                  </w:r>
                </w:p>
              </w:tc>
              <w:tc>
                <w:tcPr>
                  <w:tcW w:w="3093" w:type="dxa"/>
                  <w:shd w:val="clear" w:color="auto" w:fill="auto"/>
                  <w:vAlign w:val="center"/>
                </w:tcPr>
                <w:p>
                  <w:pPr>
                    <w:spacing w:line="36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7534" w:type="dxa"/>
                  <w:gridSpan w:val="6"/>
                  <w:shd w:val="clear" w:color="auto" w:fill="auto"/>
                  <w:vAlign w:val="center"/>
                </w:tcPr>
                <w:p>
                  <w:pPr>
                    <w:spacing w:line="360" w:lineRule="exact"/>
                    <w:jc w:val="center"/>
                    <w:rPr>
                      <w:kern w:val="0"/>
                      <w:szCs w:val="21"/>
                    </w:rPr>
                  </w:pPr>
                  <w:r>
                    <w:rPr>
                      <w:rFonts w:hint="eastAsia"/>
                      <w:kern w:val="0"/>
                      <w:szCs w:val="21"/>
                    </w:rPr>
                    <w:t>辅助设备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w:t>
                  </w:r>
                </w:p>
              </w:tc>
              <w:tc>
                <w:tcPr>
                  <w:tcW w:w="1470" w:type="dxa"/>
                  <w:shd w:val="clear" w:color="auto" w:fill="auto"/>
                  <w:vAlign w:val="center"/>
                </w:tcPr>
                <w:p>
                  <w:pPr>
                    <w:spacing w:line="360" w:lineRule="exact"/>
                    <w:jc w:val="center"/>
                    <w:rPr>
                      <w:kern w:val="0"/>
                      <w:szCs w:val="21"/>
                    </w:rPr>
                  </w:pPr>
                  <w:r>
                    <w:rPr>
                      <w:rFonts w:hint="eastAsia"/>
                      <w:kern w:val="0"/>
                      <w:szCs w:val="21"/>
                    </w:rPr>
                    <w:t>加油车</w:t>
                  </w:r>
                </w:p>
              </w:tc>
              <w:tc>
                <w:tcPr>
                  <w:tcW w:w="1488" w:type="dxa"/>
                  <w:shd w:val="clear" w:color="auto" w:fill="auto"/>
                  <w:vAlign w:val="center"/>
                </w:tcPr>
                <w:p>
                  <w:pPr>
                    <w:spacing w:line="360" w:lineRule="exact"/>
                    <w:jc w:val="center"/>
                    <w:rPr>
                      <w:kern w:val="0"/>
                      <w:szCs w:val="21"/>
                    </w:rPr>
                  </w:pPr>
                  <w:r>
                    <w:rPr>
                      <w:rFonts w:hint="eastAsia"/>
                      <w:kern w:val="0"/>
                      <w:szCs w:val="21"/>
                    </w:rPr>
                    <w:t>载重10t</w:t>
                  </w:r>
                </w:p>
              </w:tc>
              <w:tc>
                <w:tcPr>
                  <w:tcW w:w="495" w:type="dxa"/>
                  <w:shd w:val="clear" w:color="auto" w:fill="auto"/>
                  <w:vAlign w:val="center"/>
                </w:tcPr>
                <w:p>
                  <w:pPr>
                    <w:spacing w:line="360" w:lineRule="exact"/>
                    <w:jc w:val="center"/>
                    <w:rPr>
                      <w:kern w:val="0"/>
                      <w:szCs w:val="21"/>
                    </w:rPr>
                  </w:pPr>
                  <w:r>
                    <w:rPr>
                      <w:rFonts w:hint="eastAsia"/>
                      <w:kern w:val="0"/>
                      <w:szCs w:val="21"/>
                    </w:rPr>
                    <w:t>辆</w:t>
                  </w:r>
                </w:p>
              </w:tc>
              <w:tc>
                <w:tcPr>
                  <w:tcW w:w="495" w:type="dxa"/>
                  <w:shd w:val="clear" w:color="auto" w:fill="auto"/>
                  <w:vAlign w:val="center"/>
                </w:tcPr>
                <w:p>
                  <w:pPr>
                    <w:spacing w:line="360" w:lineRule="exact"/>
                    <w:jc w:val="center"/>
                    <w:rPr>
                      <w:kern w:val="0"/>
                      <w:szCs w:val="21"/>
                    </w:rPr>
                  </w:pPr>
                  <w:r>
                    <w:rPr>
                      <w:rFonts w:hint="eastAsia"/>
                      <w:kern w:val="0"/>
                      <w:szCs w:val="21"/>
                    </w:rPr>
                    <w:t>1</w:t>
                  </w:r>
                </w:p>
              </w:tc>
              <w:tc>
                <w:tcPr>
                  <w:tcW w:w="3093" w:type="dxa"/>
                  <w:shd w:val="clear" w:color="auto" w:fill="auto"/>
                  <w:vAlign w:val="center"/>
                </w:tcPr>
                <w:p>
                  <w:pPr>
                    <w:spacing w:line="36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2</w:t>
                  </w:r>
                </w:p>
              </w:tc>
              <w:tc>
                <w:tcPr>
                  <w:tcW w:w="1470" w:type="dxa"/>
                  <w:shd w:val="clear" w:color="auto" w:fill="auto"/>
                  <w:vAlign w:val="center"/>
                </w:tcPr>
                <w:p>
                  <w:pPr>
                    <w:spacing w:line="360" w:lineRule="exact"/>
                    <w:jc w:val="center"/>
                    <w:rPr>
                      <w:kern w:val="0"/>
                      <w:szCs w:val="21"/>
                    </w:rPr>
                  </w:pPr>
                  <w:r>
                    <w:rPr>
                      <w:rFonts w:hint="eastAsia"/>
                      <w:kern w:val="0"/>
                      <w:szCs w:val="21"/>
                    </w:rPr>
                    <w:t>消防洒水车</w:t>
                  </w:r>
                </w:p>
              </w:tc>
              <w:tc>
                <w:tcPr>
                  <w:tcW w:w="1488" w:type="dxa"/>
                  <w:shd w:val="clear" w:color="auto" w:fill="auto"/>
                  <w:vAlign w:val="center"/>
                </w:tcPr>
                <w:p>
                  <w:pPr>
                    <w:spacing w:line="360" w:lineRule="exact"/>
                    <w:jc w:val="center"/>
                    <w:rPr>
                      <w:kern w:val="0"/>
                      <w:szCs w:val="21"/>
                    </w:rPr>
                  </w:pPr>
                  <w:r>
                    <w:rPr>
                      <w:rFonts w:hint="eastAsia"/>
                      <w:kern w:val="0"/>
                      <w:szCs w:val="21"/>
                    </w:rPr>
                    <w:t>载重10t</w:t>
                  </w:r>
                </w:p>
              </w:tc>
              <w:tc>
                <w:tcPr>
                  <w:tcW w:w="495" w:type="dxa"/>
                  <w:shd w:val="clear" w:color="auto" w:fill="auto"/>
                  <w:vAlign w:val="center"/>
                </w:tcPr>
                <w:p>
                  <w:pPr>
                    <w:spacing w:line="360" w:lineRule="exact"/>
                    <w:jc w:val="center"/>
                    <w:rPr>
                      <w:kern w:val="0"/>
                      <w:szCs w:val="21"/>
                    </w:rPr>
                  </w:pPr>
                  <w:r>
                    <w:rPr>
                      <w:rFonts w:hint="eastAsia"/>
                      <w:kern w:val="0"/>
                      <w:szCs w:val="21"/>
                    </w:rPr>
                    <w:t>辆</w:t>
                  </w:r>
                </w:p>
              </w:tc>
              <w:tc>
                <w:tcPr>
                  <w:tcW w:w="495" w:type="dxa"/>
                  <w:shd w:val="clear" w:color="auto" w:fill="auto"/>
                  <w:vAlign w:val="center"/>
                </w:tcPr>
                <w:p>
                  <w:pPr>
                    <w:spacing w:line="360" w:lineRule="exact"/>
                    <w:jc w:val="center"/>
                    <w:rPr>
                      <w:kern w:val="0"/>
                      <w:szCs w:val="21"/>
                    </w:rPr>
                  </w:pPr>
                  <w:r>
                    <w:rPr>
                      <w:rFonts w:hint="eastAsia"/>
                      <w:kern w:val="0"/>
                      <w:szCs w:val="21"/>
                    </w:rPr>
                    <w:t>1</w:t>
                  </w:r>
                </w:p>
              </w:tc>
              <w:tc>
                <w:tcPr>
                  <w:tcW w:w="3093" w:type="dxa"/>
                  <w:shd w:val="clear" w:color="auto" w:fill="auto"/>
                  <w:vAlign w:val="center"/>
                </w:tcPr>
                <w:p>
                  <w:pPr>
                    <w:spacing w:line="36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3</w:t>
                  </w:r>
                </w:p>
              </w:tc>
              <w:tc>
                <w:tcPr>
                  <w:tcW w:w="1470" w:type="dxa"/>
                  <w:shd w:val="clear" w:color="auto" w:fill="auto"/>
                  <w:vAlign w:val="center"/>
                </w:tcPr>
                <w:p>
                  <w:pPr>
                    <w:spacing w:line="360" w:lineRule="exact"/>
                    <w:jc w:val="center"/>
                    <w:rPr>
                      <w:kern w:val="0"/>
                      <w:szCs w:val="21"/>
                    </w:rPr>
                  </w:pPr>
                  <w:r>
                    <w:rPr>
                      <w:rFonts w:hint="eastAsia"/>
                      <w:kern w:val="0"/>
                      <w:szCs w:val="21"/>
                    </w:rPr>
                    <w:t>材料运输及生产指挥车</w:t>
                  </w:r>
                </w:p>
              </w:tc>
              <w:tc>
                <w:tcPr>
                  <w:tcW w:w="1488" w:type="dxa"/>
                  <w:shd w:val="clear" w:color="auto" w:fill="auto"/>
                  <w:vAlign w:val="center"/>
                </w:tcPr>
                <w:p>
                  <w:pPr>
                    <w:spacing w:line="360" w:lineRule="exact"/>
                    <w:jc w:val="center"/>
                    <w:rPr>
                      <w:kern w:val="0"/>
                      <w:szCs w:val="21"/>
                    </w:rPr>
                  </w:pPr>
                  <w:r>
                    <w:rPr>
                      <w:rFonts w:hint="eastAsia"/>
                      <w:kern w:val="0"/>
                      <w:szCs w:val="21"/>
                    </w:rPr>
                    <w:t>皮卡</w:t>
                  </w:r>
                </w:p>
              </w:tc>
              <w:tc>
                <w:tcPr>
                  <w:tcW w:w="495" w:type="dxa"/>
                  <w:shd w:val="clear" w:color="auto" w:fill="auto"/>
                  <w:vAlign w:val="center"/>
                </w:tcPr>
                <w:p>
                  <w:pPr>
                    <w:spacing w:line="360" w:lineRule="exact"/>
                    <w:jc w:val="center"/>
                    <w:rPr>
                      <w:kern w:val="0"/>
                      <w:szCs w:val="21"/>
                    </w:rPr>
                  </w:pPr>
                  <w:r>
                    <w:rPr>
                      <w:rFonts w:hint="eastAsia"/>
                      <w:kern w:val="0"/>
                      <w:szCs w:val="21"/>
                    </w:rPr>
                    <w:t>辆</w:t>
                  </w:r>
                </w:p>
              </w:tc>
              <w:tc>
                <w:tcPr>
                  <w:tcW w:w="495" w:type="dxa"/>
                  <w:shd w:val="clear" w:color="auto" w:fill="auto"/>
                  <w:vAlign w:val="center"/>
                </w:tcPr>
                <w:p>
                  <w:pPr>
                    <w:spacing w:line="360" w:lineRule="exact"/>
                    <w:jc w:val="center"/>
                    <w:rPr>
                      <w:kern w:val="0"/>
                      <w:szCs w:val="21"/>
                    </w:rPr>
                  </w:pPr>
                  <w:r>
                    <w:rPr>
                      <w:rFonts w:hint="eastAsia"/>
                      <w:kern w:val="0"/>
                      <w:szCs w:val="21"/>
                    </w:rPr>
                    <w:t>2</w:t>
                  </w:r>
                </w:p>
              </w:tc>
              <w:tc>
                <w:tcPr>
                  <w:tcW w:w="3093" w:type="dxa"/>
                  <w:shd w:val="clear" w:color="auto" w:fill="auto"/>
                  <w:vAlign w:val="center"/>
                </w:tcPr>
                <w:p>
                  <w:pPr>
                    <w:spacing w:line="36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4</w:t>
                  </w:r>
                </w:p>
              </w:tc>
              <w:tc>
                <w:tcPr>
                  <w:tcW w:w="1470" w:type="dxa"/>
                  <w:shd w:val="clear" w:color="auto" w:fill="auto"/>
                  <w:vAlign w:val="center"/>
                </w:tcPr>
                <w:p>
                  <w:pPr>
                    <w:spacing w:line="360" w:lineRule="exact"/>
                    <w:jc w:val="center"/>
                    <w:rPr>
                      <w:kern w:val="0"/>
                      <w:szCs w:val="21"/>
                    </w:rPr>
                  </w:pPr>
                  <w:r>
                    <w:rPr>
                      <w:rFonts w:hint="eastAsia"/>
                      <w:kern w:val="0"/>
                      <w:szCs w:val="21"/>
                    </w:rPr>
                    <w:t>平路机</w:t>
                  </w:r>
                </w:p>
              </w:tc>
              <w:tc>
                <w:tcPr>
                  <w:tcW w:w="1488" w:type="dxa"/>
                  <w:shd w:val="clear" w:color="auto" w:fill="auto"/>
                  <w:vAlign w:val="center"/>
                </w:tcPr>
                <w:p>
                  <w:pPr>
                    <w:spacing w:line="360" w:lineRule="exact"/>
                    <w:jc w:val="center"/>
                    <w:rPr>
                      <w:kern w:val="0"/>
                      <w:szCs w:val="21"/>
                    </w:rPr>
                  </w:pPr>
                  <w:r>
                    <w:rPr>
                      <w:rFonts w:hint="eastAsia"/>
                      <w:kern w:val="0"/>
                      <w:szCs w:val="21"/>
                    </w:rPr>
                    <w:t>180Hp</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1</w:t>
                  </w:r>
                </w:p>
              </w:tc>
              <w:tc>
                <w:tcPr>
                  <w:tcW w:w="3093" w:type="dxa"/>
                  <w:shd w:val="clear" w:color="auto" w:fill="auto"/>
                  <w:vAlign w:val="center"/>
                </w:tcPr>
                <w:p>
                  <w:pPr>
                    <w:spacing w:line="36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5</w:t>
                  </w:r>
                </w:p>
              </w:tc>
              <w:tc>
                <w:tcPr>
                  <w:tcW w:w="1470" w:type="dxa"/>
                  <w:shd w:val="clear" w:color="auto" w:fill="auto"/>
                  <w:vAlign w:val="center"/>
                </w:tcPr>
                <w:p>
                  <w:pPr>
                    <w:spacing w:line="360" w:lineRule="exact"/>
                    <w:jc w:val="center"/>
                    <w:rPr>
                      <w:kern w:val="0"/>
                      <w:szCs w:val="21"/>
                    </w:rPr>
                  </w:pPr>
                  <w:r>
                    <w:rPr>
                      <w:rFonts w:hint="eastAsia"/>
                      <w:kern w:val="0"/>
                      <w:szCs w:val="21"/>
                    </w:rPr>
                    <w:t>雾炮车</w:t>
                  </w:r>
                </w:p>
              </w:tc>
              <w:tc>
                <w:tcPr>
                  <w:tcW w:w="1488" w:type="dxa"/>
                  <w:shd w:val="clear" w:color="auto" w:fill="auto"/>
                  <w:vAlign w:val="center"/>
                </w:tcPr>
                <w:p>
                  <w:pPr>
                    <w:spacing w:line="360" w:lineRule="exact"/>
                    <w:jc w:val="center"/>
                    <w:rPr>
                      <w:kern w:val="0"/>
                      <w:szCs w:val="21"/>
                    </w:rPr>
                  </w:pPr>
                  <w:r>
                    <w:rPr>
                      <w:rFonts w:hint="eastAsia"/>
                      <w:kern w:val="0"/>
                      <w:szCs w:val="21"/>
                    </w:rPr>
                    <w:t>载重10t</w:t>
                  </w:r>
                </w:p>
              </w:tc>
              <w:tc>
                <w:tcPr>
                  <w:tcW w:w="495" w:type="dxa"/>
                  <w:shd w:val="clear" w:color="auto" w:fill="auto"/>
                  <w:vAlign w:val="center"/>
                </w:tcPr>
                <w:p>
                  <w:pPr>
                    <w:spacing w:line="360" w:lineRule="exact"/>
                    <w:jc w:val="center"/>
                    <w:rPr>
                      <w:szCs w:val="21"/>
                    </w:rPr>
                  </w:pPr>
                  <w:r>
                    <w:rPr>
                      <w:rFonts w:hint="eastAsia"/>
                      <w:kern w:val="0"/>
                      <w:szCs w:val="21"/>
                    </w:rPr>
                    <w:t>辆</w:t>
                  </w:r>
                </w:p>
              </w:tc>
              <w:tc>
                <w:tcPr>
                  <w:tcW w:w="495" w:type="dxa"/>
                  <w:shd w:val="clear" w:color="auto" w:fill="auto"/>
                  <w:vAlign w:val="center"/>
                </w:tcPr>
                <w:p>
                  <w:pPr>
                    <w:spacing w:line="360" w:lineRule="exact"/>
                    <w:jc w:val="center"/>
                    <w:rPr>
                      <w:szCs w:val="21"/>
                    </w:rPr>
                  </w:pPr>
                  <w:r>
                    <w:rPr>
                      <w:rFonts w:hint="eastAsia"/>
                      <w:kern w:val="0"/>
                      <w:szCs w:val="21"/>
                    </w:rPr>
                    <w:t>1</w:t>
                  </w:r>
                </w:p>
              </w:tc>
              <w:tc>
                <w:tcPr>
                  <w:tcW w:w="3093" w:type="dxa"/>
                  <w:shd w:val="clear" w:color="auto" w:fill="auto"/>
                  <w:vAlign w:val="center"/>
                </w:tcPr>
                <w:p>
                  <w:pPr>
                    <w:spacing w:line="36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restart"/>
                  <w:shd w:val="clear" w:color="auto" w:fill="auto"/>
                  <w:vAlign w:val="center"/>
                </w:tcPr>
                <w:p>
                  <w:pPr>
                    <w:spacing w:line="360" w:lineRule="exact"/>
                    <w:jc w:val="center"/>
                    <w:rPr>
                      <w:kern w:val="0"/>
                      <w:szCs w:val="21"/>
                    </w:rPr>
                  </w:pPr>
                  <w:r>
                    <w:rPr>
                      <w:rFonts w:hint="eastAsia"/>
                      <w:kern w:val="0"/>
                      <w:szCs w:val="21"/>
                    </w:rPr>
                    <w:t>白云岩破碎系统</w:t>
                  </w:r>
                </w:p>
              </w:tc>
              <w:tc>
                <w:tcPr>
                  <w:tcW w:w="493" w:type="dxa"/>
                  <w:shd w:val="clear" w:color="auto" w:fill="auto"/>
                  <w:vAlign w:val="center"/>
                </w:tcPr>
                <w:p>
                  <w:pPr>
                    <w:tabs>
                      <w:tab w:val="left" w:pos="0"/>
                    </w:tabs>
                    <w:spacing w:line="360" w:lineRule="exact"/>
                    <w:jc w:val="center"/>
                  </w:pPr>
                  <w:r>
                    <w:rPr>
                      <w:rFonts w:hint="eastAsia"/>
                    </w:rPr>
                    <w:t>1</w:t>
                  </w:r>
                </w:p>
              </w:tc>
              <w:tc>
                <w:tcPr>
                  <w:tcW w:w="1470" w:type="dxa"/>
                  <w:shd w:val="clear" w:color="auto" w:fill="auto"/>
                  <w:vAlign w:val="center"/>
                </w:tcPr>
                <w:p>
                  <w:pPr>
                    <w:spacing w:line="360" w:lineRule="exact"/>
                    <w:jc w:val="center"/>
                    <w:rPr>
                      <w:kern w:val="0"/>
                      <w:szCs w:val="21"/>
                    </w:rPr>
                  </w:pPr>
                  <w:r>
                    <w:rPr>
                      <w:rFonts w:hint="eastAsia"/>
                      <w:kern w:val="0"/>
                      <w:szCs w:val="21"/>
                    </w:rPr>
                    <w:t>给料机</w:t>
                  </w:r>
                </w:p>
              </w:tc>
              <w:tc>
                <w:tcPr>
                  <w:tcW w:w="1488" w:type="dxa"/>
                  <w:shd w:val="clear" w:color="auto" w:fill="auto"/>
                  <w:vAlign w:val="center"/>
                </w:tcPr>
                <w:p>
                  <w:pPr>
                    <w:spacing w:line="360" w:lineRule="exact"/>
                    <w:jc w:val="center"/>
                    <w:rPr>
                      <w:kern w:val="0"/>
                      <w:szCs w:val="21"/>
                    </w:rPr>
                  </w:pPr>
                  <w:r>
                    <w:rPr>
                      <w:rFonts w:hint="eastAsia"/>
                      <w:kern w:val="0"/>
                      <w:szCs w:val="21"/>
                    </w:rPr>
                    <w:t xml:space="preserve">800×3000mm  </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N=15kW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2</w:t>
                  </w:r>
                </w:p>
              </w:tc>
              <w:tc>
                <w:tcPr>
                  <w:tcW w:w="1470" w:type="dxa"/>
                  <w:shd w:val="clear" w:color="auto" w:fill="auto"/>
                  <w:vAlign w:val="center"/>
                </w:tcPr>
                <w:p>
                  <w:pPr>
                    <w:spacing w:line="360" w:lineRule="exact"/>
                    <w:jc w:val="center"/>
                    <w:rPr>
                      <w:kern w:val="0"/>
                      <w:szCs w:val="21"/>
                    </w:rPr>
                  </w:pPr>
                  <w:r>
                    <w:rPr>
                      <w:rFonts w:hint="eastAsia"/>
                      <w:kern w:val="0"/>
                      <w:szCs w:val="21"/>
                    </w:rPr>
                    <w:t>颚式破碎机</w:t>
                  </w:r>
                </w:p>
              </w:tc>
              <w:tc>
                <w:tcPr>
                  <w:tcW w:w="1488" w:type="dxa"/>
                  <w:shd w:val="clear" w:color="auto" w:fill="auto"/>
                  <w:vAlign w:val="center"/>
                </w:tcPr>
                <w:p>
                  <w:pPr>
                    <w:spacing w:line="360" w:lineRule="exact"/>
                    <w:jc w:val="center"/>
                    <w:rPr>
                      <w:kern w:val="0"/>
                      <w:szCs w:val="21"/>
                    </w:rPr>
                  </w:pPr>
                  <w:r>
                    <w:rPr>
                      <w:rFonts w:hint="eastAsia"/>
                      <w:kern w:val="0"/>
                      <w:szCs w:val="21"/>
                    </w:rPr>
                    <w:t xml:space="preserve">1000×1200  </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N=132kW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3</w:t>
                  </w:r>
                </w:p>
              </w:tc>
              <w:tc>
                <w:tcPr>
                  <w:tcW w:w="1470" w:type="dxa"/>
                  <w:shd w:val="clear" w:color="auto" w:fill="auto"/>
                  <w:vAlign w:val="center"/>
                </w:tcPr>
                <w:p>
                  <w:pPr>
                    <w:spacing w:line="360" w:lineRule="exact"/>
                    <w:jc w:val="center"/>
                    <w:rPr>
                      <w:kern w:val="0"/>
                      <w:szCs w:val="21"/>
                    </w:rPr>
                  </w:pPr>
                  <w:r>
                    <w:rPr>
                      <w:rFonts w:hint="eastAsia"/>
                      <w:kern w:val="0"/>
                      <w:szCs w:val="21"/>
                    </w:rPr>
                    <w:t>反击破碎机</w:t>
                  </w:r>
                </w:p>
              </w:tc>
              <w:tc>
                <w:tcPr>
                  <w:tcW w:w="1488" w:type="dxa"/>
                  <w:shd w:val="clear" w:color="auto" w:fill="auto"/>
                  <w:vAlign w:val="center"/>
                </w:tcPr>
                <w:p>
                  <w:pPr>
                    <w:spacing w:line="360" w:lineRule="exact"/>
                    <w:jc w:val="center"/>
                    <w:rPr>
                      <w:kern w:val="0"/>
                      <w:szCs w:val="21"/>
                    </w:rPr>
                  </w:pPr>
                  <w:r>
                    <w:rPr>
                      <w:rFonts w:hint="eastAsia"/>
                      <w:kern w:val="0"/>
                      <w:szCs w:val="21"/>
                    </w:rPr>
                    <w:t xml:space="preserve">1320  </w:t>
                  </w:r>
                </w:p>
              </w:tc>
              <w:tc>
                <w:tcPr>
                  <w:tcW w:w="495" w:type="dxa"/>
                  <w:shd w:val="clear" w:color="auto" w:fill="auto"/>
                  <w:vAlign w:val="center"/>
                </w:tcPr>
                <w:p>
                  <w:pPr>
                    <w:spacing w:line="360" w:lineRule="exact"/>
                    <w:jc w:val="center"/>
                    <w:rPr>
                      <w:kern w:val="0"/>
                      <w:szCs w:val="21"/>
                    </w:rPr>
                  </w:pPr>
                  <w:r>
                    <w:rPr>
                      <w:rFonts w:hint="eastAsia"/>
                      <w:kern w:val="0"/>
                      <w:szCs w:val="21"/>
                    </w:rPr>
                    <w:t>台</w:t>
                  </w:r>
                </w:p>
              </w:tc>
              <w:tc>
                <w:tcPr>
                  <w:tcW w:w="495" w:type="dxa"/>
                  <w:shd w:val="clear" w:color="auto" w:fill="auto"/>
                  <w:vAlign w:val="center"/>
                </w:tcPr>
                <w:p>
                  <w:pPr>
                    <w:spacing w:line="360" w:lineRule="exact"/>
                    <w:jc w:val="center"/>
                    <w:rPr>
                      <w:kern w:val="0"/>
                      <w:szCs w:val="21"/>
                    </w:rPr>
                  </w:pPr>
                  <w:r>
                    <w:rPr>
                      <w:rFonts w:hint="eastAsia"/>
                      <w:kern w:val="0"/>
                      <w:szCs w:val="21"/>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N=280kW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4</w:t>
                  </w:r>
                </w:p>
              </w:tc>
              <w:tc>
                <w:tcPr>
                  <w:tcW w:w="1470" w:type="dxa"/>
                  <w:shd w:val="clear" w:color="auto" w:fill="auto"/>
                  <w:vAlign w:val="center"/>
                </w:tcPr>
                <w:p>
                  <w:pPr>
                    <w:spacing w:line="360" w:lineRule="exact"/>
                    <w:jc w:val="center"/>
                    <w:rPr>
                      <w:kern w:val="0"/>
                      <w:szCs w:val="21"/>
                    </w:rPr>
                  </w:pPr>
                  <w:r>
                    <w:rPr>
                      <w:rFonts w:hint="eastAsia"/>
                      <w:kern w:val="0"/>
                      <w:szCs w:val="21"/>
                    </w:rPr>
                    <w:t>振动筛</w:t>
                  </w:r>
                </w:p>
              </w:tc>
              <w:tc>
                <w:tcPr>
                  <w:tcW w:w="1488" w:type="dxa"/>
                  <w:shd w:val="clear" w:color="auto" w:fill="auto"/>
                  <w:vAlign w:val="center"/>
                </w:tcPr>
                <w:p>
                  <w:pPr>
                    <w:spacing w:line="360" w:lineRule="exact"/>
                    <w:jc w:val="center"/>
                    <w:rPr>
                      <w:kern w:val="0"/>
                      <w:szCs w:val="21"/>
                    </w:rPr>
                  </w:pPr>
                  <w:r>
                    <w:rPr>
                      <w:rFonts w:hint="eastAsia"/>
                      <w:kern w:val="0"/>
                      <w:szCs w:val="21"/>
                    </w:rPr>
                    <w:t>2460</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2</w:t>
                  </w:r>
                </w:p>
              </w:tc>
              <w:tc>
                <w:tcPr>
                  <w:tcW w:w="3093" w:type="dxa"/>
                  <w:shd w:val="clear" w:color="auto" w:fill="auto"/>
                  <w:vAlign w:val="center"/>
                </w:tcPr>
                <w:p>
                  <w:pPr>
                    <w:spacing w:line="360" w:lineRule="exact"/>
                    <w:jc w:val="center"/>
                    <w:rPr>
                      <w:kern w:val="0"/>
                      <w:szCs w:val="21"/>
                    </w:rPr>
                  </w:pPr>
                  <w:r>
                    <w:rPr>
                      <w:rFonts w:hint="eastAsia"/>
                      <w:kern w:val="0"/>
                      <w:szCs w:val="21"/>
                    </w:rPr>
                    <w:t>Q=200t/h  N=60kW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5</w:t>
                  </w:r>
                </w:p>
              </w:tc>
              <w:tc>
                <w:tcPr>
                  <w:tcW w:w="1470" w:type="dxa"/>
                  <w:shd w:val="clear" w:color="auto" w:fill="auto"/>
                  <w:vAlign w:val="center"/>
                </w:tcPr>
                <w:p>
                  <w:pPr>
                    <w:spacing w:line="360" w:lineRule="exact"/>
                    <w:jc w:val="center"/>
                    <w:rPr>
                      <w:kern w:val="0"/>
                      <w:szCs w:val="21"/>
                    </w:rPr>
                  </w:pPr>
                  <w:r>
                    <w:rPr>
                      <w:rFonts w:hint="eastAsia"/>
                      <w:kern w:val="0"/>
                      <w:szCs w:val="21"/>
                    </w:rPr>
                    <w:t>上反击破碎机带式输送机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N=22kW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6</w:t>
                  </w:r>
                </w:p>
              </w:tc>
              <w:tc>
                <w:tcPr>
                  <w:tcW w:w="1470" w:type="dxa"/>
                  <w:shd w:val="clear" w:color="auto" w:fill="auto"/>
                  <w:vAlign w:val="center"/>
                </w:tcPr>
                <w:p>
                  <w:pPr>
                    <w:spacing w:line="360" w:lineRule="exact"/>
                    <w:jc w:val="center"/>
                    <w:rPr>
                      <w:kern w:val="0"/>
                      <w:szCs w:val="21"/>
                    </w:rPr>
                  </w:pPr>
                  <w:r>
                    <w:rPr>
                      <w:rFonts w:hint="eastAsia"/>
                      <w:kern w:val="0"/>
                      <w:szCs w:val="21"/>
                    </w:rPr>
                    <w:t>上一级振动筛带式输送机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N=22kW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7</w:t>
                  </w:r>
                </w:p>
              </w:tc>
              <w:tc>
                <w:tcPr>
                  <w:tcW w:w="1470" w:type="dxa"/>
                  <w:shd w:val="clear" w:color="auto" w:fill="auto"/>
                  <w:vAlign w:val="center"/>
                </w:tcPr>
                <w:p>
                  <w:pPr>
                    <w:spacing w:line="360" w:lineRule="exact"/>
                    <w:jc w:val="center"/>
                    <w:rPr>
                      <w:kern w:val="0"/>
                      <w:szCs w:val="21"/>
                    </w:rPr>
                  </w:pPr>
                  <w:r>
                    <w:rPr>
                      <w:rFonts w:hint="eastAsia"/>
                      <w:kern w:val="0"/>
                      <w:szCs w:val="21"/>
                    </w:rPr>
                    <w:t>0.5-1mm带式输送机</w:t>
                  </w:r>
                </w:p>
              </w:tc>
              <w:tc>
                <w:tcPr>
                  <w:tcW w:w="1488" w:type="dxa"/>
                  <w:shd w:val="clear" w:color="auto" w:fill="auto"/>
                  <w:vAlign w:val="center"/>
                </w:tcPr>
                <w:p>
                  <w:pPr>
                    <w:spacing w:line="360" w:lineRule="exact"/>
                    <w:jc w:val="center"/>
                    <w:rPr>
                      <w:kern w:val="0"/>
                      <w:szCs w:val="21"/>
                    </w:rPr>
                  </w:pPr>
                  <w:r>
                    <w:rPr>
                      <w:rFonts w:hint="eastAsia"/>
                      <w:kern w:val="0"/>
                      <w:szCs w:val="21"/>
                    </w:rPr>
                    <w:t>B=800mm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N=15kW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8</w:t>
                  </w:r>
                </w:p>
              </w:tc>
              <w:tc>
                <w:tcPr>
                  <w:tcW w:w="1470" w:type="dxa"/>
                  <w:shd w:val="clear" w:color="auto" w:fill="auto"/>
                  <w:vAlign w:val="center"/>
                </w:tcPr>
                <w:p>
                  <w:pPr>
                    <w:spacing w:line="360" w:lineRule="exact"/>
                    <w:jc w:val="center"/>
                    <w:rPr>
                      <w:kern w:val="0"/>
                      <w:szCs w:val="21"/>
                    </w:rPr>
                  </w:pPr>
                  <w:r>
                    <w:rPr>
                      <w:rFonts w:hint="eastAsia"/>
                      <w:kern w:val="0"/>
                      <w:szCs w:val="21"/>
                    </w:rPr>
                    <w:t>上二级破碎机带式输送机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B=1000mm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N=15kW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9</w:t>
                  </w:r>
                </w:p>
              </w:tc>
              <w:tc>
                <w:tcPr>
                  <w:tcW w:w="1470" w:type="dxa"/>
                  <w:shd w:val="clear" w:color="auto" w:fill="auto"/>
                  <w:vAlign w:val="center"/>
                </w:tcPr>
                <w:p>
                  <w:pPr>
                    <w:spacing w:line="360" w:lineRule="exact"/>
                    <w:jc w:val="center"/>
                    <w:rPr>
                      <w:kern w:val="0"/>
                      <w:szCs w:val="21"/>
                    </w:rPr>
                  </w:pPr>
                  <w:r>
                    <w:rPr>
                      <w:rFonts w:hint="eastAsia"/>
                      <w:kern w:val="0"/>
                      <w:szCs w:val="21"/>
                    </w:rPr>
                    <w:t>1-25mm带式输送机</w:t>
                  </w:r>
                </w:p>
              </w:tc>
              <w:tc>
                <w:tcPr>
                  <w:tcW w:w="1488" w:type="dxa"/>
                  <w:shd w:val="clear" w:color="auto" w:fill="auto"/>
                  <w:vAlign w:val="center"/>
                </w:tcPr>
                <w:p>
                  <w:pPr>
                    <w:spacing w:line="360" w:lineRule="exact"/>
                    <w:jc w:val="center"/>
                    <w:rPr>
                      <w:kern w:val="0"/>
                      <w:szCs w:val="21"/>
                    </w:rPr>
                  </w:pPr>
                  <w:r>
                    <w:rPr>
                      <w:rFonts w:hint="eastAsia"/>
                      <w:kern w:val="0"/>
                      <w:szCs w:val="21"/>
                    </w:rPr>
                    <w:t>B=800mm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N=15kW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tabs>
                      <w:tab w:val="left" w:pos="0"/>
                    </w:tabs>
                    <w:spacing w:line="360" w:lineRule="exact"/>
                    <w:jc w:val="center"/>
                  </w:pPr>
                  <w:r>
                    <w:rPr>
                      <w:rFonts w:hint="eastAsia"/>
                    </w:rPr>
                    <w:t>10</w:t>
                  </w:r>
                </w:p>
              </w:tc>
              <w:tc>
                <w:tcPr>
                  <w:tcW w:w="1470" w:type="dxa"/>
                  <w:shd w:val="clear" w:color="auto" w:fill="auto"/>
                  <w:vAlign w:val="center"/>
                </w:tcPr>
                <w:p>
                  <w:pPr>
                    <w:spacing w:line="360" w:lineRule="exact"/>
                    <w:jc w:val="center"/>
                    <w:rPr>
                      <w:kern w:val="0"/>
                      <w:szCs w:val="21"/>
                    </w:rPr>
                  </w:pPr>
                  <w:r>
                    <w:rPr>
                      <w:rFonts w:hint="eastAsia"/>
                      <w:kern w:val="0"/>
                      <w:szCs w:val="21"/>
                    </w:rPr>
                    <w:t>25-40mm带式输送机</w:t>
                  </w:r>
                </w:p>
              </w:tc>
              <w:tc>
                <w:tcPr>
                  <w:tcW w:w="1488" w:type="dxa"/>
                  <w:shd w:val="clear" w:color="auto" w:fill="auto"/>
                  <w:vAlign w:val="center"/>
                </w:tcPr>
                <w:p>
                  <w:pPr>
                    <w:spacing w:line="360" w:lineRule="exact"/>
                    <w:jc w:val="center"/>
                    <w:rPr>
                      <w:kern w:val="0"/>
                      <w:szCs w:val="21"/>
                    </w:rPr>
                  </w:pPr>
                  <w:r>
                    <w:rPr>
                      <w:rFonts w:hint="eastAsia"/>
                      <w:kern w:val="0"/>
                      <w:szCs w:val="21"/>
                    </w:rPr>
                    <w:t>B=800mm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N=15kW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11</w:t>
                  </w:r>
                </w:p>
              </w:tc>
              <w:tc>
                <w:tcPr>
                  <w:tcW w:w="1470" w:type="dxa"/>
                  <w:shd w:val="clear" w:color="auto" w:fill="auto"/>
                  <w:vAlign w:val="center"/>
                </w:tcPr>
                <w:p>
                  <w:pPr>
                    <w:spacing w:line="360" w:lineRule="exact"/>
                    <w:jc w:val="center"/>
                    <w:rPr>
                      <w:kern w:val="0"/>
                      <w:szCs w:val="21"/>
                    </w:rPr>
                  </w:pPr>
                  <w:r>
                    <w:rPr>
                      <w:rFonts w:hint="eastAsia"/>
                      <w:kern w:val="0"/>
                      <w:szCs w:val="21"/>
                    </w:rPr>
                    <w:t>回料带式输送机</w:t>
                  </w:r>
                </w:p>
              </w:tc>
              <w:tc>
                <w:tcPr>
                  <w:tcW w:w="1488" w:type="dxa"/>
                  <w:shd w:val="clear" w:color="auto" w:fill="auto"/>
                  <w:vAlign w:val="center"/>
                </w:tcPr>
                <w:p>
                  <w:pPr>
                    <w:spacing w:line="360" w:lineRule="exact"/>
                    <w:jc w:val="center"/>
                    <w:rPr>
                      <w:kern w:val="0"/>
                      <w:szCs w:val="21"/>
                    </w:rPr>
                  </w:pPr>
                  <w:r>
                    <w:rPr>
                      <w:rFonts w:hint="eastAsia"/>
                      <w:kern w:val="0"/>
                      <w:szCs w:val="21"/>
                    </w:rPr>
                    <w:t>B=600mm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Q=200t/h  N=15kW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restart"/>
                  <w:shd w:val="clear" w:color="auto" w:fill="auto"/>
                  <w:vAlign w:val="center"/>
                </w:tcPr>
                <w:p>
                  <w:pPr>
                    <w:spacing w:line="360" w:lineRule="exact"/>
                    <w:jc w:val="center"/>
                    <w:rPr>
                      <w:kern w:val="0"/>
                      <w:szCs w:val="21"/>
                    </w:rPr>
                  </w:pPr>
                  <w:r>
                    <w:rPr>
                      <w:rFonts w:hint="eastAsia"/>
                      <w:kern w:val="0"/>
                      <w:szCs w:val="21"/>
                    </w:rPr>
                    <w:t>建筑石料破碎系统</w:t>
                  </w:r>
                </w:p>
              </w:tc>
              <w:tc>
                <w:tcPr>
                  <w:tcW w:w="493" w:type="dxa"/>
                  <w:shd w:val="clear" w:color="auto" w:fill="auto"/>
                  <w:vAlign w:val="center"/>
                </w:tcPr>
                <w:p>
                  <w:pPr>
                    <w:spacing w:line="360" w:lineRule="exact"/>
                    <w:jc w:val="center"/>
                    <w:rPr>
                      <w:kern w:val="0"/>
                      <w:szCs w:val="21"/>
                    </w:rPr>
                  </w:pPr>
                  <w:r>
                    <w:rPr>
                      <w:rFonts w:hint="eastAsia"/>
                      <w:kern w:val="0"/>
                      <w:szCs w:val="21"/>
                    </w:rPr>
                    <w:t>1</w:t>
                  </w:r>
                </w:p>
              </w:tc>
              <w:tc>
                <w:tcPr>
                  <w:tcW w:w="1470" w:type="dxa"/>
                  <w:shd w:val="clear" w:color="auto" w:fill="auto"/>
                  <w:vAlign w:val="center"/>
                </w:tcPr>
                <w:p>
                  <w:pPr>
                    <w:spacing w:line="360" w:lineRule="exact"/>
                    <w:jc w:val="center"/>
                    <w:rPr>
                      <w:kern w:val="0"/>
                      <w:szCs w:val="21"/>
                    </w:rPr>
                  </w:pPr>
                  <w:r>
                    <w:rPr>
                      <w:rFonts w:hint="eastAsia"/>
                      <w:kern w:val="0"/>
                      <w:szCs w:val="21"/>
                    </w:rPr>
                    <w:t>给料机</w:t>
                  </w:r>
                </w:p>
              </w:tc>
              <w:tc>
                <w:tcPr>
                  <w:tcW w:w="1488" w:type="dxa"/>
                  <w:shd w:val="clear" w:color="auto" w:fill="auto"/>
                  <w:vAlign w:val="center"/>
                </w:tcPr>
                <w:p>
                  <w:pPr>
                    <w:spacing w:line="360" w:lineRule="exact"/>
                    <w:jc w:val="center"/>
                    <w:rPr>
                      <w:kern w:val="0"/>
                      <w:szCs w:val="21"/>
                    </w:rPr>
                  </w:pPr>
                  <w:r>
                    <w:rPr>
                      <w:rFonts w:hint="eastAsia"/>
                      <w:kern w:val="0"/>
                      <w:szCs w:val="21"/>
                    </w:rPr>
                    <w:t>GDZ2550</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Q=1250t/h  N=2×18kW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2</w:t>
                  </w:r>
                </w:p>
              </w:tc>
              <w:tc>
                <w:tcPr>
                  <w:tcW w:w="1470" w:type="dxa"/>
                  <w:shd w:val="clear" w:color="auto" w:fill="auto"/>
                  <w:vAlign w:val="center"/>
                </w:tcPr>
                <w:p>
                  <w:pPr>
                    <w:spacing w:line="360" w:lineRule="exact"/>
                    <w:jc w:val="center"/>
                    <w:rPr>
                      <w:kern w:val="0"/>
                      <w:szCs w:val="21"/>
                    </w:rPr>
                  </w:pPr>
                  <w:r>
                    <w:rPr>
                      <w:rFonts w:hint="eastAsia"/>
                      <w:kern w:val="0"/>
                      <w:szCs w:val="21"/>
                    </w:rPr>
                    <w:t>颚式破碎机</w:t>
                  </w:r>
                </w:p>
              </w:tc>
              <w:tc>
                <w:tcPr>
                  <w:tcW w:w="1488" w:type="dxa"/>
                  <w:shd w:val="clear" w:color="auto" w:fill="auto"/>
                  <w:vAlign w:val="center"/>
                </w:tcPr>
                <w:p>
                  <w:pPr>
                    <w:spacing w:line="360" w:lineRule="exact"/>
                    <w:jc w:val="center"/>
                    <w:rPr>
                      <w:kern w:val="0"/>
                      <w:szCs w:val="21"/>
                    </w:rPr>
                  </w:pPr>
                  <w:r>
                    <w:rPr>
                      <w:rFonts w:hint="eastAsia"/>
                      <w:kern w:val="0"/>
                      <w:szCs w:val="21"/>
                    </w:rPr>
                    <w:t>PE1621</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Q=1250t/h N=350kW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3</w:t>
                  </w:r>
                </w:p>
              </w:tc>
              <w:tc>
                <w:tcPr>
                  <w:tcW w:w="1470" w:type="dxa"/>
                  <w:shd w:val="clear" w:color="auto" w:fill="auto"/>
                  <w:vAlign w:val="center"/>
                </w:tcPr>
                <w:p>
                  <w:pPr>
                    <w:spacing w:line="360" w:lineRule="exact"/>
                    <w:jc w:val="center"/>
                    <w:rPr>
                      <w:kern w:val="0"/>
                      <w:szCs w:val="21"/>
                    </w:rPr>
                  </w:pPr>
                  <w:r>
                    <w:rPr>
                      <w:rFonts w:hint="eastAsia"/>
                      <w:kern w:val="0"/>
                      <w:szCs w:val="21"/>
                    </w:rPr>
                    <w:t>上反击破碎机带式输送</w:t>
                  </w:r>
                </w:p>
              </w:tc>
              <w:tc>
                <w:tcPr>
                  <w:tcW w:w="1488" w:type="dxa"/>
                  <w:shd w:val="clear" w:color="auto" w:fill="auto"/>
                  <w:vAlign w:val="center"/>
                </w:tcPr>
                <w:p>
                  <w:pPr>
                    <w:spacing w:line="360" w:lineRule="exact"/>
                    <w:jc w:val="center"/>
                    <w:rPr>
                      <w:kern w:val="0"/>
                      <w:szCs w:val="21"/>
                    </w:rPr>
                  </w:pPr>
                  <w:r>
                    <w:rPr>
                      <w:rFonts w:hint="eastAsia"/>
                      <w:kern w:val="0"/>
                      <w:szCs w:val="21"/>
                    </w:rPr>
                    <w:t>B=1400mm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L=24m Q=1250t/h N=37kW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4</w:t>
                  </w:r>
                </w:p>
              </w:tc>
              <w:tc>
                <w:tcPr>
                  <w:tcW w:w="1470" w:type="dxa"/>
                  <w:shd w:val="clear" w:color="auto" w:fill="auto"/>
                  <w:vAlign w:val="center"/>
                </w:tcPr>
                <w:p>
                  <w:pPr>
                    <w:spacing w:line="360" w:lineRule="exact"/>
                    <w:jc w:val="center"/>
                    <w:rPr>
                      <w:kern w:val="0"/>
                      <w:szCs w:val="21"/>
                    </w:rPr>
                  </w:pPr>
                  <w:r>
                    <w:rPr>
                      <w:rFonts w:hint="eastAsia"/>
                      <w:kern w:val="0"/>
                      <w:szCs w:val="21"/>
                    </w:rPr>
                    <w:t>反击破碎机</w:t>
                  </w:r>
                </w:p>
              </w:tc>
              <w:tc>
                <w:tcPr>
                  <w:tcW w:w="1488" w:type="dxa"/>
                  <w:shd w:val="clear" w:color="auto" w:fill="auto"/>
                  <w:vAlign w:val="center"/>
                </w:tcPr>
                <w:p>
                  <w:pPr>
                    <w:spacing w:line="360" w:lineRule="exact"/>
                    <w:jc w:val="center"/>
                    <w:rPr>
                      <w:kern w:val="0"/>
                      <w:szCs w:val="21"/>
                    </w:rPr>
                  </w:pPr>
                  <w:r>
                    <w:rPr>
                      <w:rFonts w:hint="eastAsia"/>
                      <w:kern w:val="0"/>
                      <w:szCs w:val="21"/>
                    </w:rPr>
                    <w:t>PF1620</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2</w:t>
                  </w:r>
                </w:p>
              </w:tc>
              <w:tc>
                <w:tcPr>
                  <w:tcW w:w="3093" w:type="dxa"/>
                  <w:shd w:val="clear" w:color="auto" w:fill="auto"/>
                  <w:vAlign w:val="center"/>
                </w:tcPr>
                <w:p>
                  <w:pPr>
                    <w:spacing w:line="360" w:lineRule="exact"/>
                    <w:jc w:val="center"/>
                    <w:rPr>
                      <w:kern w:val="0"/>
                      <w:szCs w:val="21"/>
                    </w:rPr>
                  </w:pPr>
                  <w:r>
                    <w:rPr>
                      <w:rFonts w:hint="eastAsia"/>
                      <w:kern w:val="0"/>
                      <w:szCs w:val="21"/>
                    </w:rPr>
                    <w:t>Q=650t/h N=450kW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5</w:t>
                  </w:r>
                </w:p>
              </w:tc>
              <w:tc>
                <w:tcPr>
                  <w:tcW w:w="1470" w:type="dxa"/>
                  <w:shd w:val="clear" w:color="auto" w:fill="auto"/>
                  <w:vAlign w:val="center"/>
                </w:tcPr>
                <w:p>
                  <w:pPr>
                    <w:spacing w:line="360" w:lineRule="exact"/>
                    <w:jc w:val="center"/>
                    <w:rPr>
                      <w:kern w:val="0"/>
                      <w:szCs w:val="21"/>
                    </w:rPr>
                  </w:pPr>
                  <w:r>
                    <w:rPr>
                      <w:rFonts w:hint="eastAsia"/>
                      <w:kern w:val="0"/>
                      <w:szCs w:val="21"/>
                    </w:rPr>
                    <w:t>上振动筛带式输送机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2</w:t>
                  </w:r>
                </w:p>
              </w:tc>
              <w:tc>
                <w:tcPr>
                  <w:tcW w:w="3093" w:type="dxa"/>
                  <w:shd w:val="clear" w:color="auto" w:fill="auto"/>
                  <w:vAlign w:val="center"/>
                </w:tcPr>
                <w:p>
                  <w:pPr>
                    <w:spacing w:line="360" w:lineRule="exact"/>
                    <w:jc w:val="center"/>
                    <w:rPr>
                      <w:kern w:val="0"/>
                      <w:szCs w:val="21"/>
                    </w:rPr>
                  </w:pPr>
                  <w:r>
                    <w:rPr>
                      <w:rFonts w:hint="eastAsia"/>
                      <w:kern w:val="0"/>
                      <w:szCs w:val="21"/>
                    </w:rPr>
                    <w:t>L=24m Q=650t/h  N=37kW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6</w:t>
                  </w:r>
                </w:p>
              </w:tc>
              <w:tc>
                <w:tcPr>
                  <w:tcW w:w="1470" w:type="dxa"/>
                  <w:shd w:val="clear" w:color="auto" w:fill="auto"/>
                  <w:vAlign w:val="center"/>
                </w:tcPr>
                <w:p>
                  <w:pPr>
                    <w:spacing w:line="360" w:lineRule="exact"/>
                    <w:jc w:val="center"/>
                    <w:rPr>
                      <w:kern w:val="0"/>
                      <w:szCs w:val="21"/>
                    </w:rPr>
                  </w:pPr>
                  <w:r>
                    <w:rPr>
                      <w:rFonts w:hint="eastAsia"/>
                      <w:kern w:val="0"/>
                      <w:szCs w:val="21"/>
                    </w:rPr>
                    <w:t>一级振动筛</w:t>
                  </w:r>
                </w:p>
              </w:tc>
              <w:tc>
                <w:tcPr>
                  <w:tcW w:w="1488" w:type="dxa"/>
                  <w:shd w:val="clear" w:color="auto" w:fill="auto"/>
                  <w:vAlign w:val="center"/>
                </w:tcPr>
                <w:p>
                  <w:pPr>
                    <w:spacing w:line="360" w:lineRule="exact"/>
                    <w:jc w:val="center"/>
                    <w:rPr>
                      <w:kern w:val="0"/>
                      <w:szCs w:val="21"/>
                    </w:rPr>
                  </w:pPr>
                  <w:r>
                    <w:rPr>
                      <w:rFonts w:hint="eastAsia"/>
                      <w:kern w:val="0"/>
                      <w:szCs w:val="21"/>
                    </w:rPr>
                    <w:t>3YK3070</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2</w:t>
                  </w:r>
                </w:p>
              </w:tc>
              <w:tc>
                <w:tcPr>
                  <w:tcW w:w="3093" w:type="dxa"/>
                  <w:shd w:val="clear" w:color="auto" w:fill="auto"/>
                  <w:vAlign w:val="center"/>
                </w:tcPr>
                <w:p>
                  <w:pPr>
                    <w:spacing w:line="360" w:lineRule="exact"/>
                    <w:jc w:val="center"/>
                    <w:rPr>
                      <w:kern w:val="0"/>
                      <w:szCs w:val="21"/>
                    </w:rPr>
                  </w:pPr>
                  <w:r>
                    <w:rPr>
                      <w:rFonts w:hint="eastAsia"/>
                      <w:kern w:val="0"/>
                      <w:szCs w:val="21"/>
                    </w:rPr>
                    <w:t>Q=650t/h  N=55kW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7</w:t>
                  </w:r>
                </w:p>
              </w:tc>
              <w:tc>
                <w:tcPr>
                  <w:tcW w:w="1470" w:type="dxa"/>
                  <w:shd w:val="clear" w:color="auto" w:fill="auto"/>
                  <w:vAlign w:val="center"/>
                </w:tcPr>
                <w:p>
                  <w:pPr>
                    <w:spacing w:line="360" w:lineRule="exact"/>
                    <w:jc w:val="center"/>
                    <w:rPr>
                      <w:kern w:val="0"/>
                      <w:szCs w:val="21"/>
                    </w:rPr>
                  </w:pPr>
                  <w:r>
                    <w:rPr>
                      <w:rFonts w:hint="eastAsia"/>
                      <w:kern w:val="0"/>
                      <w:szCs w:val="21"/>
                    </w:rPr>
                    <w:t>二级振动筛</w:t>
                  </w:r>
                </w:p>
              </w:tc>
              <w:tc>
                <w:tcPr>
                  <w:tcW w:w="1488" w:type="dxa"/>
                  <w:shd w:val="clear" w:color="auto" w:fill="auto"/>
                  <w:vAlign w:val="center"/>
                </w:tcPr>
                <w:p>
                  <w:pPr>
                    <w:spacing w:line="360" w:lineRule="exact"/>
                    <w:jc w:val="center"/>
                    <w:rPr>
                      <w:kern w:val="0"/>
                      <w:szCs w:val="21"/>
                    </w:rPr>
                  </w:pPr>
                  <w:r>
                    <w:rPr>
                      <w:rFonts w:hint="eastAsia"/>
                      <w:kern w:val="0"/>
                      <w:szCs w:val="21"/>
                    </w:rPr>
                    <w:t>3YK3070</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Q=400t/h  N=55kW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8</w:t>
                  </w:r>
                </w:p>
              </w:tc>
              <w:tc>
                <w:tcPr>
                  <w:tcW w:w="1470" w:type="dxa"/>
                  <w:shd w:val="clear" w:color="auto" w:fill="auto"/>
                  <w:vAlign w:val="center"/>
                </w:tcPr>
                <w:p>
                  <w:pPr>
                    <w:spacing w:line="360" w:lineRule="exact"/>
                    <w:jc w:val="center"/>
                    <w:rPr>
                      <w:kern w:val="0"/>
                      <w:szCs w:val="21"/>
                    </w:rPr>
                  </w:pPr>
                  <w:r>
                    <w:rPr>
                      <w:rFonts w:hint="eastAsia"/>
                      <w:kern w:val="0"/>
                      <w:szCs w:val="21"/>
                    </w:rPr>
                    <w:t>回料带式输送机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L=24m Q=800t/h  N=37kW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9</w:t>
                  </w:r>
                </w:p>
              </w:tc>
              <w:tc>
                <w:tcPr>
                  <w:tcW w:w="1470" w:type="dxa"/>
                  <w:shd w:val="clear" w:color="auto" w:fill="auto"/>
                  <w:vAlign w:val="center"/>
                </w:tcPr>
                <w:p>
                  <w:pPr>
                    <w:spacing w:line="360" w:lineRule="exact"/>
                    <w:jc w:val="center"/>
                    <w:rPr>
                      <w:kern w:val="0"/>
                      <w:szCs w:val="21"/>
                    </w:rPr>
                  </w:pPr>
                  <w:r>
                    <w:rPr>
                      <w:rFonts w:hint="eastAsia"/>
                      <w:kern w:val="0"/>
                      <w:szCs w:val="21"/>
                    </w:rPr>
                    <w:t>10-20mm石子带式输送机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B=1000mm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L=18m Q=400t/h  N=22kW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10</w:t>
                  </w:r>
                </w:p>
              </w:tc>
              <w:tc>
                <w:tcPr>
                  <w:tcW w:w="1470" w:type="dxa"/>
                  <w:shd w:val="clear" w:color="auto" w:fill="auto"/>
                  <w:vAlign w:val="center"/>
                </w:tcPr>
                <w:p>
                  <w:pPr>
                    <w:spacing w:line="360" w:lineRule="exact"/>
                    <w:jc w:val="center"/>
                    <w:rPr>
                      <w:kern w:val="0"/>
                      <w:szCs w:val="21"/>
                    </w:rPr>
                  </w:pPr>
                  <w:r>
                    <w:rPr>
                      <w:rFonts w:hint="eastAsia"/>
                      <w:kern w:val="0"/>
                      <w:szCs w:val="21"/>
                    </w:rPr>
                    <w:t>20-30mm石子带式输送机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B=1000mm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2</w:t>
                  </w:r>
                </w:p>
              </w:tc>
              <w:tc>
                <w:tcPr>
                  <w:tcW w:w="3093" w:type="dxa"/>
                  <w:shd w:val="clear" w:color="auto" w:fill="auto"/>
                  <w:vAlign w:val="center"/>
                </w:tcPr>
                <w:p>
                  <w:pPr>
                    <w:spacing w:line="360" w:lineRule="exact"/>
                    <w:jc w:val="center"/>
                    <w:rPr>
                      <w:kern w:val="0"/>
                      <w:szCs w:val="21"/>
                    </w:rPr>
                  </w:pPr>
                  <w:r>
                    <w:rPr>
                      <w:rFonts w:hint="eastAsia"/>
                      <w:kern w:val="0"/>
                      <w:szCs w:val="21"/>
                    </w:rPr>
                    <w:t>L=18m Q=400t/h  N=22kW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11</w:t>
                  </w:r>
                </w:p>
              </w:tc>
              <w:tc>
                <w:tcPr>
                  <w:tcW w:w="1470" w:type="dxa"/>
                  <w:shd w:val="clear" w:color="auto" w:fill="auto"/>
                  <w:vAlign w:val="center"/>
                </w:tcPr>
                <w:p>
                  <w:pPr>
                    <w:spacing w:line="360" w:lineRule="exact"/>
                    <w:jc w:val="center"/>
                    <w:rPr>
                      <w:kern w:val="0"/>
                      <w:szCs w:val="21"/>
                    </w:rPr>
                  </w:pPr>
                  <w:r>
                    <w:rPr>
                      <w:rFonts w:hint="eastAsia"/>
                      <w:kern w:val="0"/>
                      <w:szCs w:val="21"/>
                    </w:rPr>
                    <w:t>配料带式输送机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L=24m Q=400t/h  N=30kW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12</w:t>
                  </w:r>
                </w:p>
              </w:tc>
              <w:tc>
                <w:tcPr>
                  <w:tcW w:w="1470" w:type="dxa"/>
                  <w:shd w:val="clear" w:color="auto" w:fill="auto"/>
                  <w:vAlign w:val="center"/>
                </w:tcPr>
                <w:p>
                  <w:pPr>
                    <w:spacing w:line="360" w:lineRule="exact"/>
                    <w:jc w:val="center"/>
                    <w:rPr>
                      <w:kern w:val="0"/>
                      <w:szCs w:val="21"/>
                    </w:rPr>
                  </w:pPr>
                  <w:r>
                    <w:rPr>
                      <w:rFonts w:hint="eastAsia"/>
                      <w:kern w:val="0"/>
                      <w:szCs w:val="21"/>
                    </w:rPr>
                    <w:t>上制砂缓存仓带式输送机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L=24m Q=400t/h  N=37kW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13</w:t>
                  </w:r>
                </w:p>
              </w:tc>
              <w:tc>
                <w:tcPr>
                  <w:tcW w:w="1470" w:type="dxa"/>
                  <w:shd w:val="clear" w:color="auto" w:fill="auto"/>
                  <w:vAlign w:val="center"/>
                </w:tcPr>
                <w:p>
                  <w:pPr>
                    <w:spacing w:line="360" w:lineRule="exact"/>
                    <w:jc w:val="center"/>
                    <w:rPr>
                      <w:kern w:val="0"/>
                      <w:szCs w:val="21"/>
                    </w:rPr>
                  </w:pPr>
                  <w:r>
                    <w:rPr>
                      <w:rFonts w:hint="eastAsia"/>
                      <w:kern w:val="0"/>
                      <w:szCs w:val="21"/>
                    </w:rPr>
                    <w:t>上制砂机带式输送机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L=24m Q=400t/h  N=37kW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14</w:t>
                  </w:r>
                </w:p>
              </w:tc>
              <w:tc>
                <w:tcPr>
                  <w:tcW w:w="1470" w:type="dxa"/>
                  <w:shd w:val="clear" w:color="auto" w:fill="auto"/>
                  <w:vAlign w:val="center"/>
                </w:tcPr>
                <w:p>
                  <w:pPr>
                    <w:spacing w:line="360" w:lineRule="exact"/>
                    <w:jc w:val="center"/>
                    <w:rPr>
                      <w:kern w:val="0"/>
                      <w:szCs w:val="21"/>
                    </w:rPr>
                  </w:pPr>
                  <w:r>
                    <w:rPr>
                      <w:rFonts w:hint="eastAsia"/>
                      <w:kern w:val="0"/>
                      <w:szCs w:val="21"/>
                    </w:rPr>
                    <w:t>高效冲击式制砂机</w:t>
                  </w:r>
                </w:p>
              </w:tc>
              <w:tc>
                <w:tcPr>
                  <w:tcW w:w="1488" w:type="dxa"/>
                  <w:shd w:val="clear" w:color="auto" w:fill="auto"/>
                  <w:vAlign w:val="center"/>
                </w:tcPr>
                <w:p>
                  <w:pPr>
                    <w:spacing w:line="360" w:lineRule="exact"/>
                    <w:jc w:val="center"/>
                    <w:rPr>
                      <w:kern w:val="0"/>
                      <w:szCs w:val="21"/>
                    </w:rPr>
                  </w:pPr>
                  <w:r>
                    <w:rPr>
                      <w:rFonts w:hint="eastAsia"/>
                      <w:kern w:val="0"/>
                      <w:szCs w:val="21"/>
                    </w:rPr>
                    <w:t>6X1263</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Q=400t/h N=315kW×2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15</w:t>
                  </w:r>
                </w:p>
              </w:tc>
              <w:tc>
                <w:tcPr>
                  <w:tcW w:w="1470" w:type="dxa"/>
                  <w:shd w:val="clear" w:color="auto" w:fill="auto"/>
                  <w:vAlign w:val="center"/>
                </w:tcPr>
                <w:p>
                  <w:pPr>
                    <w:spacing w:line="360" w:lineRule="exact"/>
                    <w:jc w:val="center"/>
                    <w:rPr>
                      <w:kern w:val="0"/>
                      <w:szCs w:val="21"/>
                    </w:rPr>
                  </w:pPr>
                  <w:r>
                    <w:rPr>
                      <w:rFonts w:hint="eastAsia"/>
                      <w:kern w:val="0"/>
                      <w:szCs w:val="21"/>
                    </w:rPr>
                    <w:t>上二级振动筛带式输送机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B=1200mm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L=24m Q=400t/h  N=37k</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06" w:type="dxa"/>
                  <w:vMerge w:val="continue"/>
                  <w:shd w:val="clear" w:color="auto" w:fill="auto"/>
                  <w:vAlign w:val="center"/>
                </w:tcPr>
                <w:p>
                  <w:pPr>
                    <w:spacing w:line="360" w:lineRule="exact"/>
                    <w:jc w:val="center"/>
                    <w:rPr>
                      <w:kern w:val="0"/>
                      <w:szCs w:val="21"/>
                    </w:rPr>
                  </w:pPr>
                </w:p>
              </w:tc>
              <w:tc>
                <w:tcPr>
                  <w:tcW w:w="493" w:type="dxa"/>
                  <w:shd w:val="clear" w:color="auto" w:fill="auto"/>
                  <w:vAlign w:val="center"/>
                </w:tcPr>
                <w:p>
                  <w:pPr>
                    <w:spacing w:line="360" w:lineRule="exact"/>
                    <w:jc w:val="center"/>
                    <w:rPr>
                      <w:kern w:val="0"/>
                      <w:szCs w:val="21"/>
                    </w:rPr>
                  </w:pPr>
                  <w:r>
                    <w:rPr>
                      <w:rFonts w:hint="eastAsia"/>
                      <w:kern w:val="0"/>
                      <w:szCs w:val="21"/>
                    </w:rPr>
                    <w:t>16</w:t>
                  </w:r>
                </w:p>
              </w:tc>
              <w:tc>
                <w:tcPr>
                  <w:tcW w:w="1470" w:type="dxa"/>
                  <w:shd w:val="clear" w:color="auto" w:fill="auto"/>
                  <w:vAlign w:val="center"/>
                </w:tcPr>
                <w:p>
                  <w:pPr>
                    <w:spacing w:line="360" w:lineRule="exact"/>
                    <w:jc w:val="center"/>
                    <w:rPr>
                      <w:kern w:val="0"/>
                      <w:szCs w:val="21"/>
                    </w:rPr>
                  </w:pPr>
                  <w:r>
                    <w:rPr>
                      <w:rFonts w:hint="eastAsia"/>
                      <w:kern w:val="0"/>
                      <w:szCs w:val="21"/>
                    </w:rPr>
                    <w:t>0-5mm石子带式输送机</w:t>
                  </w:r>
                </w:p>
              </w:tc>
              <w:tc>
                <w:tcPr>
                  <w:tcW w:w="1488" w:type="dxa"/>
                  <w:shd w:val="clear" w:color="auto" w:fill="auto"/>
                  <w:vAlign w:val="center"/>
                </w:tcPr>
                <w:p>
                  <w:pPr>
                    <w:spacing w:line="360" w:lineRule="exact"/>
                    <w:jc w:val="center"/>
                    <w:rPr>
                      <w:kern w:val="0"/>
                      <w:szCs w:val="21"/>
                    </w:rPr>
                  </w:pPr>
                  <w:r>
                    <w:rPr>
                      <w:rFonts w:hint="eastAsia"/>
                      <w:kern w:val="0"/>
                      <w:szCs w:val="21"/>
                    </w:rPr>
                    <w:t>B=1000mm</w:t>
                  </w:r>
                </w:p>
              </w:tc>
              <w:tc>
                <w:tcPr>
                  <w:tcW w:w="495" w:type="dxa"/>
                  <w:shd w:val="clear" w:color="auto" w:fill="auto"/>
                  <w:vAlign w:val="center"/>
                </w:tcPr>
                <w:p>
                  <w:pPr>
                    <w:spacing w:line="360" w:lineRule="exact"/>
                    <w:jc w:val="center"/>
                  </w:pPr>
                  <w:r>
                    <w:rPr>
                      <w:rFonts w:hint="eastAsia"/>
                    </w:rPr>
                    <w:t>台</w:t>
                  </w:r>
                </w:p>
              </w:tc>
              <w:tc>
                <w:tcPr>
                  <w:tcW w:w="495" w:type="dxa"/>
                  <w:shd w:val="clear" w:color="auto" w:fill="auto"/>
                  <w:vAlign w:val="center"/>
                </w:tcPr>
                <w:p>
                  <w:pPr>
                    <w:spacing w:line="360" w:lineRule="exact"/>
                    <w:jc w:val="center"/>
                  </w:pPr>
                  <w:r>
                    <w:rPr>
                      <w:rFonts w:hint="eastAsia"/>
                    </w:rPr>
                    <w:t>1</w:t>
                  </w:r>
                </w:p>
              </w:tc>
              <w:tc>
                <w:tcPr>
                  <w:tcW w:w="3093" w:type="dxa"/>
                  <w:shd w:val="clear" w:color="auto" w:fill="auto"/>
                  <w:vAlign w:val="center"/>
                </w:tcPr>
                <w:p>
                  <w:pPr>
                    <w:spacing w:line="360" w:lineRule="exact"/>
                    <w:jc w:val="center"/>
                    <w:rPr>
                      <w:kern w:val="0"/>
                      <w:szCs w:val="21"/>
                    </w:rPr>
                  </w:pPr>
                  <w:r>
                    <w:rPr>
                      <w:rFonts w:hint="eastAsia"/>
                      <w:kern w:val="0"/>
                      <w:szCs w:val="21"/>
                    </w:rPr>
                    <w:t>L=18m Q=400t/h  N=22kW</w:t>
                  </w:r>
                </w:p>
              </w:tc>
            </w:tr>
          </w:tbl>
          <w:p>
            <w:pPr>
              <w:pStyle w:val="50"/>
              <w:ind w:firstLine="482"/>
              <w:jc w:val="left"/>
              <w:rPr>
                <w:b/>
                <w:bCs/>
              </w:rPr>
            </w:pPr>
            <w:r>
              <w:rPr>
                <w:rFonts w:hint="eastAsia"/>
                <w:b/>
                <w:bCs/>
              </w:rPr>
              <w:t>（4）土石方平衡</w:t>
            </w:r>
          </w:p>
          <w:p>
            <w:pPr>
              <w:pStyle w:val="28"/>
              <w:spacing w:line="360" w:lineRule="auto"/>
              <w:ind w:firstLine="482"/>
              <w:rPr>
                <w:b/>
                <w:kern w:val="1"/>
                <w:sz w:val="24"/>
              </w:rPr>
            </w:pPr>
            <w:r>
              <w:rPr>
                <w:b/>
                <w:kern w:val="1"/>
                <w:sz w:val="24"/>
              </w:rPr>
              <w:fldChar w:fldCharType="begin"/>
            </w:r>
            <w:r>
              <w:rPr>
                <w:b/>
                <w:kern w:val="1"/>
                <w:sz w:val="24"/>
              </w:rPr>
              <w:instrText xml:space="preserve"> </w:instrText>
            </w:r>
            <w:r>
              <w:rPr>
                <w:rFonts w:hint="eastAsia"/>
                <w:b/>
                <w:kern w:val="1"/>
                <w:sz w:val="24"/>
              </w:rPr>
              <w:instrText xml:space="preserve">= 1 \* GB3</w:instrText>
            </w:r>
            <w:r>
              <w:rPr>
                <w:b/>
                <w:kern w:val="1"/>
                <w:sz w:val="24"/>
              </w:rPr>
              <w:instrText xml:space="preserve"> </w:instrText>
            </w:r>
            <w:r>
              <w:rPr>
                <w:b/>
                <w:kern w:val="1"/>
                <w:sz w:val="24"/>
              </w:rPr>
              <w:fldChar w:fldCharType="separate"/>
            </w:r>
            <w:r>
              <w:rPr>
                <w:rFonts w:hint="eastAsia"/>
                <w:b/>
                <w:kern w:val="1"/>
                <w:sz w:val="24"/>
              </w:rPr>
              <w:t>①</w:t>
            </w:r>
            <w:r>
              <w:rPr>
                <w:b/>
                <w:kern w:val="1"/>
                <w:sz w:val="24"/>
              </w:rPr>
              <w:fldChar w:fldCharType="end"/>
            </w:r>
            <w:r>
              <w:rPr>
                <w:rFonts w:hint="eastAsia"/>
                <w:b/>
                <w:kern w:val="1"/>
                <w:sz w:val="24"/>
              </w:rPr>
              <w:t>基建期土石方平衡</w:t>
            </w:r>
          </w:p>
          <w:p>
            <w:pPr>
              <w:spacing w:line="360" w:lineRule="auto"/>
              <w:ind w:firstLine="480" w:firstLineChars="200"/>
              <w:rPr>
                <w:sz w:val="24"/>
              </w:rPr>
            </w:pPr>
            <w:r>
              <w:rPr>
                <w:rFonts w:hint="eastAsia" w:ascii="宋体" w:hAnsi="宋体" w:cs="宋体"/>
                <w:sz w:val="24"/>
              </w:rPr>
              <w:t>本项目基建期土石方工程量主要为基建平台修建产生的挖方；矿区道路修筑挖填方及冲沟填方；工业场地平整及建筑物基础、管道工程等。</w:t>
            </w:r>
            <w:r>
              <w:rPr>
                <w:rFonts w:hint="eastAsia"/>
                <w:kern w:val="1"/>
                <w:sz w:val="24"/>
              </w:rPr>
              <w:t>本项目基建期挖方量为373.14万m</w:t>
            </w:r>
            <w:r>
              <w:rPr>
                <w:rFonts w:hint="eastAsia"/>
                <w:kern w:val="24"/>
                <w:sz w:val="24"/>
                <w:vertAlign w:val="superscript"/>
              </w:rPr>
              <w:t>3</w:t>
            </w:r>
            <w:r>
              <w:rPr>
                <w:rFonts w:hint="eastAsia"/>
                <w:kern w:val="1"/>
                <w:sz w:val="24"/>
              </w:rPr>
              <w:t>，一部分用于工业场地冲沟填埋，一部分综合利用，其中冲沟填埋填方量48万m</w:t>
            </w:r>
            <w:r>
              <w:rPr>
                <w:rFonts w:hint="eastAsia"/>
                <w:kern w:val="24"/>
                <w:sz w:val="24"/>
                <w:vertAlign w:val="superscript"/>
              </w:rPr>
              <w:t>3</w:t>
            </w:r>
            <w:r>
              <w:rPr>
                <w:rFonts w:hint="eastAsia"/>
                <w:kern w:val="1"/>
                <w:sz w:val="24"/>
              </w:rPr>
              <w:t>，综合利用量325.14万m</w:t>
            </w:r>
            <w:r>
              <w:rPr>
                <w:rFonts w:hint="eastAsia"/>
                <w:kern w:val="24"/>
                <w:sz w:val="24"/>
                <w:vertAlign w:val="superscript"/>
              </w:rPr>
              <w:t>3</w:t>
            </w:r>
            <w:r>
              <w:rPr>
                <w:rFonts w:hint="eastAsia"/>
                <w:kern w:val="24"/>
                <w:sz w:val="24"/>
              </w:rPr>
              <w:t>（表</w:t>
            </w:r>
            <w:r>
              <w:rPr>
                <w:rFonts w:hint="eastAsia"/>
                <w:w w:val="90"/>
                <w:kern w:val="0"/>
                <w:sz w:val="24"/>
              </w:rPr>
              <w:t>土5.31万m</w:t>
            </w:r>
            <w:r>
              <w:rPr>
                <w:rFonts w:hint="eastAsia"/>
                <w:w w:val="90"/>
                <w:kern w:val="0"/>
                <w:sz w:val="24"/>
                <w:vertAlign w:val="superscript"/>
              </w:rPr>
              <w:t>3</w:t>
            </w:r>
            <w:r>
              <w:rPr>
                <w:rFonts w:hint="eastAsia"/>
                <w:w w:val="90"/>
                <w:kern w:val="0"/>
                <w:sz w:val="24"/>
              </w:rPr>
              <w:t>暂存排土场，后期用于一采区土地复垦。岩312.04万m</w:t>
            </w:r>
            <w:r>
              <w:rPr>
                <w:rFonts w:hint="eastAsia"/>
                <w:w w:val="90"/>
                <w:kern w:val="0"/>
                <w:sz w:val="24"/>
                <w:vertAlign w:val="superscript"/>
              </w:rPr>
              <w:t>3</w:t>
            </w:r>
            <w:r>
              <w:rPr>
                <w:rFonts w:hint="eastAsia"/>
                <w:sz w:val="24"/>
              </w:rPr>
              <w:t>运至工业场地破碎筛分，其中22.05万t（合7.79</w:t>
            </w:r>
            <w:r>
              <w:rPr>
                <w:rFonts w:hint="eastAsia"/>
                <w:w w:val="90"/>
                <w:kern w:val="0"/>
                <w:sz w:val="24"/>
              </w:rPr>
              <w:t>万m</w:t>
            </w:r>
            <w:r>
              <w:rPr>
                <w:rFonts w:hint="eastAsia"/>
                <w:w w:val="90"/>
                <w:kern w:val="0"/>
                <w:sz w:val="24"/>
                <w:vertAlign w:val="superscript"/>
              </w:rPr>
              <w:t>3</w:t>
            </w:r>
            <w:r>
              <w:rPr>
                <w:rFonts w:hint="eastAsia"/>
                <w:sz w:val="24"/>
              </w:rPr>
              <w:t>）作为冶镁白云岩原料，其余用于矿区现状塌陷区填埋</w:t>
            </w:r>
            <w:r>
              <w:rPr>
                <w:rFonts w:hint="eastAsia"/>
                <w:kern w:val="24"/>
                <w:sz w:val="24"/>
              </w:rPr>
              <w:t>）</w:t>
            </w:r>
            <w:r>
              <w:rPr>
                <w:rFonts w:hint="eastAsia"/>
                <w:kern w:val="1"/>
                <w:sz w:val="24"/>
              </w:rPr>
              <w:t>具体内容见下表。</w:t>
            </w:r>
          </w:p>
          <w:p>
            <w:pPr>
              <w:pStyle w:val="50"/>
              <w:numPr>
                <w:ilvl w:val="0"/>
                <w:numId w:val="2"/>
              </w:numPr>
              <w:snapToGrid w:val="0"/>
              <w:spacing w:line="240" w:lineRule="auto"/>
              <w:ind w:firstLineChars="0"/>
              <w:jc w:val="center"/>
              <w:rPr>
                <w:b/>
                <w:bCs/>
              </w:rPr>
            </w:pPr>
            <w:r>
              <w:rPr>
                <w:rFonts w:hint="eastAsia"/>
                <w:b/>
                <w:bCs/>
              </w:rPr>
              <w:t>基建期土石方平衡表               单位：万m</w:t>
            </w:r>
            <w:r>
              <w:rPr>
                <w:rFonts w:hint="eastAsia"/>
                <w:b/>
                <w:bCs/>
                <w:vertAlign w:val="superscript"/>
              </w:rPr>
              <w:t>3</w:t>
            </w:r>
          </w:p>
          <w:tbl>
            <w:tblPr>
              <w:tblStyle w:val="22"/>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61"/>
              <w:gridCol w:w="336"/>
              <w:gridCol w:w="953"/>
              <w:gridCol w:w="679"/>
              <w:gridCol w:w="678"/>
              <w:gridCol w:w="594"/>
              <w:gridCol w:w="1694"/>
              <w:gridCol w:w="548"/>
              <w:gridCol w:w="804"/>
              <w:gridCol w:w="584"/>
              <w:gridCol w:w="8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861" w:type="dxa"/>
                  <w:vMerge w:val="restart"/>
                  <w:shd w:val="clear" w:color="auto" w:fill="auto"/>
                  <w:vAlign w:val="center"/>
                </w:tcPr>
                <w:p>
                  <w:pPr>
                    <w:pStyle w:val="33"/>
                    <w:spacing w:line="360" w:lineRule="exact"/>
                    <w:jc w:val="center"/>
                    <w:rPr>
                      <w:szCs w:val="21"/>
                    </w:rPr>
                  </w:pPr>
                  <w:r>
                    <w:rPr>
                      <w:rFonts w:hint="eastAsia"/>
                      <w:spacing w:val="-7"/>
                      <w:szCs w:val="21"/>
                    </w:rPr>
                    <w:t>土石方工程量</w:t>
                  </w:r>
                </w:p>
                <w:p>
                  <w:pPr>
                    <w:pStyle w:val="33"/>
                    <w:spacing w:line="360" w:lineRule="exact"/>
                    <w:jc w:val="center"/>
                    <w:rPr>
                      <w:szCs w:val="21"/>
                    </w:rPr>
                  </w:pPr>
                  <w:r>
                    <w:rPr>
                      <w:rFonts w:hint="eastAsia"/>
                      <w:szCs w:val="21"/>
                    </w:rPr>
                    <w:t>（</w:t>
                  </w:r>
                  <w:r>
                    <w:rPr>
                      <w:rFonts w:hint="eastAsia"/>
                      <w:spacing w:val="-9"/>
                      <w:szCs w:val="21"/>
                    </w:rPr>
                    <w:t>自然</w:t>
                  </w:r>
                  <w:r>
                    <w:rPr>
                      <w:rFonts w:hint="eastAsia"/>
                      <w:szCs w:val="21"/>
                    </w:rPr>
                    <w:t>方）</w:t>
                  </w:r>
                </w:p>
              </w:tc>
              <w:tc>
                <w:tcPr>
                  <w:tcW w:w="1289" w:type="dxa"/>
                  <w:gridSpan w:val="2"/>
                  <w:vMerge w:val="restart"/>
                  <w:shd w:val="clear" w:color="auto" w:fill="auto"/>
                  <w:vAlign w:val="center"/>
                </w:tcPr>
                <w:p>
                  <w:pPr>
                    <w:pStyle w:val="33"/>
                    <w:spacing w:line="360" w:lineRule="exact"/>
                    <w:jc w:val="center"/>
                    <w:rPr>
                      <w:szCs w:val="21"/>
                    </w:rPr>
                  </w:pPr>
                  <w:r>
                    <w:rPr>
                      <w:rFonts w:hint="eastAsia"/>
                      <w:szCs w:val="21"/>
                    </w:rPr>
                    <w:t>项目名称</w:t>
                  </w:r>
                </w:p>
              </w:tc>
              <w:tc>
                <w:tcPr>
                  <w:tcW w:w="679" w:type="dxa"/>
                  <w:vMerge w:val="restart"/>
                  <w:shd w:val="clear" w:color="auto" w:fill="auto"/>
                  <w:vAlign w:val="center"/>
                </w:tcPr>
                <w:p>
                  <w:pPr>
                    <w:pStyle w:val="33"/>
                    <w:spacing w:line="360" w:lineRule="exact"/>
                    <w:jc w:val="center"/>
                    <w:rPr>
                      <w:szCs w:val="21"/>
                    </w:rPr>
                  </w:pPr>
                  <w:r>
                    <w:rPr>
                      <w:rFonts w:hint="eastAsia"/>
                      <w:szCs w:val="21"/>
                    </w:rPr>
                    <w:t>挖方</w:t>
                  </w:r>
                </w:p>
              </w:tc>
              <w:tc>
                <w:tcPr>
                  <w:tcW w:w="678" w:type="dxa"/>
                  <w:vMerge w:val="restart"/>
                  <w:shd w:val="clear" w:color="auto" w:fill="auto"/>
                  <w:vAlign w:val="center"/>
                </w:tcPr>
                <w:p>
                  <w:pPr>
                    <w:pStyle w:val="33"/>
                    <w:spacing w:line="360" w:lineRule="exact"/>
                    <w:jc w:val="center"/>
                    <w:rPr>
                      <w:szCs w:val="21"/>
                    </w:rPr>
                  </w:pPr>
                  <w:r>
                    <w:rPr>
                      <w:rFonts w:hint="eastAsia"/>
                      <w:szCs w:val="21"/>
                    </w:rPr>
                    <w:t>填方</w:t>
                  </w:r>
                </w:p>
              </w:tc>
              <w:tc>
                <w:tcPr>
                  <w:tcW w:w="2288" w:type="dxa"/>
                  <w:gridSpan w:val="2"/>
                  <w:vMerge w:val="restart"/>
                  <w:shd w:val="clear" w:color="auto" w:fill="auto"/>
                  <w:vAlign w:val="center"/>
                </w:tcPr>
                <w:p>
                  <w:pPr>
                    <w:pStyle w:val="33"/>
                    <w:spacing w:line="360" w:lineRule="exact"/>
                    <w:jc w:val="center"/>
                    <w:rPr>
                      <w:szCs w:val="21"/>
                    </w:rPr>
                  </w:pPr>
                  <w:r>
                    <w:rPr>
                      <w:rFonts w:hint="eastAsia"/>
                      <w:szCs w:val="21"/>
                    </w:rPr>
                    <w:t>综合利用</w:t>
                  </w:r>
                </w:p>
              </w:tc>
              <w:tc>
                <w:tcPr>
                  <w:tcW w:w="1352" w:type="dxa"/>
                  <w:gridSpan w:val="2"/>
                  <w:shd w:val="clear" w:color="auto" w:fill="auto"/>
                  <w:vAlign w:val="center"/>
                </w:tcPr>
                <w:p>
                  <w:pPr>
                    <w:pStyle w:val="33"/>
                    <w:spacing w:line="360" w:lineRule="exact"/>
                    <w:jc w:val="center"/>
                    <w:rPr>
                      <w:szCs w:val="21"/>
                    </w:rPr>
                  </w:pPr>
                  <w:r>
                    <w:rPr>
                      <w:rFonts w:hint="eastAsia"/>
                      <w:szCs w:val="21"/>
                    </w:rPr>
                    <w:t>调入</w:t>
                  </w:r>
                </w:p>
              </w:tc>
              <w:tc>
                <w:tcPr>
                  <w:tcW w:w="1393" w:type="dxa"/>
                  <w:gridSpan w:val="2"/>
                  <w:shd w:val="clear" w:color="auto" w:fill="auto"/>
                  <w:vAlign w:val="center"/>
                </w:tcPr>
                <w:p>
                  <w:pPr>
                    <w:pStyle w:val="33"/>
                    <w:spacing w:line="360" w:lineRule="exact"/>
                    <w:jc w:val="center"/>
                    <w:rPr>
                      <w:szCs w:val="21"/>
                    </w:rPr>
                  </w:pPr>
                  <w:r>
                    <w:rPr>
                      <w:rFonts w:hint="eastAsia"/>
                      <w:szCs w:val="21"/>
                    </w:rPr>
                    <w:t>调出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861" w:type="dxa"/>
                  <w:vMerge w:val="continue"/>
                  <w:shd w:val="clear" w:color="auto" w:fill="auto"/>
                  <w:vAlign w:val="center"/>
                </w:tcPr>
                <w:p>
                  <w:pPr>
                    <w:spacing w:line="360" w:lineRule="exact"/>
                    <w:jc w:val="center"/>
                    <w:rPr>
                      <w:szCs w:val="21"/>
                    </w:rPr>
                  </w:pPr>
                </w:p>
              </w:tc>
              <w:tc>
                <w:tcPr>
                  <w:tcW w:w="1289" w:type="dxa"/>
                  <w:gridSpan w:val="2"/>
                  <w:vMerge w:val="continue"/>
                  <w:shd w:val="clear" w:color="auto" w:fill="auto"/>
                  <w:vAlign w:val="center"/>
                </w:tcPr>
                <w:p>
                  <w:pPr>
                    <w:spacing w:line="360" w:lineRule="exact"/>
                    <w:jc w:val="center"/>
                    <w:rPr>
                      <w:szCs w:val="21"/>
                    </w:rPr>
                  </w:pPr>
                </w:p>
              </w:tc>
              <w:tc>
                <w:tcPr>
                  <w:tcW w:w="679" w:type="dxa"/>
                  <w:vMerge w:val="continue"/>
                  <w:shd w:val="clear" w:color="auto" w:fill="auto"/>
                  <w:vAlign w:val="center"/>
                </w:tcPr>
                <w:p>
                  <w:pPr>
                    <w:spacing w:line="360" w:lineRule="exact"/>
                    <w:jc w:val="center"/>
                    <w:rPr>
                      <w:szCs w:val="21"/>
                    </w:rPr>
                  </w:pPr>
                </w:p>
              </w:tc>
              <w:tc>
                <w:tcPr>
                  <w:tcW w:w="678" w:type="dxa"/>
                  <w:vMerge w:val="continue"/>
                  <w:shd w:val="clear" w:color="auto" w:fill="auto"/>
                  <w:vAlign w:val="center"/>
                </w:tcPr>
                <w:p>
                  <w:pPr>
                    <w:spacing w:line="360" w:lineRule="exact"/>
                    <w:jc w:val="center"/>
                    <w:rPr>
                      <w:szCs w:val="21"/>
                    </w:rPr>
                  </w:pPr>
                </w:p>
              </w:tc>
              <w:tc>
                <w:tcPr>
                  <w:tcW w:w="2288" w:type="dxa"/>
                  <w:gridSpan w:val="2"/>
                  <w:vMerge w:val="continue"/>
                  <w:shd w:val="clear" w:color="auto" w:fill="auto"/>
                  <w:vAlign w:val="center"/>
                </w:tcPr>
                <w:p>
                  <w:pPr>
                    <w:spacing w:line="360" w:lineRule="exact"/>
                    <w:jc w:val="center"/>
                    <w:rPr>
                      <w:szCs w:val="21"/>
                    </w:rPr>
                  </w:pPr>
                </w:p>
              </w:tc>
              <w:tc>
                <w:tcPr>
                  <w:tcW w:w="548" w:type="dxa"/>
                  <w:shd w:val="clear" w:color="auto" w:fill="auto"/>
                  <w:vAlign w:val="center"/>
                </w:tcPr>
                <w:p>
                  <w:pPr>
                    <w:pStyle w:val="33"/>
                    <w:spacing w:line="360" w:lineRule="exact"/>
                    <w:jc w:val="center"/>
                    <w:rPr>
                      <w:szCs w:val="21"/>
                    </w:rPr>
                  </w:pPr>
                  <w:r>
                    <w:rPr>
                      <w:rFonts w:hint="eastAsia"/>
                      <w:szCs w:val="21"/>
                    </w:rPr>
                    <w:t>数量</w:t>
                  </w:r>
                </w:p>
              </w:tc>
              <w:tc>
                <w:tcPr>
                  <w:tcW w:w="804" w:type="dxa"/>
                  <w:shd w:val="clear" w:color="auto" w:fill="auto"/>
                  <w:vAlign w:val="center"/>
                </w:tcPr>
                <w:p>
                  <w:pPr>
                    <w:pStyle w:val="33"/>
                    <w:spacing w:line="360" w:lineRule="exact"/>
                    <w:jc w:val="center"/>
                    <w:rPr>
                      <w:szCs w:val="21"/>
                    </w:rPr>
                  </w:pPr>
                  <w:r>
                    <w:rPr>
                      <w:rFonts w:hint="eastAsia"/>
                      <w:szCs w:val="21"/>
                    </w:rPr>
                    <w:t>来源</w:t>
                  </w:r>
                </w:p>
              </w:tc>
              <w:tc>
                <w:tcPr>
                  <w:tcW w:w="584" w:type="dxa"/>
                  <w:shd w:val="clear" w:color="auto" w:fill="auto"/>
                  <w:vAlign w:val="center"/>
                </w:tcPr>
                <w:p>
                  <w:pPr>
                    <w:pStyle w:val="33"/>
                    <w:spacing w:line="360" w:lineRule="exact"/>
                    <w:jc w:val="center"/>
                    <w:rPr>
                      <w:szCs w:val="21"/>
                    </w:rPr>
                  </w:pPr>
                  <w:r>
                    <w:rPr>
                      <w:rFonts w:hint="eastAsia"/>
                      <w:szCs w:val="21"/>
                    </w:rPr>
                    <w:t>数量</w:t>
                  </w:r>
                </w:p>
              </w:tc>
              <w:tc>
                <w:tcPr>
                  <w:tcW w:w="809" w:type="dxa"/>
                  <w:shd w:val="clear" w:color="auto" w:fill="auto"/>
                  <w:vAlign w:val="center"/>
                </w:tcPr>
                <w:p>
                  <w:pPr>
                    <w:pStyle w:val="33"/>
                    <w:spacing w:line="360" w:lineRule="exact"/>
                    <w:jc w:val="center"/>
                    <w:rPr>
                      <w:szCs w:val="21"/>
                    </w:rPr>
                  </w:pPr>
                  <w:r>
                    <w:rPr>
                      <w:rFonts w:hint="eastAsia"/>
                      <w:szCs w:val="21"/>
                    </w:rPr>
                    <w:t>去向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85" w:hRule="atLeast"/>
              </w:trPr>
              <w:tc>
                <w:tcPr>
                  <w:tcW w:w="861" w:type="dxa"/>
                  <w:vMerge w:val="continue"/>
                  <w:shd w:val="clear" w:color="auto" w:fill="auto"/>
                  <w:vAlign w:val="center"/>
                </w:tcPr>
                <w:p>
                  <w:pPr>
                    <w:spacing w:line="360" w:lineRule="exact"/>
                    <w:jc w:val="center"/>
                    <w:rPr>
                      <w:szCs w:val="21"/>
                    </w:rPr>
                  </w:pPr>
                </w:p>
              </w:tc>
              <w:tc>
                <w:tcPr>
                  <w:tcW w:w="336" w:type="dxa"/>
                  <w:vMerge w:val="restart"/>
                  <w:shd w:val="clear" w:color="auto" w:fill="auto"/>
                  <w:vAlign w:val="center"/>
                </w:tcPr>
                <w:p>
                  <w:pPr>
                    <w:pStyle w:val="33"/>
                    <w:spacing w:line="360" w:lineRule="exact"/>
                    <w:jc w:val="center"/>
                    <w:rPr>
                      <w:szCs w:val="21"/>
                    </w:rPr>
                  </w:pPr>
                  <w:r>
                    <w:rPr>
                      <w:rFonts w:hint="eastAsia"/>
                      <w:szCs w:val="21"/>
                    </w:rPr>
                    <w:t>一</w:t>
                  </w:r>
                </w:p>
              </w:tc>
              <w:tc>
                <w:tcPr>
                  <w:tcW w:w="953" w:type="dxa"/>
                  <w:vMerge w:val="restart"/>
                  <w:shd w:val="clear" w:color="auto" w:fill="auto"/>
                  <w:vAlign w:val="center"/>
                </w:tcPr>
                <w:p>
                  <w:pPr>
                    <w:pStyle w:val="33"/>
                    <w:spacing w:line="360" w:lineRule="exact"/>
                    <w:jc w:val="center"/>
                    <w:rPr>
                      <w:szCs w:val="21"/>
                    </w:rPr>
                  </w:pPr>
                  <w:r>
                    <w:rPr>
                      <w:rFonts w:hint="eastAsia"/>
                      <w:szCs w:val="21"/>
                    </w:rPr>
                    <w:t>露天采场</w:t>
                  </w:r>
                </w:p>
              </w:tc>
              <w:tc>
                <w:tcPr>
                  <w:tcW w:w="679" w:type="dxa"/>
                  <w:vMerge w:val="restart"/>
                  <w:shd w:val="clear" w:color="auto" w:fill="auto"/>
                  <w:vAlign w:val="center"/>
                </w:tcPr>
                <w:p>
                  <w:pPr>
                    <w:pStyle w:val="33"/>
                    <w:spacing w:line="360" w:lineRule="exact"/>
                    <w:jc w:val="center"/>
                    <w:rPr>
                      <w:szCs w:val="21"/>
                    </w:rPr>
                  </w:pPr>
                  <w:r>
                    <w:rPr>
                      <w:rFonts w:hint="eastAsia"/>
                      <w:szCs w:val="21"/>
                    </w:rPr>
                    <w:t>370.14</w:t>
                  </w:r>
                </w:p>
              </w:tc>
              <w:tc>
                <w:tcPr>
                  <w:tcW w:w="678" w:type="dxa"/>
                  <w:vMerge w:val="restart"/>
                  <w:shd w:val="clear" w:color="auto" w:fill="auto"/>
                  <w:vAlign w:val="center"/>
                </w:tcPr>
                <w:p>
                  <w:pPr>
                    <w:pStyle w:val="33"/>
                    <w:spacing w:line="360" w:lineRule="exact"/>
                    <w:jc w:val="center"/>
                    <w:rPr>
                      <w:szCs w:val="21"/>
                    </w:rPr>
                  </w:pPr>
                  <w:r>
                    <w:rPr>
                      <w:rFonts w:hint="eastAsia"/>
                      <w:szCs w:val="21"/>
                    </w:rPr>
                    <w:t>5.00</w:t>
                  </w:r>
                </w:p>
              </w:tc>
              <w:tc>
                <w:tcPr>
                  <w:tcW w:w="594" w:type="dxa"/>
                  <w:vMerge w:val="restart"/>
                  <w:shd w:val="clear" w:color="auto" w:fill="auto"/>
                  <w:vAlign w:val="center"/>
                </w:tcPr>
                <w:p>
                  <w:pPr>
                    <w:pStyle w:val="33"/>
                    <w:spacing w:line="360" w:lineRule="exact"/>
                    <w:jc w:val="center"/>
                    <w:rPr>
                      <w:szCs w:val="21"/>
                    </w:rPr>
                  </w:pPr>
                  <w:r>
                    <w:rPr>
                      <w:rFonts w:hint="eastAsia"/>
                      <w:szCs w:val="21"/>
                    </w:rPr>
                    <w:t>325.14</w:t>
                  </w:r>
                </w:p>
              </w:tc>
              <w:tc>
                <w:tcPr>
                  <w:tcW w:w="1694" w:type="dxa"/>
                  <w:shd w:val="clear" w:color="auto" w:fill="auto"/>
                  <w:vAlign w:val="center"/>
                </w:tcPr>
                <w:p>
                  <w:pPr>
                    <w:pStyle w:val="33"/>
                    <w:spacing w:line="360" w:lineRule="exact"/>
                    <w:jc w:val="center"/>
                    <w:rPr>
                      <w:szCs w:val="21"/>
                    </w:rPr>
                  </w:pPr>
                  <w:r>
                    <w:rPr>
                      <w:rFonts w:hint="eastAsia"/>
                      <w:kern w:val="24"/>
                      <w:szCs w:val="21"/>
                    </w:rPr>
                    <w:t>表</w:t>
                  </w:r>
                  <w:r>
                    <w:rPr>
                      <w:rFonts w:hint="eastAsia"/>
                      <w:w w:val="90"/>
                      <w:szCs w:val="21"/>
                    </w:rPr>
                    <w:t>土5.31万m</w:t>
                  </w:r>
                  <w:r>
                    <w:rPr>
                      <w:rFonts w:hint="eastAsia"/>
                      <w:w w:val="90"/>
                      <w:szCs w:val="21"/>
                      <w:vertAlign w:val="superscript"/>
                    </w:rPr>
                    <w:t>3</w:t>
                  </w:r>
                  <w:r>
                    <w:rPr>
                      <w:rFonts w:hint="eastAsia"/>
                      <w:w w:val="90"/>
                      <w:szCs w:val="21"/>
                    </w:rPr>
                    <w:t>暂存排土场</w:t>
                  </w:r>
                </w:p>
              </w:tc>
              <w:tc>
                <w:tcPr>
                  <w:tcW w:w="548" w:type="dxa"/>
                  <w:vMerge w:val="restart"/>
                  <w:shd w:val="clear" w:color="auto" w:fill="auto"/>
                  <w:vAlign w:val="center"/>
                </w:tcPr>
                <w:p>
                  <w:pPr>
                    <w:pStyle w:val="33"/>
                    <w:spacing w:line="360" w:lineRule="exact"/>
                    <w:jc w:val="center"/>
                    <w:rPr>
                      <w:szCs w:val="21"/>
                    </w:rPr>
                  </w:pPr>
                </w:p>
              </w:tc>
              <w:tc>
                <w:tcPr>
                  <w:tcW w:w="804" w:type="dxa"/>
                  <w:vMerge w:val="restart"/>
                  <w:shd w:val="clear" w:color="auto" w:fill="auto"/>
                  <w:vAlign w:val="center"/>
                </w:tcPr>
                <w:p>
                  <w:pPr>
                    <w:pStyle w:val="33"/>
                    <w:spacing w:line="360" w:lineRule="exact"/>
                    <w:jc w:val="center"/>
                    <w:rPr>
                      <w:szCs w:val="21"/>
                    </w:rPr>
                  </w:pPr>
                </w:p>
              </w:tc>
              <w:tc>
                <w:tcPr>
                  <w:tcW w:w="584" w:type="dxa"/>
                  <w:vMerge w:val="restart"/>
                  <w:shd w:val="clear" w:color="auto" w:fill="auto"/>
                  <w:vAlign w:val="center"/>
                </w:tcPr>
                <w:p>
                  <w:pPr>
                    <w:pStyle w:val="33"/>
                    <w:spacing w:line="360" w:lineRule="exact"/>
                    <w:jc w:val="center"/>
                    <w:rPr>
                      <w:szCs w:val="21"/>
                    </w:rPr>
                  </w:pPr>
                  <w:r>
                    <w:rPr>
                      <w:rFonts w:hint="eastAsia"/>
                      <w:szCs w:val="21"/>
                    </w:rPr>
                    <w:t>40</w:t>
                  </w:r>
                </w:p>
              </w:tc>
              <w:tc>
                <w:tcPr>
                  <w:tcW w:w="809" w:type="dxa"/>
                  <w:vMerge w:val="restart"/>
                  <w:shd w:val="clear" w:color="auto" w:fill="auto"/>
                  <w:vAlign w:val="center"/>
                </w:tcPr>
                <w:p>
                  <w:pPr>
                    <w:pStyle w:val="33"/>
                    <w:spacing w:line="360" w:lineRule="exact"/>
                    <w:jc w:val="center"/>
                    <w:rPr>
                      <w:szCs w:val="21"/>
                    </w:rPr>
                  </w:pPr>
                  <w:r>
                    <w:rPr>
                      <w:rFonts w:hint="eastAsia"/>
                      <w:szCs w:val="21"/>
                    </w:rPr>
                    <w:t>工业场地填埋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84" w:hRule="atLeast"/>
              </w:trPr>
              <w:tc>
                <w:tcPr>
                  <w:tcW w:w="861" w:type="dxa"/>
                  <w:vMerge w:val="continue"/>
                  <w:shd w:val="clear" w:color="auto" w:fill="auto"/>
                  <w:vAlign w:val="center"/>
                </w:tcPr>
                <w:p>
                  <w:pPr>
                    <w:spacing w:line="360" w:lineRule="exact"/>
                    <w:jc w:val="center"/>
                    <w:rPr>
                      <w:szCs w:val="21"/>
                    </w:rPr>
                  </w:pPr>
                </w:p>
              </w:tc>
              <w:tc>
                <w:tcPr>
                  <w:tcW w:w="336" w:type="dxa"/>
                  <w:vMerge w:val="continue"/>
                  <w:shd w:val="clear" w:color="auto" w:fill="auto"/>
                  <w:vAlign w:val="center"/>
                </w:tcPr>
                <w:p>
                  <w:pPr>
                    <w:pStyle w:val="33"/>
                    <w:spacing w:line="360" w:lineRule="exact"/>
                    <w:jc w:val="center"/>
                    <w:rPr>
                      <w:szCs w:val="21"/>
                    </w:rPr>
                  </w:pPr>
                </w:p>
              </w:tc>
              <w:tc>
                <w:tcPr>
                  <w:tcW w:w="953" w:type="dxa"/>
                  <w:vMerge w:val="continue"/>
                  <w:shd w:val="clear" w:color="auto" w:fill="auto"/>
                  <w:vAlign w:val="center"/>
                </w:tcPr>
                <w:p>
                  <w:pPr>
                    <w:pStyle w:val="33"/>
                    <w:spacing w:line="360" w:lineRule="exact"/>
                    <w:jc w:val="center"/>
                    <w:rPr>
                      <w:szCs w:val="21"/>
                    </w:rPr>
                  </w:pPr>
                </w:p>
              </w:tc>
              <w:tc>
                <w:tcPr>
                  <w:tcW w:w="679" w:type="dxa"/>
                  <w:vMerge w:val="continue"/>
                  <w:shd w:val="clear" w:color="auto" w:fill="auto"/>
                  <w:vAlign w:val="center"/>
                </w:tcPr>
                <w:p>
                  <w:pPr>
                    <w:pStyle w:val="33"/>
                    <w:spacing w:line="360" w:lineRule="exact"/>
                    <w:jc w:val="center"/>
                    <w:rPr>
                      <w:szCs w:val="21"/>
                    </w:rPr>
                  </w:pPr>
                </w:p>
              </w:tc>
              <w:tc>
                <w:tcPr>
                  <w:tcW w:w="678" w:type="dxa"/>
                  <w:vMerge w:val="continue"/>
                  <w:shd w:val="clear" w:color="auto" w:fill="auto"/>
                  <w:vAlign w:val="center"/>
                </w:tcPr>
                <w:p>
                  <w:pPr>
                    <w:pStyle w:val="33"/>
                    <w:spacing w:line="360" w:lineRule="exact"/>
                    <w:jc w:val="center"/>
                    <w:rPr>
                      <w:szCs w:val="21"/>
                    </w:rPr>
                  </w:pPr>
                </w:p>
              </w:tc>
              <w:tc>
                <w:tcPr>
                  <w:tcW w:w="594" w:type="dxa"/>
                  <w:vMerge w:val="continue"/>
                  <w:shd w:val="clear" w:color="auto" w:fill="auto"/>
                  <w:vAlign w:val="center"/>
                </w:tcPr>
                <w:p>
                  <w:pPr>
                    <w:pStyle w:val="33"/>
                    <w:spacing w:line="360" w:lineRule="exact"/>
                    <w:jc w:val="center"/>
                    <w:rPr>
                      <w:szCs w:val="21"/>
                    </w:rPr>
                  </w:pPr>
                </w:p>
              </w:tc>
              <w:tc>
                <w:tcPr>
                  <w:tcW w:w="1694" w:type="dxa"/>
                  <w:shd w:val="clear" w:color="auto" w:fill="auto"/>
                  <w:vAlign w:val="center"/>
                </w:tcPr>
                <w:p>
                  <w:pPr>
                    <w:pStyle w:val="33"/>
                    <w:spacing w:line="360" w:lineRule="exact"/>
                    <w:jc w:val="center"/>
                    <w:rPr>
                      <w:szCs w:val="21"/>
                    </w:rPr>
                  </w:pPr>
                  <w:r>
                    <w:rPr>
                      <w:rFonts w:hint="eastAsia"/>
                      <w:szCs w:val="21"/>
                    </w:rPr>
                    <w:t>岩312.04万m</w:t>
                  </w:r>
                  <w:r>
                    <w:rPr>
                      <w:rFonts w:hint="eastAsia"/>
                      <w:szCs w:val="21"/>
                      <w:vertAlign w:val="superscript"/>
                    </w:rPr>
                    <w:t>3</w:t>
                  </w:r>
                  <w:r>
                    <w:rPr>
                      <w:rFonts w:hint="eastAsia"/>
                      <w:szCs w:val="21"/>
                    </w:rPr>
                    <w:t>运至工业场地破碎筛分</w:t>
                  </w:r>
                </w:p>
              </w:tc>
              <w:tc>
                <w:tcPr>
                  <w:tcW w:w="548" w:type="dxa"/>
                  <w:vMerge w:val="continue"/>
                  <w:shd w:val="clear" w:color="auto" w:fill="auto"/>
                  <w:vAlign w:val="center"/>
                </w:tcPr>
                <w:p>
                  <w:pPr>
                    <w:pStyle w:val="33"/>
                    <w:spacing w:line="360" w:lineRule="exact"/>
                    <w:jc w:val="center"/>
                    <w:rPr>
                      <w:szCs w:val="21"/>
                    </w:rPr>
                  </w:pPr>
                </w:p>
              </w:tc>
              <w:tc>
                <w:tcPr>
                  <w:tcW w:w="804" w:type="dxa"/>
                  <w:vMerge w:val="continue"/>
                  <w:shd w:val="clear" w:color="auto" w:fill="auto"/>
                  <w:vAlign w:val="center"/>
                </w:tcPr>
                <w:p>
                  <w:pPr>
                    <w:pStyle w:val="33"/>
                    <w:spacing w:line="360" w:lineRule="exact"/>
                    <w:jc w:val="center"/>
                    <w:rPr>
                      <w:szCs w:val="21"/>
                    </w:rPr>
                  </w:pPr>
                </w:p>
              </w:tc>
              <w:tc>
                <w:tcPr>
                  <w:tcW w:w="584" w:type="dxa"/>
                  <w:vMerge w:val="continue"/>
                  <w:shd w:val="clear" w:color="auto" w:fill="auto"/>
                  <w:vAlign w:val="center"/>
                </w:tcPr>
                <w:p>
                  <w:pPr>
                    <w:pStyle w:val="33"/>
                    <w:spacing w:line="360" w:lineRule="exact"/>
                    <w:jc w:val="center"/>
                    <w:rPr>
                      <w:szCs w:val="21"/>
                    </w:rPr>
                  </w:pPr>
                </w:p>
              </w:tc>
              <w:tc>
                <w:tcPr>
                  <w:tcW w:w="809" w:type="dxa"/>
                  <w:vMerge w:val="continue"/>
                  <w:shd w:val="clear" w:color="auto" w:fill="auto"/>
                  <w:vAlign w:val="center"/>
                </w:tcPr>
                <w:p>
                  <w:pPr>
                    <w:pStyle w:val="33"/>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84" w:hRule="atLeast"/>
              </w:trPr>
              <w:tc>
                <w:tcPr>
                  <w:tcW w:w="861" w:type="dxa"/>
                  <w:vMerge w:val="continue"/>
                  <w:shd w:val="clear" w:color="auto" w:fill="auto"/>
                  <w:vAlign w:val="center"/>
                </w:tcPr>
                <w:p>
                  <w:pPr>
                    <w:spacing w:line="360" w:lineRule="exact"/>
                    <w:jc w:val="center"/>
                    <w:rPr>
                      <w:szCs w:val="21"/>
                    </w:rPr>
                  </w:pPr>
                </w:p>
              </w:tc>
              <w:tc>
                <w:tcPr>
                  <w:tcW w:w="336" w:type="dxa"/>
                  <w:vMerge w:val="continue"/>
                  <w:shd w:val="clear" w:color="auto" w:fill="auto"/>
                  <w:vAlign w:val="center"/>
                </w:tcPr>
                <w:p>
                  <w:pPr>
                    <w:pStyle w:val="33"/>
                    <w:spacing w:line="360" w:lineRule="exact"/>
                    <w:jc w:val="center"/>
                    <w:rPr>
                      <w:szCs w:val="21"/>
                    </w:rPr>
                  </w:pPr>
                </w:p>
              </w:tc>
              <w:tc>
                <w:tcPr>
                  <w:tcW w:w="953" w:type="dxa"/>
                  <w:vMerge w:val="continue"/>
                  <w:shd w:val="clear" w:color="auto" w:fill="auto"/>
                  <w:vAlign w:val="center"/>
                </w:tcPr>
                <w:p>
                  <w:pPr>
                    <w:pStyle w:val="33"/>
                    <w:spacing w:line="360" w:lineRule="exact"/>
                    <w:jc w:val="center"/>
                    <w:rPr>
                      <w:szCs w:val="21"/>
                    </w:rPr>
                  </w:pPr>
                </w:p>
              </w:tc>
              <w:tc>
                <w:tcPr>
                  <w:tcW w:w="679" w:type="dxa"/>
                  <w:vMerge w:val="continue"/>
                  <w:shd w:val="clear" w:color="auto" w:fill="auto"/>
                  <w:vAlign w:val="center"/>
                </w:tcPr>
                <w:p>
                  <w:pPr>
                    <w:pStyle w:val="33"/>
                    <w:spacing w:line="360" w:lineRule="exact"/>
                    <w:jc w:val="center"/>
                    <w:rPr>
                      <w:szCs w:val="21"/>
                    </w:rPr>
                  </w:pPr>
                </w:p>
              </w:tc>
              <w:tc>
                <w:tcPr>
                  <w:tcW w:w="678" w:type="dxa"/>
                  <w:vMerge w:val="continue"/>
                  <w:shd w:val="clear" w:color="auto" w:fill="auto"/>
                  <w:vAlign w:val="center"/>
                </w:tcPr>
                <w:p>
                  <w:pPr>
                    <w:pStyle w:val="33"/>
                    <w:spacing w:line="360" w:lineRule="exact"/>
                    <w:jc w:val="center"/>
                    <w:rPr>
                      <w:szCs w:val="21"/>
                    </w:rPr>
                  </w:pPr>
                </w:p>
              </w:tc>
              <w:tc>
                <w:tcPr>
                  <w:tcW w:w="594" w:type="dxa"/>
                  <w:vMerge w:val="continue"/>
                  <w:shd w:val="clear" w:color="auto" w:fill="auto"/>
                  <w:vAlign w:val="center"/>
                </w:tcPr>
                <w:p>
                  <w:pPr>
                    <w:pStyle w:val="33"/>
                    <w:spacing w:line="360" w:lineRule="exact"/>
                    <w:jc w:val="center"/>
                    <w:rPr>
                      <w:szCs w:val="21"/>
                    </w:rPr>
                  </w:pPr>
                </w:p>
              </w:tc>
              <w:tc>
                <w:tcPr>
                  <w:tcW w:w="1694" w:type="dxa"/>
                  <w:shd w:val="clear" w:color="auto" w:fill="auto"/>
                  <w:vAlign w:val="center"/>
                </w:tcPr>
                <w:p>
                  <w:pPr>
                    <w:pStyle w:val="33"/>
                    <w:spacing w:line="360" w:lineRule="exact"/>
                    <w:jc w:val="center"/>
                    <w:rPr>
                      <w:szCs w:val="21"/>
                    </w:rPr>
                  </w:pPr>
                  <w:r>
                    <w:rPr>
                      <w:rFonts w:hint="eastAsia"/>
                      <w:szCs w:val="21"/>
                    </w:rPr>
                    <w:t>7.79万m</w:t>
                  </w:r>
                  <w:r>
                    <w:rPr>
                      <w:rFonts w:hint="eastAsia"/>
                      <w:szCs w:val="21"/>
                      <w:vertAlign w:val="superscript"/>
                    </w:rPr>
                    <w:t>3</w:t>
                  </w:r>
                  <w:r>
                    <w:rPr>
                      <w:rFonts w:hint="eastAsia"/>
                      <w:szCs w:val="21"/>
                    </w:rPr>
                    <w:t>作为冶镁白云岩原料</w:t>
                  </w:r>
                </w:p>
              </w:tc>
              <w:tc>
                <w:tcPr>
                  <w:tcW w:w="548" w:type="dxa"/>
                  <w:vMerge w:val="continue"/>
                  <w:shd w:val="clear" w:color="auto" w:fill="auto"/>
                  <w:vAlign w:val="center"/>
                </w:tcPr>
                <w:p>
                  <w:pPr>
                    <w:pStyle w:val="33"/>
                    <w:spacing w:line="360" w:lineRule="exact"/>
                    <w:jc w:val="center"/>
                    <w:rPr>
                      <w:szCs w:val="21"/>
                    </w:rPr>
                  </w:pPr>
                </w:p>
              </w:tc>
              <w:tc>
                <w:tcPr>
                  <w:tcW w:w="804" w:type="dxa"/>
                  <w:vMerge w:val="continue"/>
                  <w:shd w:val="clear" w:color="auto" w:fill="auto"/>
                  <w:vAlign w:val="center"/>
                </w:tcPr>
                <w:p>
                  <w:pPr>
                    <w:pStyle w:val="33"/>
                    <w:spacing w:line="360" w:lineRule="exact"/>
                    <w:jc w:val="center"/>
                    <w:rPr>
                      <w:szCs w:val="21"/>
                    </w:rPr>
                  </w:pPr>
                </w:p>
              </w:tc>
              <w:tc>
                <w:tcPr>
                  <w:tcW w:w="584" w:type="dxa"/>
                  <w:vMerge w:val="continue"/>
                  <w:shd w:val="clear" w:color="auto" w:fill="auto"/>
                  <w:vAlign w:val="center"/>
                </w:tcPr>
                <w:p>
                  <w:pPr>
                    <w:pStyle w:val="33"/>
                    <w:spacing w:line="360" w:lineRule="exact"/>
                    <w:jc w:val="center"/>
                    <w:rPr>
                      <w:szCs w:val="21"/>
                    </w:rPr>
                  </w:pPr>
                </w:p>
              </w:tc>
              <w:tc>
                <w:tcPr>
                  <w:tcW w:w="809" w:type="dxa"/>
                  <w:vMerge w:val="continue"/>
                  <w:shd w:val="clear" w:color="auto" w:fill="auto"/>
                  <w:vAlign w:val="center"/>
                </w:tcPr>
                <w:p>
                  <w:pPr>
                    <w:pStyle w:val="33"/>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861" w:type="dxa"/>
                  <w:vMerge w:val="continue"/>
                  <w:shd w:val="clear" w:color="auto" w:fill="auto"/>
                  <w:vAlign w:val="center"/>
                </w:tcPr>
                <w:p>
                  <w:pPr>
                    <w:spacing w:line="360" w:lineRule="exact"/>
                    <w:jc w:val="center"/>
                    <w:rPr>
                      <w:szCs w:val="21"/>
                    </w:rPr>
                  </w:pPr>
                </w:p>
              </w:tc>
              <w:tc>
                <w:tcPr>
                  <w:tcW w:w="336" w:type="dxa"/>
                  <w:shd w:val="clear" w:color="auto" w:fill="auto"/>
                  <w:vAlign w:val="center"/>
                </w:tcPr>
                <w:p>
                  <w:pPr>
                    <w:pStyle w:val="33"/>
                    <w:spacing w:line="360" w:lineRule="exact"/>
                    <w:jc w:val="center"/>
                    <w:rPr>
                      <w:szCs w:val="21"/>
                    </w:rPr>
                  </w:pPr>
                  <w:r>
                    <w:rPr>
                      <w:rFonts w:hint="eastAsia"/>
                      <w:szCs w:val="21"/>
                    </w:rPr>
                    <w:t>二</w:t>
                  </w:r>
                </w:p>
              </w:tc>
              <w:tc>
                <w:tcPr>
                  <w:tcW w:w="953" w:type="dxa"/>
                  <w:shd w:val="clear" w:color="auto" w:fill="auto"/>
                  <w:vAlign w:val="center"/>
                </w:tcPr>
                <w:p>
                  <w:pPr>
                    <w:pStyle w:val="33"/>
                    <w:spacing w:line="360" w:lineRule="exact"/>
                    <w:jc w:val="center"/>
                    <w:rPr>
                      <w:szCs w:val="21"/>
                    </w:rPr>
                  </w:pPr>
                  <w:r>
                    <w:rPr>
                      <w:rFonts w:hint="eastAsia"/>
                      <w:szCs w:val="21"/>
                    </w:rPr>
                    <w:t>工业场地</w:t>
                  </w:r>
                </w:p>
              </w:tc>
              <w:tc>
                <w:tcPr>
                  <w:tcW w:w="679" w:type="dxa"/>
                  <w:shd w:val="clear" w:color="auto" w:fill="auto"/>
                  <w:vAlign w:val="center"/>
                </w:tcPr>
                <w:p>
                  <w:pPr>
                    <w:pStyle w:val="33"/>
                    <w:spacing w:line="360" w:lineRule="exact"/>
                    <w:jc w:val="center"/>
                    <w:rPr>
                      <w:szCs w:val="21"/>
                    </w:rPr>
                  </w:pPr>
                  <w:r>
                    <w:rPr>
                      <w:rFonts w:hint="eastAsia"/>
                      <w:szCs w:val="21"/>
                    </w:rPr>
                    <w:t>1.00</w:t>
                  </w:r>
                </w:p>
              </w:tc>
              <w:tc>
                <w:tcPr>
                  <w:tcW w:w="678" w:type="dxa"/>
                  <w:shd w:val="clear" w:color="auto" w:fill="auto"/>
                  <w:vAlign w:val="center"/>
                </w:tcPr>
                <w:p>
                  <w:pPr>
                    <w:pStyle w:val="33"/>
                    <w:spacing w:line="360" w:lineRule="exact"/>
                    <w:jc w:val="center"/>
                    <w:rPr>
                      <w:szCs w:val="21"/>
                    </w:rPr>
                  </w:pPr>
                  <w:r>
                    <w:rPr>
                      <w:rFonts w:hint="eastAsia"/>
                      <w:szCs w:val="21"/>
                    </w:rPr>
                    <w:t>41.00</w:t>
                  </w:r>
                </w:p>
              </w:tc>
              <w:tc>
                <w:tcPr>
                  <w:tcW w:w="2288" w:type="dxa"/>
                  <w:gridSpan w:val="2"/>
                  <w:shd w:val="clear" w:color="auto" w:fill="auto"/>
                  <w:vAlign w:val="center"/>
                </w:tcPr>
                <w:p>
                  <w:pPr>
                    <w:pStyle w:val="33"/>
                    <w:spacing w:line="360" w:lineRule="exact"/>
                    <w:jc w:val="center"/>
                    <w:rPr>
                      <w:szCs w:val="21"/>
                    </w:rPr>
                  </w:pPr>
                  <w:r>
                    <w:rPr>
                      <w:rFonts w:hint="eastAsia"/>
                      <w:szCs w:val="21"/>
                    </w:rPr>
                    <w:t>0.00</w:t>
                  </w:r>
                </w:p>
              </w:tc>
              <w:tc>
                <w:tcPr>
                  <w:tcW w:w="548" w:type="dxa"/>
                  <w:shd w:val="clear" w:color="auto" w:fill="auto"/>
                  <w:vAlign w:val="center"/>
                </w:tcPr>
                <w:p>
                  <w:pPr>
                    <w:pStyle w:val="33"/>
                    <w:spacing w:line="360" w:lineRule="exact"/>
                    <w:jc w:val="center"/>
                    <w:rPr>
                      <w:szCs w:val="21"/>
                    </w:rPr>
                  </w:pPr>
                  <w:r>
                    <w:rPr>
                      <w:rFonts w:hint="eastAsia"/>
                      <w:szCs w:val="21"/>
                    </w:rPr>
                    <w:t>40</w:t>
                  </w:r>
                </w:p>
              </w:tc>
              <w:tc>
                <w:tcPr>
                  <w:tcW w:w="804" w:type="dxa"/>
                  <w:shd w:val="clear" w:color="auto" w:fill="auto"/>
                  <w:vAlign w:val="center"/>
                </w:tcPr>
                <w:p>
                  <w:pPr>
                    <w:pStyle w:val="33"/>
                    <w:spacing w:line="360" w:lineRule="exact"/>
                    <w:jc w:val="center"/>
                    <w:rPr>
                      <w:szCs w:val="21"/>
                    </w:rPr>
                  </w:pPr>
                  <w:r>
                    <w:rPr>
                      <w:rFonts w:hint="eastAsia"/>
                      <w:szCs w:val="21"/>
                    </w:rPr>
                    <w:t>露天采场</w:t>
                  </w:r>
                </w:p>
              </w:tc>
              <w:tc>
                <w:tcPr>
                  <w:tcW w:w="584" w:type="dxa"/>
                  <w:shd w:val="clear" w:color="auto" w:fill="auto"/>
                  <w:vAlign w:val="center"/>
                </w:tcPr>
                <w:p>
                  <w:pPr>
                    <w:pStyle w:val="33"/>
                    <w:spacing w:line="360" w:lineRule="exact"/>
                    <w:jc w:val="center"/>
                    <w:rPr>
                      <w:szCs w:val="21"/>
                    </w:rPr>
                  </w:pPr>
                </w:p>
              </w:tc>
              <w:tc>
                <w:tcPr>
                  <w:tcW w:w="809" w:type="dxa"/>
                  <w:shd w:val="clear" w:color="auto" w:fill="auto"/>
                  <w:vAlign w:val="center"/>
                </w:tcPr>
                <w:p>
                  <w:pPr>
                    <w:pStyle w:val="33"/>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861" w:type="dxa"/>
                  <w:vMerge w:val="continue"/>
                  <w:shd w:val="clear" w:color="auto" w:fill="auto"/>
                  <w:vAlign w:val="center"/>
                </w:tcPr>
                <w:p>
                  <w:pPr>
                    <w:spacing w:line="360" w:lineRule="exact"/>
                    <w:jc w:val="center"/>
                    <w:rPr>
                      <w:szCs w:val="21"/>
                    </w:rPr>
                  </w:pPr>
                </w:p>
              </w:tc>
              <w:tc>
                <w:tcPr>
                  <w:tcW w:w="336" w:type="dxa"/>
                  <w:shd w:val="clear" w:color="auto" w:fill="auto"/>
                  <w:vAlign w:val="center"/>
                </w:tcPr>
                <w:p>
                  <w:pPr>
                    <w:pStyle w:val="33"/>
                    <w:spacing w:line="360" w:lineRule="exact"/>
                    <w:jc w:val="center"/>
                    <w:rPr>
                      <w:szCs w:val="21"/>
                    </w:rPr>
                  </w:pPr>
                  <w:r>
                    <w:rPr>
                      <w:rFonts w:hint="eastAsia"/>
                      <w:szCs w:val="21"/>
                    </w:rPr>
                    <w:t>三</w:t>
                  </w:r>
                </w:p>
              </w:tc>
              <w:tc>
                <w:tcPr>
                  <w:tcW w:w="953" w:type="dxa"/>
                  <w:shd w:val="clear" w:color="auto" w:fill="auto"/>
                  <w:vAlign w:val="center"/>
                </w:tcPr>
                <w:p>
                  <w:pPr>
                    <w:pStyle w:val="33"/>
                    <w:spacing w:line="360" w:lineRule="exact"/>
                    <w:jc w:val="center"/>
                    <w:rPr>
                      <w:szCs w:val="21"/>
                    </w:rPr>
                  </w:pPr>
                  <w:r>
                    <w:rPr>
                      <w:rFonts w:hint="eastAsia"/>
                      <w:szCs w:val="21"/>
                    </w:rPr>
                    <w:t>进场道路</w:t>
                  </w:r>
                </w:p>
              </w:tc>
              <w:tc>
                <w:tcPr>
                  <w:tcW w:w="679" w:type="dxa"/>
                  <w:shd w:val="clear" w:color="auto" w:fill="auto"/>
                  <w:vAlign w:val="center"/>
                </w:tcPr>
                <w:p>
                  <w:pPr>
                    <w:pStyle w:val="33"/>
                    <w:spacing w:line="360" w:lineRule="exact"/>
                    <w:jc w:val="center"/>
                    <w:rPr>
                      <w:szCs w:val="21"/>
                    </w:rPr>
                  </w:pPr>
                  <w:r>
                    <w:rPr>
                      <w:rFonts w:hint="eastAsia"/>
                      <w:szCs w:val="21"/>
                    </w:rPr>
                    <w:t>2.00</w:t>
                  </w:r>
                </w:p>
              </w:tc>
              <w:tc>
                <w:tcPr>
                  <w:tcW w:w="678" w:type="dxa"/>
                  <w:shd w:val="clear" w:color="auto" w:fill="auto"/>
                  <w:vAlign w:val="center"/>
                </w:tcPr>
                <w:p>
                  <w:pPr>
                    <w:pStyle w:val="33"/>
                    <w:spacing w:line="360" w:lineRule="exact"/>
                    <w:jc w:val="center"/>
                    <w:rPr>
                      <w:szCs w:val="21"/>
                    </w:rPr>
                  </w:pPr>
                  <w:r>
                    <w:rPr>
                      <w:rFonts w:hint="eastAsia"/>
                      <w:szCs w:val="21"/>
                    </w:rPr>
                    <w:t>2.00</w:t>
                  </w:r>
                </w:p>
              </w:tc>
              <w:tc>
                <w:tcPr>
                  <w:tcW w:w="2288" w:type="dxa"/>
                  <w:gridSpan w:val="2"/>
                  <w:shd w:val="clear" w:color="auto" w:fill="auto"/>
                  <w:vAlign w:val="center"/>
                </w:tcPr>
                <w:p>
                  <w:pPr>
                    <w:pStyle w:val="33"/>
                    <w:spacing w:line="360" w:lineRule="exact"/>
                    <w:jc w:val="center"/>
                    <w:rPr>
                      <w:szCs w:val="21"/>
                    </w:rPr>
                  </w:pPr>
                  <w:r>
                    <w:rPr>
                      <w:rFonts w:hint="eastAsia"/>
                      <w:szCs w:val="21"/>
                    </w:rPr>
                    <w:t>0.00</w:t>
                  </w:r>
                </w:p>
              </w:tc>
              <w:tc>
                <w:tcPr>
                  <w:tcW w:w="548" w:type="dxa"/>
                  <w:shd w:val="clear" w:color="auto" w:fill="auto"/>
                  <w:vAlign w:val="center"/>
                </w:tcPr>
                <w:p>
                  <w:pPr>
                    <w:pStyle w:val="33"/>
                    <w:spacing w:line="360" w:lineRule="exact"/>
                    <w:jc w:val="center"/>
                    <w:rPr>
                      <w:szCs w:val="21"/>
                    </w:rPr>
                  </w:pPr>
                </w:p>
              </w:tc>
              <w:tc>
                <w:tcPr>
                  <w:tcW w:w="804" w:type="dxa"/>
                  <w:shd w:val="clear" w:color="auto" w:fill="auto"/>
                  <w:vAlign w:val="center"/>
                </w:tcPr>
                <w:p>
                  <w:pPr>
                    <w:pStyle w:val="33"/>
                    <w:spacing w:line="360" w:lineRule="exact"/>
                    <w:jc w:val="center"/>
                    <w:rPr>
                      <w:szCs w:val="21"/>
                    </w:rPr>
                  </w:pPr>
                </w:p>
              </w:tc>
              <w:tc>
                <w:tcPr>
                  <w:tcW w:w="584" w:type="dxa"/>
                  <w:shd w:val="clear" w:color="auto" w:fill="auto"/>
                  <w:vAlign w:val="center"/>
                </w:tcPr>
                <w:p>
                  <w:pPr>
                    <w:pStyle w:val="33"/>
                    <w:spacing w:line="360" w:lineRule="exact"/>
                    <w:jc w:val="center"/>
                    <w:rPr>
                      <w:szCs w:val="21"/>
                    </w:rPr>
                  </w:pPr>
                </w:p>
              </w:tc>
              <w:tc>
                <w:tcPr>
                  <w:tcW w:w="809" w:type="dxa"/>
                  <w:shd w:val="clear" w:color="auto" w:fill="auto"/>
                  <w:vAlign w:val="center"/>
                </w:tcPr>
                <w:p>
                  <w:pPr>
                    <w:pStyle w:val="33"/>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861" w:type="dxa"/>
                  <w:vMerge w:val="continue"/>
                  <w:shd w:val="clear" w:color="auto" w:fill="auto"/>
                  <w:vAlign w:val="center"/>
                </w:tcPr>
                <w:p>
                  <w:pPr>
                    <w:spacing w:line="360" w:lineRule="exact"/>
                    <w:jc w:val="center"/>
                    <w:rPr>
                      <w:szCs w:val="21"/>
                    </w:rPr>
                  </w:pPr>
                </w:p>
              </w:tc>
              <w:tc>
                <w:tcPr>
                  <w:tcW w:w="1289" w:type="dxa"/>
                  <w:gridSpan w:val="2"/>
                  <w:shd w:val="clear" w:color="auto" w:fill="auto"/>
                  <w:vAlign w:val="center"/>
                </w:tcPr>
                <w:p>
                  <w:pPr>
                    <w:pStyle w:val="33"/>
                    <w:spacing w:line="360" w:lineRule="exact"/>
                    <w:jc w:val="center"/>
                    <w:rPr>
                      <w:szCs w:val="21"/>
                    </w:rPr>
                  </w:pPr>
                  <w:r>
                    <w:rPr>
                      <w:rFonts w:hint="eastAsia"/>
                      <w:szCs w:val="21"/>
                    </w:rPr>
                    <w:t>合计</w:t>
                  </w:r>
                </w:p>
              </w:tc>
              <w:tc>
                <w:tcPr>
                  <w:tcW w:w="679" w:type="dxa"/>
                  <w:shd w:val="clear" w:color="auto" w:fill="auto"/>
                  <w:vAlign w:val="center"/>
                </w:tcPr>
                <w:p>
                  <w:pPr>
                    <w:pStyle w:val="33"/>
                    <w:spacing w:line="360" w:lineRule="exact"/>
                    <w:jc w:val="center"/>
                    <w:rPr>
                      <w:szCs w:val="21"/>
                    </w:rPr>
                  </w:pPr>
                  <w:r>
                    <w:rPr>
                      <w:rFonts w:hint="eastAsia"/>
                      <w:szCs w:val="21"/>
                    </w:rPr>
                    <w:t>373.14</w:t>
                  </w:r>
                </w:p>
              </w:tc>
              <w:tc>
                <w:tcPr>
                  <w:tcW w:w="678" w:type="dxa"/>
                  <w:shd w:val="clear" w:color="auto" w:fill="auto"/>
                  <w:vAlign w:val="center"/>
                </w:tcPr>
                <w:p>
                  <w:pPr>
                    <w:pStyle w:val="33"/>
                    <w:spacing w:line="360" w:lineRule="exact"/>
                    <w:jc w:val="center"/>
                    <w:rPr>
                      <w:szCs w:val="21"/>
                    </w:rPr>
                  </w:pPr>
                  <w:r>
                    <w:rPr>
                      <w:rFonts w:hint="eastAsia"/>
                      <w:szCs w:val="21"/>
                    </w:rPr>
                    <w:t>48.00</w:t>
                  </w:r>
                </w:p>
              </w:tc>
              <w:tc>
                <w:tcPr>
                  <w:tcW w:w="2288" w:type="dxa"/>
                  <w:gridSpan w:val="2"/>
                  <w:shd w:val="clear" w:color="auto" w:fill="auto"/>
                  <w:vAlign w:val="center"/>
                </w:tcPr>
                <w:p>
                  <w:pPr>
                    <w:pStyle w:val="33"/>
                    <w:spacing w:line="360" w:lineRule="exact"/>
                    <w:jc w:val="center"/>
                    <w:rPr>
                      <w:szCs w:val="21"/>
                    </w:rPr>
                  </w:pPr>
                  <w:r>
                    <w:rPr>
                      <w:rFonts w:hint="eastAsia"/>
                      <w:szCs w:val="21"/>
                    </w:rPr>
                    <w:t>325.14</w:t>
                  </w:r>
                </w:p>
              </w:tc>
              <w:tc>
                <w:tcPr>
                  <w:tcW w:w="548" w:type="dxa"/>
                  <w:shd w:val="clear" w:color="auto" w:fill="auto"/>
                  <w:vAlign w:val="center"/>
                </w:tcPr>
                <w:p>
                  <w:pPr>
                    <w:pStyle w:val="33"/>
                    <w:spacing w:line="360" w:lineRule="exact"/>
                    <w:jc w:val="center"/>
                    <w:rPr>
                      <w:szCs w:val="21"/>
                    </w:rPr>
                  </w:pPr>
                </w:p>
              </w:tc>
              <w:tc>
                <w:tcPr>
                  <w:tcW w:w="804" w:type="dxa"/>
                  <w:shd w:val="clear" w:color="auto" w:fill="auto"/>
                  <w:vAlign w:val="center"/>
                </w:tcPr>
                <w:p>
                  <w:pPr>
                    <w:pStyle w:val="33"/>
                    <w:spacing w:line="360" w:lineRule="exact"/>
                    <w:jc w:val="center"/>
                    <w:rPr>
                      <w:szCs w:val="21"/>
                    </w:rPr>
                  </w:pPr>
                </w:p>
              </w:tc>
              <w:tc>
                <w:tcPr>
                  <w:tcW w:w="584" w:type="dxa"/>
                  <w:shd w:val="clear" w:color="auto" w:fill="auto"/>
                  <w:vAlign w:val="center"/>
                </w:tcPr>
                <w:p>
                  <w:pPr>
                    <w:pStyle w:val="33"/>
                    <w:spacing w:line="360" w:lineRule="exact"/>
                    <w:jc w:val="center"/>
                    <w:rPr>
                      <w:szCs w:val="21"/>
                    </w:rPr>
                  </w:pPr>
                </w:p>
              </w:tc>
              <w:tc>
                <w:tcPr>
                  <w:tcW w:w="809" w:type="dxa"/>
                  <w:shd w:val="clear" w:color="auto" w:fill="auto"/>
                  <w:vAlign w:val="center"/>
                </w:tcPr>
                <w:p>
                  <w:pPr>
                    <w:pStyle w:val="33"/>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8540" w:type="dxa"/>
                  <w:gridSpan w:val="11"/>
                  <w:shd w:val="clear" w:color="auto" w:fill="auto"/>
                  <w:vAlign w:val="center"/>
                </w:tcPr>
                <w:p>
                  <w:pPr>
                    <w:pStyle w:val="33"/>
                    <w:spacing w:line="360" w:lineRule="exact"/>
                    <w:jc w:val="center"/>
                    <w:rPr>
                      <w:b/>
                      <w:bCs/>
                      <w:szCs w:val="21"/>
                    </w:rPr>
                  </w:pPr>
                  <w:r>
                    <w:rPr>
                      <w:rFonts w:hint="eastAsia"/>
                      <w:b/>
                      <w:bCs/>
                      <w:szCs w:val="21"/>
                    </w:rPr>
                    <w:t>注：挖方+调入=填方+综合利用+调出</w:t>
                  </w:r>
                </w:p>
              </w:tc>
            </w:tr>
          </w:tbl>
          <w:p>
            <w:pPr>
              <w:pStyle w:val="50"/>
              <w:ind w:firstLineChars="0"/>
              <w:rPr>
                <w:b/>
                <w:bCs/>
              </w:rPr>
            </w:pPr>
            <w:r>
              <w:rPr>
                <w:b/>
                <w:bCs/>
              </w:rPr>
              <w:fldChar w:fldCharType="begin"/>
            </w:r>
            <w:r>
              <w:rPr>
                <w:b/>
                <w:bCs/>
              </w:rPr>
              <w:instrText xml:space="preserve"> </w:instrText>
            </w:r>
            <w:r>
              <w:rPr>
                <w:rFonts w:hint="eastAsia"/>
                <w:b/>
                <w:bCs/>
              </w:rPr>
              <w:instrText xml:space="preserve">= 2 \* GB3</w:instrText>
            </w:r>
            <w:r>
              <w:rPr>
                <w:b/>
                <w:bCs/>
              </w:rPr>
              <w:instrText xml:space="preserve"> </w:instrText>
            </w:r>
            <w:r>
              <w:rPr>
                <w:b/>
                <w:bCs/>
              </w:rPr>
              <w:fldChar w:fldCharType="separate"/>
            </w:r>
            <w:r>
              <w:rPr>
                <w:rFonts w:hint="eastAsia"/>
                <w:b/>
                <w:bCs/>
              </w:rPr>
              <w:t>②</w:t>
            </w:r>
            <w:r>
              <w:rPr>
                <w:b/>
                <w:bCs/>
              </w:rPr>
              <w:fldChar w:fldCharType="end"/>
            </w:r>
            <w:r>
              <w:rPr>
                <w:rFonts w:hint="eastAsia"/>
                <w:b/>
                <w:bCs/>
              </w:rPr>
              <w:t>生产期土石方平衡</w:t>
            </w:r>
          </w:p>
          <w:p>
            <w:pPr>
              <w:pStyle w:val="47"/>
              <w:ind w:firstLine="480"/>
              <w:rPr>
                <w:color w:val="auto"/>
              </w:rPr>
            </w:pPr>
            <w:r>
              <w:rPr>
                <w:rFonts w:hint="eastAsia"/>
                <w:color w:val="auto"/>
              </w:rPr>
              <w:t>根据主体工程设计，露天开采境界内总剥离量1887.29万m</w:t>
            </w:r>
            <w:r>
              <w:rPr>
                <w:rFonts w:hint="eastAsia"/>
                <w:color w:val="auto"/>
                <w:vertAlign w:val="superscript"/>
              </w:rPr>
              <w:t>3</w:t>
            </w:r>
            <w:r>
              <w:rPr>
                <w:rFonts w:hint="eastAsia"/>
                <w:color w:val="auto"/>
              </w:rPr>
              <w:t>，其中岩石量1872.51万m</w:t>
            </w:r>
            <w:r>
              <w:rPr>
                <w:rFonts w:hint="eastAsia"/>
                <w:color w:val="auto"/>
                <w:vertAlign w:val="superscript"/>
              </w:rPr>
              <w:t>3</w:t>
            </w:r>
            <w:r>
              <w:rPr>
                <w:rFonts w:hint="eastAsia"/>
                <w:color w:val="auto"/>
              </w:rPr>
              <w:t>，表土量14.78万m</w:t>
            </w:r>
            <w:r>
              <w:rPr>
                <w:rFonts w:hint="eastAsia"/>
                <w:color w:val="auto"/>
                <w:vertAlign w:val="superscript"/>
              </w:rPr>
              <w:t>3</w:t>
            </w:r>
            <w:r>
              <w:rPr>
                <w:rFonts w:hint="eastAsia"/>
                <w:color w:val="auto"/>
              </w:rPr>
              <w:t>。</w:t>
            </w:r>
          </w:p>
          <w:p>
            <w:pPr>
              <w:pStyle w:val="47"/>
              <w:ind w:firstLine="480"/>
              <w:rPr>
                <w:color w:val="auto"/>
              </w:rPr>
            </w:pPr>
            <w:r>
              <w:rPr>
                <w:rFonts w:hint="eastAsia"/>
                <w:color w:val="auto"/>
              </w:rPr>
              <w:t>基建剥离量370.14万m</w:t>
            </w:r>
            <w:r>
              <w:rPr>
                <w:rFonts w:hint="eastAsia"/>
                <w:color w:val="auto"/>
                <w:vertAlign w:val="superscript"/>
              </w:rPr>
              <w:t>3</w:t>
            </w:r>
            <w:r>
              <w:rPr>
                <w:rFonts w:hint="eastAsia"/>
                <w:color w:val="auto"/>
              </w:rPr>
              <w:t>，其中：表土量5.31万m</w:t>
            </w:r>
            <w:r>
              <w:rPr>
                <w:rFonts w:hint="eastAsia"/>
                <w:color w:val="auto"/>
                <w:vertAlign w:val="superscript"/>
              </w:rPr>
              <w:t>3</w:t>
            </w:r>
            <w:r>
              <w:rPr>
                <w:rFonts w:hint="eastAsia"/>
                <w:color w:val="auto"/>
              </w:rPr>
              <w:t>、岩石量364.83万m</w:t>
            </w:r>
            <w:r>
              <w:rPr>
                <w:rFonts w:hint="eastAsia"/>
                <w:color w:val="auto"/>
                <w:vertAlign w:val="superscript"/>
              </w:rPr>
              <w:t>3</w:t>
            </w:r>
            <w:r>
              <w:rPr>
                <w:rFonts w:hint="eastAsia"/>
                <w:color w:val="auto"/>
              </w:rPr>
              <w:t>。</w:t>
            </w:r>
          </w:p>
          <w:p>
            <w:pPr>
              <w:pStyle w:val="47"/>
              <w:ind w:firstLine="480"/>
              <w:rPr>
                <w:color w:val="auto"/>
              </w:rPr>
            </w:pPr>
            <w:r>
              <w:rPr>
                <w:rFonts w:hint="eastAsia"/>
                <w:color w:val="auto"/>
              </w:rPr>
              <w:t>生产时期剥离总量1517.15万m</w:t>
            </w:r>
            <w:r>
              <w:rPr>
                <w:rFonts w:hint="eastAsia"/>
                <w:color w:val="auto"/>
                <w:vertAlign w:val="superscript"/>
              </w:rPr>
              <w:t>3</w:t>
            </w:r>
            <w:r>
              <w:rPr>
                <w:rFonts w:hint="eastAsia"/>
                <w:color w:val="auto"/>
              </w:rPr>
              <w:t>，其中：岩石量1507.68万m</w:t>
            </w:r>
            <w:r>
              <w:rPr>
                <w:rFonts w:hint="eastAsia"/>
                <w:color w:val="auto"/>
                <w:vertAlign w:val="superscript"/>
              </w:rPr>
              <w:t>3</w:t>
            </w:r>
            <w:r>
              <w:rPr>
                <w:rFonts w:hint="eastAsia"/>
                <w:color w:val="auto"/>
              </w:rPr>
              <w:t>，表土量9.47万m</w:t>
            </w:r>
            <w:r>
              <w:rPr>
                <w:rFonts w:hint="eastAsia"/>
                <w:color w:val="auto"/>
                <w:vertAlign w:val="superscript"/>
              </w:rPr>
              <w:t>3</w:t>
            </w:r>
            <w:r>
              <w:rPr>
                <w:rFonts w:hint="eastAsia"/>
                <w:color w:val="auto"/>
              </w:rPr>
              <w:t>，岩石中建筑石料总量为3</w:t>
            </w:r>
            <w:r>
              <w:rPr>
                <w:color w:val="auto"/>
              </w:rPr>
              <w:t>000</w:t>
            </w:r>
            <w:r>
              <w:rPr>
                <w:rFonts w:hint="eastAsia"/>
                <w:color w:val="auto"/>
              </w:rPr>
              <w:t>万吨，采矿总量260.11万t，破碎后外售；开采期</w:t>
            </w:r>
            <w:r>
              <w:rPr>
                <w:rFonts w:hint="eastAsia"/>
                <w:color w:val="auto"/>
                <w:szCs w:val="21"/>
              </w:rPr>
              <w:t>废剥离岩</w:t>
            </w:r>
            <w:r>
              <w:rPr>
                <w:color w:val="auto"/>
                <w:szCs w:val="21"/>
              </w:rPr>
              <w:t>355.70</w:t>
            </w:r>
            <w:r>
              <w:rPr>
                <w:rFonts w:hint="eastAsia"/>
                <w:color w:val="auto"/>
              </w:rPr>
              <w:t>万m</w:t>
            </w:r>
            <w:r>
              <w:rPr>
                <w:rFonts w:hint="eastAsia"/>
                <w:color w:val="auto"/>
                <w:vertAlign w:val="superscript"/>
              </w:rPr>
              <w:t>3</w:t>
            </w:r>
            <w:r>
              <w:rPr>
                <w:rFonts w:hint="eastAsia"/>
                <w:color w:val="auto"/>
              </w:rPr>
              <w:t>用于采矿区矿坑及塌陷区填埋，其余</w:t>
            </w:r>
            <w:r>
              <w:rPr>
                <w:rFonts w:hint="eastAsia"/>
                <w:color w:val="auto"/>
                <w:szCs w:val="21"/>
              </w:rPr>
              <w:t>1</w:t>
            </w:r>
            <w:r>
              <w:rPr>
                <w:color w:val="auto"/>
                <w:szCs w:val="21"/>
              </w:rPr>
              <w:t>059.2459</w:t>
            </w:r>
            <w:r>
              <w:rPr>
                <w:rFonts w:hint="eastAsia"/>
                <w:color w:val="auto"/>
              </w:rPr>
              <w:t>万m</w:t>
            </w:r>
            <w:r>
              <w:rPr>
                <w:rFonts w:hint="eastAsia"/>
                <w:color w:val="auto"/>
                <w:vertAlign w:val="superscript"/>
              </w:rPr>
              <w:t>3</w:t>
            </w:r>
            <w:r>
              <w:rPr>
                <w:rFonts w:hint="eastAsia"/>
                <w:color w:val="auto"/>
              </w:rPr>
              <w:t>建筑石料破碎后外售。</w:t>
            </w:r>
          </w:p>
          <w:p>
            <w:pPr>
              <w:pStyle w:val="50"/>
              <w:ind w:firstLine="480"/>
            </w:pPr>
            <w:r>
              <w:rPr>
                <w:rFonts w:hint="eastAsia"/>
              </w:rPr>
              <w:t>本项目生产期土石方平衡见下表。</w:t>
            </w:r>
          </w:p>
          <w:p>
            <w:pPr>
              <w:pStyle w:val="50"/>
              <w:numPr>
                <w:ilvl w:val="0"/>
                <w:numId w:val="2"/>
              </w:numPr>
              <w:snapToGrid w:val="0"/>
              <w:spacing w:line="240" w:lineRule="auto"/>
              <w:ind w:firstLineChars="0"/>
              <w:jc w:val="center"/>
              <w:rPr>
                <w:b/>
                <w:bCs/>
              </w:rPr>
            </w:pPr>
            <w:r>
              <w:rPr>
                <w:rFonts w:hint="eastAsia"/>
                <w:b/>
                <w:bCs/>
              </w:rPr>
              <w:t xml:space="preserve">项目生产期土石方平衡表 </w:t>
            </w:r>
          </w:p>
          <w:tbl>
            <w:tblPr>
              <w:tblStyle w:val="22"/>
              <w:tblW w:w="85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88"/>
              <w:gridCol w:w="638"/>
              <w:gridCol w:w="1340"/>
              <w:gridCol w:w="899"/>
              <w:gridCol w:w="12"/>
              <w:gridCol w:w="2514"/>
              <w:gridCol w:w="1340"/>
              <w:gridCol w:w="11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577" w:type="dxa"/>
                  <w:gridSpan w:val="5"/>
                  <w:shd w:val="clear" w:color="auto" w:fill="auto"/>
                  <w:vAlign w:val="center"/>
                </w:tcPr>
                <w:p>
                  <w:pPr>
                    <w:widowControl/>
                    <w:spacing w:line="360" w:lineRule="exact"/>
                    <w:jc w:val="center"/>
                    <w:rPr>
                      <w:rFonts w:cs="宋体"/>
                      <w:b/>
                      <w:bCs/>
                      <w:kern w:val="0"/>
                      <w:szCs w:val="21"/>
                    </w:rPr>
                  </w:pPr>
                  <w:r>
                    <w:rPr>
                      <w:rFonts w:hint="eastAsia" w:cs="宋体"/>
                      <w:b/>
                      <w:bCs/>
                      <w:kern w:val="0"/>
                      <w:szCs w:val="21"/>
                    </w:rPr>
                    <w:t>进项</w:t>
                  </w:r>
                </w:p>
              </w:tc>
              <w:tc>
                <w:tcPr>
                  <w:tcW w:w="4963" w:type="dxa"/>
                  <w:gridSpan w:val="3"/>
                  <w:shd w:val="clear" w:color="auto" w:fill="auto"/>
                  <w:vAlign w:val="center"/>
                </w:tcPr>
                <w:p>
                  <w:pPr>
                    <w:widowControl/>
                    <w:spacing w:line="360" w:lineRule="exact"/>
                    <w:jc w:val="center"/>
                    <w:rPr>
                      <w:rFonts w:cs="宋体"/>
                      <w:b/>
                      <w:bCs/>
                      <w:kern w:val="0"/>
                      <w:szCs w:val="21"/>
                    </w:rPr>
                  </w:pPr>
                  <w:r>
                    <w:rPr>
                      <w:rFonts w:hint="eastAsia" w:cs="宋体"/>
                      <w:b/>
                      <w:bCs/>
                      <w:kern w:val="0"/>
                      <w:szCs w:val="21"/>
                    </w:rPr>
                    <w:t>出项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8540" w:type="dxa"/>
                  <w:gridSpan w:val="8"/>
                  <w:shd w:val="clear" w:color="auto" w:fill="auto"/>
                  <w:vAlign w:val="center"/>
                </w:tcPr>
                <w:p>
                  <w:pPr>
                    <w:widowControl/>
                    <w:spacing w:line="360" w:lineRule="exact"/>
                    <w:jc w:val="center"/>
                    <w:rPr>
                      <w:rFonts w:cs="宋体"/>
                      <w:b/>
                      <w:bCs/>
                      <w:kern w:val="0"/>
                      <w:szCs w:val="21"/>
                    </w:rPr>
                  </w:pPr>
                  <w:r>
                    <w:rPr>
                      <w:rFonts w:hint="eastAsia" w:cs="宋体"/>
                      <w:b/>
                      <w:bCs/>
                      <w:kern w:val="0"/>
                      <w:szCs w:val="21"/>
                    </w:rPr>
                    <w:t>建筑石料破碎筛粉生产线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688" w:type="dxa"/>
                  <w:vMerge w:val="restart"/>
                  <w:shd w:val="clear" w:color="auto" w:fill="auto"/>
                  <w:vAlign w:val="center"/>
                </w:tcPr>
                <w:p>
                  <w:pPr>
                    <w:widowControl/>
                    <w:spacing w:line="360" w:lineRule="exact"/>
                    <w:jc w:val="center"/>
                    <w:rPr>
                      <w:rFonts w:cs="宋体"/>
                      <w:b/>
                      <w:bCs/>
                      <w:kern w:val="0"/>
                      <w:szCs w:val="21"/>
                    </w:rPr>
                  </w:pPr>
                  <w:r>
                    <w:rPr>
                      <w:rFonts w:hint="eastAsia" w:cs="宋体"/>
                      <w:b/>
                      <w:bCs/>
                      <w:kern w:val="0"/>
                      <w:szCs w:val="21"/>
                    </w:rPr>
                    <w:t>露天开采土方剥离</w:t>
                  </w:r>
                </w:p>
              </w:tc>
              <w:tc>
                <w:tcPr>
                  <w:tcW w:w="638" w:type="dxa"/>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名称</w:t>
                  </w:r>
                </w:p>
              </w:tc>
              <w:tc>
                <w:tcPr>
                  <w:tcW w:w="1340" w:type="dxa"/>
                  <w:shd w:val="clear" w:color="auto" w:fill="auto"/>
                  <w:noWrap/>
                  <w:vAlign w:val="center"/>
                </w:tcPr>
                <w:p>
                  <w:pPr>
                    <w:widowControl/>
                    <w:spacing w:line="360" w:lineRule="exact"/>
                    <w:jc w:val="center"/>
                    <w:rPr>
                      <w:rFonts w:cs="宋体"/>
                      <w:kern w:val="0"/>
                      <w:szCs w:val="21"/>
                    </w:rPr>
                  </w:pPr>
                  <w:r>
                    <w:rPr>
                      <w:rFonts w:hint="eastAsia" w:cs="宋体"/>
                      <w:kern w:val="0"/>
                      <w:szCs w:val="21"/>
                    </w:rPr>
                    <w:t>单位：万</w:t>
                  </w:r>
                  <w:r>
                    <w:rPr>
                      <w:rFonts w:hint="eastAsia"/>
                      <w:kern w:val="0"/>
                      <w:szCs w:val="21"/>
                    </w:rPr>
                    <w:t>m</w:t>
                  </w:r>
                  <w:r>
                    <w:rPr>
                      <w:rFonts w:hint="eastAsia"/>
                      <w:kern w:val="0"/>
                      <w:szCs w:val="21"/>
                      <w:vertAlign w:val="superscript"/>
                    </w:rPr>
                    <w:t>3</w:t>
                  </w:r>
                </w:p>
              </w:tc>
              <w:tc>
                <w:tcPr>
                  <w:tcW w:w="899" w:type="dxa"/>
                  <w:shd w:val="clear" w:color="auto" w:fill="auto"/>
                  <w:vAlign w:val="center"/>
                </w:tcPr>
                <w:p>
                  <w:pPr>
                    <w:widowControl/>
                    <w:spacing w:line="360" w:lineRule="exact"/>
                    <w:jc w:val="center"/>
                    <w:rPr>
                      <w:rFonts w:cs="宋体"/>
                      <w:b/>
                      <w:bCs/>
                      <w:kern w:val="0"/>
                      <w:szCs w:val="21"/>
                    </w:rPr>
                  </w:pPr>
                  <w:r>
                    <w:rPr>
                      <w:rFonts w:hint="eastAsia" w:cs="宋体"/>
                      <w:b/>
                      <w:bCs/>
                      <w:kern w:val="0"/>
                      <w:szCs w:val="21"/>
                    </w:rPr>
                    <w:t>单位：万</w:t>
                  </w:r>
                  <w:r>
                    <w:rPr>
                      <w:rFonts w:hint="eastAsia"/>
                      <w:b/>
                      <w:bCs/>
                      <w:kern w:val="0"/>
                      <w:szCs w:val="21"/>
                    </w:rPr>
                    <w:t>t</w:t>
                  </w:r>
                </w:p>
              </w:tc>
              <w:tc>
                <w:tcPr>
                  <w:tcW w:w="2526" w:type="dxa"/>
                  <w:gridSpan w:val="2"/>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名称</w:t>
                  </w:r>
                </w:p>
              </w:tc>
              <w:tc>
                <w:tcPr>
                  <w:tcW w:w="1340" w:type="dxa"/>
                  <w:shd w:val="clear" w:color="auto" w:fill="auto"/>
                  <w:noWrap/>
                  <w:vAlign w:val="center"/>
                </w:tcPr>
                <w:p>
                  <w:pPr>
                    <w:widowControl/>
                    <w:spacing w:line="360" w:lineRule="exact"/>
                    <w:jc w:val="center"/>
                    <w:rPr>
                      <w:rFonts w:cs="宋体"/>
                      <w:kern w:val="0"/>
                      <w:szCs w:val="21"/>
                    </w:rPr>
                  </w:pPr>
                  <w:r>
                    <w:rPr>
                      <w:rFonts w:hint="eastAsia" w:cs="宋体"/>
                      <w:kern w:val="0"/>
                      <w:szCs w:val="21"/>
                    </w:rPr>
                    <w:t>单位：万</w:t>
                  </w:r>
                  <w:r>
                    <w:rPr>
                      <w:rFonts w:hint="eastAsia"/>
                      <w:kern w:val="0"/>
                      <w:szCs w:val="21"/>
                    </w:rPr>
                    <w:t>m</w:t>
                  </w:r>
                  <w:r>
                    <w:rPr>
                      <w:rFonts w:hint="eastAsia"/>
                      <w:kern w:val="0"/>
                      <w:szCs w:val="21"/>
                      <w:vertAlign w:val="superscript"/>
                    </w:rPr>
                    <w:t>3</w:t>
                  </w:r>
                </w:p>
              </w:tc>
              <w:tc>
                <w:tcPr>
                  <w:tcW w:w="1109" w:type="dxa"/>
                  <w:shd w:val="clear" w:color="auto" w:fill="auto"/>
                  <w:vAlign w:val="center"/>
                </w:tcPr>
                <w:p>
                  <w:pPr>
                    <w:widowControl/>
                    <w:spacing w:line="360" w:lineRule="exact"/>
                    <w:jc w:val="center"/>
                    <w:rPr>
                      <w:rFonts w:cs="宋体"/>
                      <w:b/>
                      <w:bCs/>
                      <w:kern w:val="0"/>
                      <w:szCs w:val="21"/>
                    </w:rPr>
                  </w:pPr>
                  <w:r>
                    <w:rPr>
                      <w:rFonts w:hint="eastAsia" w:cs="宋体"/>
                      <w:b/>
                      <w:bCs/>
                      <w:kern w:val="0"/>
                      <w:szCs w:val="21"/>
                    </w:rPr>
                    <w:t>单位：万</w:t>
                  </w:r>
                  <w:r>
                    <w:rPr>
                      <w:rFonts w:hint="eastAsia"/>
                      <w:b/>
                      <w:bCs/>
                      <w:kern w:val="0"/>
                      <w:szCs w:val="21"/>
                    </w:rPr>
                    <w:t>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688" w:type="dxa"/>
                  <w:vMerge w:val="continue"/>
                  <w:shd w:val="clear" w:color="auto" w:fill="auto"/>
                  <w:vAlign w:val="center"/>
                </w:tcPr>
                <w:p>
                  <w:pPr>
                    <w:widowControl/>
                    <w:spacing w:line="360" w:lineRule="exact"/>
                    <w:jc w:val="center"/>
                    <w:rPr>
                      <w:rFonts w:cs="宋体"/>
                      <w:b/>
                      <w:bCs/>
                      <w:kern w:val="0"/>
                      <w:szCs w:val="21"/>
                    </w:rPr>
                  </w:pPr>
                </w:p>
              </w:tc>
              <w:tc>
                <w:tcPr>
                  <w:tcW w:w="638" w:type="dxa"/>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表土</w:t>
                  </w:r>
                </w:p>
              </w:tc>
              <w:tc>
                <w:tcPr>
                  <w:tcW w:w="1340" w:type="dxa"/>
                  <w:shd w:val="clear" w:color="auto" w:fill="auto"/>
                  <w:noWrap/>
                  <w:vAlign w:val="center"/>
                </w:tcPr>
                <w:p>
                  <w:pPr>
                    <w:widowControl/>
                    <w:spacing w:line="360" w:lineRule="exact"/>
                    <w:jc w:val="center"/>
                    <w:rPr>
                      <w:kern w:val="0"/>
                      <w:szCs w:val="21"/>
                    </w:rPr>
                  </w:pPr>
                  <w:r>
                    <w:rPr>
                      <w:kern w:val="0"/>
                      <w:szCs w:val="21"/>
                    </w:rPr>
                    <w:t>9.47</w:t>
                  </w:r>
                </w:p>
              </w:tc>
              <w:tc>
                <w:tcPr>
                  <w:tcW w:w="899" w:type="dxa"/>
                  <w:shd w:val="clear" w:color="auto" w:fill="auto"/>
                  <w:vAlign w:val="center"/>
                </w:tcPr>
                <w:p>
                  <w:pPr>
                    <w:widowControl/>
                    <w:spacing w:line="360" w:lineRule="exact"/>
                    <w:jc w:val="center"/>
                    <w:rPr>
                      <w:kern w:val="0"/>
                      <w:szCs w:val="21"/>
                    </w:rPr>
                  </w:pPr>
                  <w:r>
                    <w:rPr>
                      <w:rFonts w:hint="eastAsia"/>
                      <w:kern w:val="0"/>
                      <w:szCs w:val="21"/>
                    </w:rPr>
                    <w:t>/</w:t>
                  </w: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剥离表土</w:t>
                  </w:r>
                </w:p>
              </w:tc>
              <w:tc>
                <w:tcPr>
                  <w:tcW w:w="1340" w:type="dxa"/>
                  <w:shd w:val="clear" w:color="auto" w:fill="auto"/>
                  <w:noWrap/>
                  <w:vAlign w:val="center"/>
                </w:tcPr>
                <w:p>
                  <w:pPr>
                    <w:widowControl/>
                    <w:spacing w:line="360" w:lineRule="exact"/>
                    <w:jc w:val="center"/>
                    <w:rPr>
                      <w:kern w:val="0"/>
                      <w:szCs w:val="21"/>
                    </w:rPr>
                  </w:pPr>
                  <w:r>
                    <w:rPr>
                      <w:kern w:val="0"/>
                      <w:szCs w:val="21"/>
                    </w:rPr>
                    <w:t>9.47</w:t>
                  </w:r>
                </w:p>
              </w:tc>
              <w:tc>
                <w:tcPr>
                  <w:tcW w:w="1109" w:type="dxa"/>
                  <w:shd w:val="clear" w:color="auto" w:fill="auto"/>
                  <w:vAlign w:val="center"/>
                </w:tcPr>
                <w:p>
                  <w:pPr>
                    <w:widowControl/>
                    <w:spacing w:line="360" w:lineRule="exact"/>
                    <w:jc w:val="center"/>
                    <w:rPr>
                      <w:kern w:val="0"/>
                      <w:szCs w:val="21"/>
                    </w:rPr>
                  </w:pPr>
                  <w:r>
                    <w:rPr>
                      <w:rFonts w:hint="eastAsia"/>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688" w:type="dxa"/>
                  <w:vMerge w:val="continue"/>
                  <w:shd w:val="clear" w:color="auto" w:fill="auto"/>
                  <w:vAlign w:val="center"/>
                </w:tcPr>
                <w:p>
                  <w:pPr>
                    <w:widowControl/>
                    <w:spacing w:line="360" w:lineRule="exact"/>
                    <w:jc w:val="center"/>
                    <w:rPr>
                      <w:rFonts w:cs="宋体"/>
                      <w:b/>
                      <w:bCs/>
                      <w:kern w:val="0"/>
                      <w:szCs w:val="21"/>
                    </w:rPr>
                  </w:pPr>
                </w:p>
              </w:tc>
              <w:tc>
                <w:tcPr>
                  <w:tcW w:w="638" w:type="dxa"/>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岩石</w:t>
                  </w:r>
                </w:p>
              </w:tc>
              <w:tc>
                <w:tcPr>
                  <w:tcW w:w="1340" w:type="dxa"/>
                  <w:shd w:val="clear" w:color="auto" w:fill="auto"/>
                  <w:noWrap/>
                  <w:vAlign w:val="center"/>
                </w:tcPr>
                <w:p>
                  <w:pPr>
                    <w:widowControl/>
                    <w:spacing w:line="360" w:lineRule="exact"/>
                    <w:jc w:val="center"/>
                    <w:rPr>
                      <w:kern w:val="0"/>
                      <w:szCs w:val="21"/>
                    </w:rPr>
                  </w:pPr>
                  <w:r>
                    <w:rPr>
                      <w:kern w:val="0"/>
                      <w:szCs w:val="21"/>
                    </w:rPr>
                    <w:t>1415.77</w:t>
                  </w:r>
                </w:p>
              </w:tc>
              <w:tc>
                <w:tcPr>
                  <w:tcW w:w="899" w:type="dxa"/>
                  <w:shd w:val="clear" w:color="auto" w:fill="auto"/>
                  <w:vAlign w:val="center"/>
                </w:tcPr>
                <w:p>
                  <w:pPr>
                    <w:widowControl/>
                    <w:spacing w:line="360" w:lineRule="exact"/>
                    <w:jc w:val="center"/>
                    <w:rPr>
                      <w:kern w:val="0"/>
                      <w:szCs w:val="21"/>
                    </w:rPr>
                  </w:pPr>
                  <w:r>
                    <w:rPr>
                      <w:kern w:val="0"/>
                      <w:szCs w:val="21"/>
                    </w:rPr>
                    <w:t>4006.63</w:t>
                  </w: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开采期建筑石料</w:t>
                  </w:r>
                </w:p>
              </w:tc>
              <w:tc>
                <w:tcPr>
                  <w:tcW w:w="1340" w:type="dxa"/>
                  <w:shd w:val="clear" w:color="auto" w:fill="auto"/>
                  <w:noWrap/>
                  <w:vAlign w:val="center"/>
                </w:tcPr>
                <w:p>
                  <w:pPr>
                    <w:widowControl/>
                    <w:spacing w:line="360" w:lineRule="exact"/>
                    <w:jc w:val="center"/>
                    <w:rPr>
                      <w:kern w:val="0"/>
                      <w:szCs w:val="21"/>
                    </w:rPr>
                  </w:pPr>
                  <w:r>
                    <w:rPr>
                      <w:rFonts w:hint="eastAsia"/>
                      <w:kern w:val="0"/>
                      <w:szCs w:val="21"/>
                    </w:rPr>
                    <w:t>1</w:t>
                  </w:r>
                  <w:r>
                    <w:rPr>
                      <w:kern w:val="0"/>
                      <w:szCs w:val="21"/>
                    </w:rPr>
                    <w:t>059.6141</w:t>
                  </w:r>
                </w:p>
              </w:tc>
              <w:tc>
                <w:tcPr>
                  <w:tcW w:w="1109" w:type="dxa"/>
                  <w:shd w:val="clear" w:color="auto" w:fill="auto"/>
                  <w:vAlign w:val="center"/>
                </w:tcPr>
                <w:p>
                  <w:pPr>
                    <w:widowControl/>
                    <w:spacing w:line="360" w:lineRule="exact"/>
                    <w:jc w:val="center"/>
                    <w:rPr>
                      <w:kern w:val="0"/>
                      <w:szCs w:val="21"/>
                    </w:rPr>
                  </w:pPr>
                  <w:r>
                    <w:rPr>
                      <w:szCs w:val="21"/>
                    </w:rPr>
                    <w:t>2998.7079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vAlign w:val="center"/>
                </w:tcPr>
                <w:p>
                  <w:pPr>
                    <w:widowControl/>
                    <w:spacing w:line="360" w:lineRule="exact"/>
                    <w:jc w:val="center"/>
                    <w:rPr>
                      <w:rFonts w:cs="宋体"/>
                      <w:b/>
                      <w:bCs/>
                      <w:kern w:val="0"/>
                      <w:szCs w:val="21"/>
                    </w:rPr>
                  </w:pPr>
                </w:p>
              </w:tc>
              <w:tc>
                <w:tcPr>
                  <w:tcW w:w="1340" w:type="dxa"/>
                  <w:shd w:val="clear" w:color="auto" w:fill="auto"/>
                  <w:noWrap/>
                  <w:vAlign w:val="center"/>
                </w:tcPr>
                <w:p>
                  <w:pPr>
                    <w:widowControl/>
                    <w:spacing w:line="360" w:lineRule="exact"/>
                    <w:jc w:val="center"/>
                    <w:rPr>
                      <w:kern w:val="0"/>
                      <w:szCs w:val="21"/>
                    </w:rPr>
                  </w:pPr>
                </w:p>
              </w:tc>
              <w:tc>
                <w:tcPr>
                  <w:tcW w:w="899" w:type="dxa"/>
                  <w:shd w:val="clear" w:color="auto" w:fill="auto"/>
                  <w:vAlign w:val="center"/>
                </w:tcPr>
                <w:p>
                  <w:pPr>
                    <w:widowControl/>
                    <w:spacing w:line="360" w:lineRule="exact"/>
                    <w:jc w:val="center"/>
                    <w:rPr>
                      <w:kern w:val="0"/>
                      <w:szCs w:val="21"/>
                    </w:rPr>
                  </w:pP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废剥离岩</w:t>
                  </w:r>
                </w:p>
              </w:tc>
              <w:tc>
                <w:tcPr>
                  <w:tcW w:w="1340" w:type="dxa"/>
                  <w:shd w:val="clear" w:color="auto" w:fill="auto"/>
                  <w:noWrap/>
                  <w:vAlign w:val="center"/>
                </w:tcPr>
                <w:p>
                  <w:pPr>
                    <w:widowControl/>
                    <w:spacing w:line="360" w:lineRule="exact"/>
                    <w:jc w:val="center"/>
                    <w:rPr>
                      <w:kern w:val="0"/>
                      <w:szCs w:val="21"/>
                    </w:rPr>
                  </w:pPr>
                  <w:r>
                    <w:rPr>
                      <w:rFonts w:hint="eastAsia"/>
                      <w:szCs w:val="22"/>
                    </w:rPr>
                    <w:t xml:space="preserve">355.6993 </w:t>
                  </w:r>
                </w:p>
              </w:tc>
              <w:tc>
                <w:tcPr>
                  <w:tcW w:w="1109" w:type="dxa"/>
                  <w:shd w:val="clear" w:color="auto" w:fill="auto"/>
                  <w:vAlign w:val="center"/>
                </w:tcPr>
                <w:p>
                  <w:pPr>
                    <w:widowControl/>
                    <w:spacing w:line="360" w:lineRule="exact"/>
                    <w:jc w:val="center"/>
                    <w:rPr>
                      <w:kern w:val="0"/>
                      <w:szCs w:val="21"/>
                    </w:rPr>
                  </w:pPr>
                  <w:r>
                    <w:rPr>
                      <w:szCs w:val="21"/>
                    </w:rPr>
                    <w:t>1006.6291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除尘器收尘</w:t>
                  </w:r>
                </w:p>
              </w:tc>
              <w:tc>
                <w:tcPr>
                  <w:tcW w:w="1340" w:type="dxa"/>
                  <w:shd w:val="clear" w:color="auto" w:fill="auto"/>
                  <w:noWrap/>
                  <w:vAlign w:val="center"/>
                </w:tcPr>
                <w:p>
                  <w:pPr>
                    <w:widowControl/>
                    <w:spacing w:line="360" w:lineRule="exact"/>
                    <w:jc w:val="center"/>
                    <w:rPr>
                      <w:kern w:val="0"/>
                      <w:szCs w:val="21"/>
                    </w:rPr>
                  </w:pPr>
                  <w:r>
                    <w:rPr>
                      <w:rFonts w:hint="eastAsia"/>
                      <w:szCs w:val="22"/>
                    </w:rPr>
                    <w:t xml:space="preserve">0.4105 </w:t>
                  </w:r>
                </w:p>
              </w:tc>
              <w:tc>
                <w:tcPr>
                  <w:tcW w:w="1109" w:type="dxa"/>
                  <w:shd w:val="clear" w:color="auto" w:fill="auto"/>
                  <w:vAlign w:val="center"/>
                </w:tcPr>
                <w:p>
                  <w:pPr>
                    <w:widowControl/>
                    <w:spacing w:line="360" w:lineRule="exact"/>
                    <w:jc w:val="center"/>
                    <w:rPr>
                      <w:kern w:val="0"/>
                      <w:szCs w:val="21"/>
                    </w:rPr>
                  </w:pPr>
                  <w:r>
                    <w:rPr>
                      <w:szCs w:val="21"/>
                    </w:rPr>
                    <w:t>1.1618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vAlign w:val="center"/>
                </w:tcPr>
                <w:p>
                  <w:pPr>
                    <w:widowControl/>
                    <w:spacing w:line="360" w:lineRule="exact"/>
                    <w:jc w:val="center"/>
                    <w:rPr>
                      <w:rFonts w:cs="宋体"/>
                      <w:kern w:val="0"/>
                      <w:szCs w:val="21"/>
                    </w:rPr>
                  </w:pPr>
                  <w:r>
                    <w:rPr>
                      <w:rFonts w:hint="eastAsia" w:cs="宋体"/>
                      <w:kern w:val="0"/>
                      <w:szCs w:val="21"/>
                    </w:rPr>
                    <w:t>破碎筛粉粉尘有组织排放</w:t>
                  </w:r>
                </w:p>
              </w:tc>
              <w:tc>
                <w:tcPr>
                  <w:tcW w:w="1340" w:type="dxa"/>
                  <w:shd w:val="clear" w:color="auto" w:fill="auto"/>
                  <w:noWrap/>
                  <w:vAlign w:val="center"/>
                </w:tcPr>
                <w:p>
                  <w:pPr>
                    <w:widowControl/>
                    <w:spacing w:line="360" w:lineRule="exact"/>
                    <w:jc w:val="center"/>
                    <w:rPr>
                      <w:kern w:val="0"/>
                      <w:szCs w:val="21"/>
                    </w:rPr>
                  </w:pPr>
                  <w:r>
                    <w:rPr>
                      <w:rFonts w:hint="eastAsia"/>
                      <w:szCs w:val="22"/>
                    </w:rPr>
                    <w:t xml:space="preserve">0.0004 </w:t>
                  </w:r>
                </w:p>
              </w:tc>
              <w:tc>
                <w:tcPr>
                  <w:tcW w:w="1109" w:type="dxa"/>
                  <w:shd w:val="clear" w:color="auto" w:fill="auto"/>
                  <w:vAlign w:val="center"/>
                </w:tcPr>
                <w:p>
                  <w:pPr>
                    <w:widowControl/>
                    <w:spacing w:line="360" w:lineRule="exact"/>
                    <w:jc w:val="center"/>
                    <w:rPr>
                      <w:kern w:val="0"/>
                      <w:szCs w:val="21"/>
                    </w:rPr>
                  </w:pPr>
                  <w:r>
                    <w:rPr>
                      <w:szCs w:val="21"/>
                    </w:rPr>
                    <w:t>0.001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vAlign w:val="center"/>
                </w:tcPr>
                <w:p>
                  <w:pPr>
                    <w:widowControl/>
                    <w:spacing w:line="360" w:lineRule="exact"/>
                    <w:jc w:val="center"/>
                    <w:rPr>
                      <w:rFonts w:cs="宋体"/>
                      <w:kern w:val="0"/>
                      <w:szCs w:val="21"/>
                    </w:rPr>
                  </w:pPr>
                  <w:r>
                    <w:rPr>
                      <w:rFonts w:hint="eastAsia" w:cs="宋体"/>
                      <w:kern w:val="0"/>
                      <w:szCs w:val="21"/>
                    </w:rPr>
                    <w:t>密闭车间+洒水降尘</w:t>
                  </w:r>
                </w:p>
              </w:tc>
              <w:tc>
                <w:tcPr>
                  <w:tcW w:w="1340" w:type="dxa"/>
                  <w:shd w:val="clear" w:color="auto" w:fill="auto"/>
                  <w:noWrap/>
                  <w:vAlign w:val="center"/>
                </w:tcPr>
                <w:p>
                  <w:pPr>
                    <w:widowControl/>
                    <w:spacing w:line="360" w:lineRule="exact"/>
                    <w:jc w:val="center"/>
                    <w:rPr>
                      <w:kern w:val="0"/>
                      <w:szCs w:val="21"/>
                    </w:rPr>
                  </w:pPr>
                  <w:r>
                    <w:rPr>
                      <w:szCs w:val="22"/>
                    </w:rPr>
                    <w:t>0.0455</w:t>
                  </w:r>
                </w:p>
              </w:tc>
              <w:tc>
                <w:tcPr>
                  <w:tcW w:w="1109" w:type="dxa"/>
                  <w:shd w:val="clear" w:color="auto" w:fill="auto"/>
                  <w:vAlign w:val="center"/>
                </w:tcPr>
                <w:p>
                  <w:pPr>
                    <w:widowControl/>
                    <w:spacing w:line="360" w:lineRule="exact"/>
                    <w:jc w:val="center"/>
                    <w:rPr>
                      <w:kern w:val="0"/>
                      <w:szCs w:val="21"/>
                    </w:rPr>
                  </w:pPr>
                  <w:r>
                    <w:rPr>
                      <w:szCs w:val="21"/>
                    </w:rPr>
                    <w:t>0.1289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noWrap/>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破碎筛粉粉尘无组织排放</w:t>
                  </w:r>
                </w:p>
              </w:tc>
              <w:tc>
                <w:tcPr>
                  <w:tcW w:w="1340" w:type="dxa"/>
                  <w:shd w:val="clear" w:color="auto" w:fill="auto"/>
                  <w:noWrap/>
                  <w:vAlign w:val="center"/>
                </w:tcPr>
                <w:p>
                  <w:pPr>
                    <w:widowControl/>
                    <w:spacing w:line="360" w:lineRule="exact"/>
                    <w:jc w:val="center"/>
                    <w:rPr>
                      <w:kern w:val="0"/>
                      <w:szCs w:val="21"/>
                    </w:rPr>
                  </w:pPr>
                  <w:r>
                    <w:rPr>
                      <w:rFonts w:hint="eastAsia"/>
                      <w:szCs w:val="22"/>
                    </w:rPr>
                    <w:t>0.0</w:t>
                  </w:r>
                  <w:r>
                    <w:rPr>
                      <w:szCs w:val="22"/>
                    </w:rPr>
                    <w:t>001</w:t>
                  </w:r>
                </w:p>
              </w:tc>
              <w:tc>
                <w:tcPr>
                  <w:tcW w:w="1109" w:type="dxa"/>
                  <w:shd w:val="clear" w:color="auto" w:fill="auto"/>
                  <w:vAlign w:val="center"/>
                </w:tcPr>
                <w:p>
                  <w:pPr>
                    <w:widowControl/>
                    <w:spacing w:line="360" w:lineRule="exact"/>
                    <w:jc w:val="center"/>
                    <w:rPr>
                      <w:szCs w:val="21"/>
                    </w:rPr>
                  </w:pPr>
                  <w:r>
                    <w:rPr>
                      <w:szCs w:val="21"/>
                    </w:rPr>
                    <w:t>0.0003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合计</w:t>
                  </w:r>
                </w:p>
              </w:tc>
              <w:tc>
                <w:tcPr>
                  <w:tcW w:w="1340" w:type="dxa"/>
                  <w:shd w:val="clear" w:color="auto" w:fill="auto"/>
                  <w:noWrap/>
                  <w:vAlign w:val="center"/>
                </w:tcPr>
                <w:p>
                  <w:pPr>
                    <w:widowControl/>
                    <w:spacing w:line="360" w:lineRule="exact"/>
                    <w:jc w:val="center"/>
                    <w:rPr>
                      <w:rFonts w:cs="宋体"/>
                      <w:b/>
                      <w:bCs/>
                      <w:kern w:val="0"/>
                      <w:szCs w:val="21"/>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rPr>
                      <w:kern w:val="0"/>
                      <w:szCs w:val="20"/>
                    </w:rPr>
                  </w:pPr>
                </w:p>
              </w:tc>
              <w:tc>
                <w:tcPr>
                  <w:tcW w:w="1340" w:type="dxa"/>
                  <w:shd w:val="clear" w:color="auto" w:fill="auto"/>
                  <w:noWrap/>
                  <w:vAlign w:val="center"/>
                </w:tcPr>
                <w:p>
                  <w:pPr>
                    <w:widowControl/>
                    <w:spacing w:line="360" w:lineRule="exact"/>
                    <w:jc w:val="center"/>
                    <w:rPr>
                      <w:kern w:val="0"/>
                      <w:szCs w:val="21"/>
                    </w:rPr>
                  </w:pPr>
                  <w:r>
                    <w:rPr>
                      <w:rFonts w:hint="eastAsia"/>
                      <w:szCs w:val="22"/>
                    </w:rPr>
                    <w:t xml:space="preserve">1415.77 </w:t>
                  </w:r>
                </w:p>
              </w:tc>
              <w:tc>
                <w:tcPr>
                  <w:tcW w:w="1109" w:type="dxa"/>
                  <w:shd w:val="clear" w:color="auto" w:fill="auto"/>
                  <w:vAlign w:val="center"/>
                </w:tcPr>
                <w:p>
                  <w:pPr>
                    <w:widowControl/>
                    <w:spacing w:line="360" w:lineRule="exact"/>
                    <w:jc w:val="center"/>
                    <w:rPr>
                      <w:kern w:val="0"/>
                      <w:szCs w:val="21"/>
                    </w:rPr>
                  </w:pPr>
                  <w:r>
                    <w:rPr>
                      <w:rFonts w:hint="eastAsia"/>
                      <w:kern w:val="0"/>
                      <w:szCs w:val="21"/>
                    </w:rPr>
                    <w:t>4</w:t>
                  </w:r>
                  <w:r>
                    <w:rPr>
                      <w:kern w:val="0"/>
                      <w:szCs w:val="21"/>
                    </w:rPr>
                    <w:t>006.63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8540" w:type="dxa"/>
                  <w:gridSpan w:val="8"/>
                  <w:shd w:val="clear" w:color="auto" w:fill="auto"/>
                  <w:vAlign w:val="center"/>
                </w:tcPr>
                <w:p>
                  <w:pPr>
                    <w:widowControl/>
                    <w:spacing w:line="360" w:lineRule="exact"/>
                    <w:jc w:val="center"/>
                    <w:rPr>
                      <w:rFonts w:cs="宋体"/>
                      <w:b/>
                      <w:bCs/>
                      <w:kern w:val="0"/>
                      <w:szCs w:val="21"/>
                    </w:rPr>
                  </w:pPr>
                  <w:r>
                    <w:rPr>
                      <w:rFonts w:hint="eastAsia" w:cs="宋体"/>
                      <w:b/>
                      <w:bCs/>
                      <w:kern w:val="0"/>
                      <w:szCs w:val="21"/>
                    </w:rPr>
                    <w:t>白云岩矿破碎筛粉生产线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名称</w:t>
                  </w:r>
                </w:p>
              </w:tc>
              <w:tc>
                <w:tcPr>
                  <w:tcW w:w="1340" w:type="dxa"/>
                  <w:shd w:val="clear" w:color="auto" w:fill="auto"/>
                  <w:noWrap/>
                  <w:vAlign w:val="center"/>
                </w:tcPr>
                <w:p>
                  <w:pPr>
                    <w:widowControl/>
                    <w:spacing w:line="360" w:lineRule="exact"/>
                    <w:jc w:val="center"/>
                    <w:rPr>
                      <w:rFonts w:cs="宋体"/>
                      <w:kern w:val="0"/>
                      <w:szCs w:val="21"/>
                    </w:rPr>
                  </w:pPr>
                  <w:r>
                    <w:rPr>
                      <w:rFonts w:hint="eastAsia" w:cs="宋体"/>
                      <w:kern w:val="0"/>
                      <w:szCs w:val="21"/>
                    </w:rPr>
                    <w:t>单位：万</w:t>
                  </w:r>
                  <w:r>
                    <w:rPr>
                      <w:rFonts w:hint="eastAsia"/>
                      <w:kern w:val="0"/>
                      <w:szCs w:val="21"/>
                    </w:rPr>
                    <w:t>m</w:t>
                  </w:r>
                  <w:r>
                    <w:rPr>
                      <w:rFonts w:hint="eastAsia"/>
                      <w:kern w:val="0"/>
                      <w:szCs w:val="21"/>
                      <w:vertAlign w:val="superscript"/>
                    </w:rPr>
                    <w:t>3</w:t>
                  </w:r>
                </w:p>
              </w:tc>
              <w:tc>
                <w:tcPr>
                  <w:tcW w:w="899" w:type="dxa"/>
                  <w:shd w:val="clear" w:color="auto" w:fill="auto"/>
                  <w:vAlign w:val="center"/>
                </w:tcPr>
                <w:p>
                  <w:pPr>
                    <w:widowControl/>
                    <w:spacing w:line="360" w:lineRule="exact"/>
                    <w:jc w:val="center"/>
                    <w:rPr>
                      <w:rFonts w:cs="宋体"/>
                      <w:b/>
                      <w:bCs/>
                      <w:kern w:val="0"/>
                      <w:szCs w:val="21"/>
                    </w:rPr>
                  </w:pPr>
                  <w:r>
                    <w:rPr>
                      <w:rFonts w:hint="eastAsia" w:cs="宋体"/>
                      <w:b/>
                      <w:bCs/>
                      <w:kern w:val="0"/>
                      <w:szCs w:val="21"/>
                    </w:rPr>
                    <w:t>单位：万</w:t>
                  </w:r>
                  <w:r>
                    <w:rPr>
                      <w:rFonts w:hint="eastAsia"/>
                      <w:b/>
                      <w:bCs/>
                      <w:kern w:val="0"/>
                      <w:szCs w:val="21"/>
                    </w:rPr>
                    <w:t>t</w:t>
                  </w:r>
                </w:p>
              </w:tc>
              <w:tc>
                <w:tcPr>
                  <w:tcW w:w="2526" w:type="dxa"/>
                  <w:gridSpan w:val="2"/>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名称</w:t>
                  </w:r>
                </w:p>
              </w:tc>
              <w:tc>
                <w:tcPr>
                  <w:tcW w:w="1340" w:type="dxa"/>
                  <w:shd w:val="clear" w:color="auto" w:fill="auto"/>
                  <w:noWrap/>
                  <w:vAlign w:val="center"/>
                </w:tcPr>
                <w:p>
                  <w:pPr>
                    <w:widowControl/>
                    <w:spacing w:line="360" w:lineRule="exact"/>
                    <w:jc w:val="center"/>
                    <w:rPr>
                      <w:rFonts w:cs="宋体"/>
                      <w:kern w:val="0"/>
                      <w:szCs w:val="21"/>
                    </w:rPr>
                  </w:pPr>
                  <w:r>
                    <w:rPr>
                      <w:rFonts w:hint="eastAsia" w:cs="宋体"/>
                      <w:kern w:val="0"/>
                      <w:szCs w:val="21"/>
                    </w:rPr>
                    <w:t>单位：万</w:t>
                  </w:r>
                  <w:r>
                    <w:rPr>
                      <w:rFonts w:hint="eastAsia"/>
                      <w:kern w:val="0"/>
                      <w:szCs w:val="21"/>
                    </w:rPr>
                    <w:t>m</w:t>
                  </w:r>
                  <w:r>
                    <w:rPr>
                      <w:rFonts w:hint="eastAsia"/>
                      <w:kern w:val="0"/>
                      <w:szCs w:val="21"/>
                      <w:vertAlign w:val="superscript"/>
                    </w:rPr>
                    <w:t>3</w:t>
                  </w:r>
                </w:p>
              </w:tc>
              <w:tc>
                <w:tcPr>
                  <w:tcW w:w="1109" w:type="dxa"/>
                  <w:shd w:val="clear" w:color="auto" w:fill="auto"/>
                  <w:vAlign w:val="center"/>
                </w:tcPr>
                <w:p>
                  <w:pPr>
                    <w:widowControl/>
                    <w:spacing w:line="360" w:lineRule="exact"/>
                    <w:jc w:val="center"/>
                    <w:rPr>
                      <w:rFonts w:cs="宋体"/>
                      <w:b/>
                      <w:bCs/>
                      <w:kern w:val="0"/>
                      <w:szCs w:val="21"/>
                    </w:rPr>
                  </w:pPr>
                  <w:r>
                    <w:rPr>
                      <w:rFonts w:hint="eastAsia" w:cs="宋体"/>
                      <w:b/>
                      <w:bCs/>
                      <w:kern w:val="0"/>
                      <w:szCs w:val="21"/>
                    </w:rPr>
                    <w:t>单位：万</w:t>
                  </w:r>
                  <w:r>
                    <w:rPr>
                      <w:rFonts w:hint="eastAsia"/>
                      <w:b/>
                      <w:bCs/>
                      <w:kern w:val="0"/>
                      <w:szCs w:val="21"/>
                    </w:rPr>
                    <w:t>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原矿</w:t>
                  </w:r>
                </w:p>
              </w:tc>
              <w:tc>
                <w:tcPr>
                  <w:tcW w:w="1340" w:type="dxa"/>
                  <w:shd w:val="clear" w:color="auto" w:fill="auto"/>
                  <w:noWrap/>
                  <w:vAlign w:val="center"/>
                </w:tcPr>
                <w:p>
                  <w:pPr>
                    <w:widowControl/>
                    <w:spacing w:line="360" w:lineRule="exact"/>
                    <w:jc w:val="center"/>
                    <w:rPr>
                      <w:kern w:val="0"/>
                      <w:szCs w:val="21"/>
                    </w:rPr>
                  </w:pPr>
                  <w:r>
                    <w:rPr>
                      <w:kern w:val="0"/>
                      <w:szCs w:val="21"/>
                    </w:rPr>
                    <w:t>91.91</w:t>
                  </w:r>
                </w:p>
              </w:tc>
              <w:tc>
                <w:tcPr>
                  <w:tcW w:w="899" w:type="dxa"/>
                  <w:shd w:val="clear" w:color="auto" w:fill="auto"/>
                  <w:vAlign w:val="center"/>
                </w:tcPr>
                <w:p>
                  <w:pPr>
                    <w:widowControl/>
                    <w:spacing w:line="360" w:lineRule="exact"/>
                    <w:jc w:val="center"/>
                    <w:rPr>
                      <w:kern w:val="0"/>
                      <w:szCs w:val="21"/>
                    </w:rPr>
                  </w:pPr>
                  <w:r>
                    <w:rPr>
                      <w:kern w:val="0"/>
                      <w:szCs w:val="21"/>
                    </w:rPr>
                    <w:t>260.11</w:t>
                  </w: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白云岩矿</w:t>
                  </w:r>
                </w:p>
              </w:tc>
              <w:tc>
                <w:tcPr>
                  <w:tcW w:w="1340" w:type="dxa"/>
                  <w:shd w:val="clear" w:color="auto" w:fill="auto"/>
                  <w:noWrap/>
                  <w:vAlign w:val="center"/>
                </w:tcPr>
                <w:p>
                  <w:pPr>
                    <w:widowControl/>
                    <w:spacing w:line="360" w:lineRule="exact"/>
                    <w:jc w:val="center"/>
                    <w:rPr>
                      <w:kern w:val="0"/>
                      <w:szCs w:val="21"/>
                    </w:rPr>
                  </w:pPr>
                  <w:r>
                    <w:rPr>
                      <w:rFonts w:hint="eastAsia"/>
                      <w:szCs w:val="22"/>
                    </w:rPr>
                    <w:t xml:space="preserve">91.8721 </w:t>
                  </w:r>
                </w:p>
              </w:tc>
              <w:tc>
                <w:tcPr>
                  <w:tcW w:w="1109" w:type="dxa"/>
                  <w:shd w:val="clear" w:color="auto" w:fill="auto"/>
                  <w:vAlign w:val="center"/>
                </w:tcPr>
                <w:p>
                  <w:pPr>
                    <w:widowControl/>
                    <w:spacing w:line="360" w:lineRule="exact"/>
                    <w:jc w:val="center"/>
                    <w:rPr>
                      <w:kern w:val="0"/>
                      <w:szCs w:val="21"/>
                    </w:rPr>
                  </w:pPr>
                  <w:r>
                    <w:rPr>
                      <w:szCs w:val="21"/>
                    </w:rPr>
                    <w:t>259.998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326" w:type="dxa"/>
                  <w:gridSpan w:val="2"/>
                  <w:shd w:val="clear" w:color="auto" w:fill="auto"/>
                  <w:noWrap/>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除尘器收尘</w:t>
                  </w:r>
                </w:p>
              </w:tc>
              <w:tc>
                <w:tcPr>
                  <w:tcW w:w="1340" w:type="dxa"/>
                  <w:shd w:val="clear" w:color="auto" w:fill="auto"/>
                  <w:noWrap/>
                  <w:vAlign w:val="center"/>
                </w:tcPr>
                <w:p>
                  <w:pPr>
                    <w:widowControl/>
                    <w:spacing w:line="360" w:lineRule="exact"/>
                    <w:jc w:val="center"/>
                    <w:rPr>
                      <w:kern w:val="0"/>
                      <w:szCs w:val="21"/>
                    </w:rPr>
                  </w:pPr>
                  <w:r>
                    <w:rPr>
                      <w:rFonts w:hint="eastAsia"/>
                      <w:szCs w:val="22"/>
                    </w:rPr>
                    <w:t xml:space="preserve">0.0356 </w:t>
                  </w:r>
                </w:p>
              </w:tc>
              <w:tc>
                <w:tcPr>
                  <w:tcW w:w="1109" w:type="dxa"/>
                  <w:shd w:val="clear" w:color="auto" w:fill="auto"/>
                  <w:vAlign w:val="center"/>
                </w:tcPr>
                <w:p>
                  <w:pPr>
                    <w:widowControl/>
                    <w:spacing w:line="360" w:lineRule="exact"/>
                    <w:jc w:val="center"/>
                    <w:rPr>
                      <w:kern w:val="0"/>
                      <w:szCs w:val="21"/>
                    </w:rPr>
                  </w:pPr>
                  <w:r>
                    <w:rPr>
                      <w:szCs w:val="21"/>
                    </w:rPr>
                    <w:t>0.1007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326" w:type="dxa"/>
                  <w:gridSpan w:val="2"/>
                  <w:shd w:val="clear" w:color="auto" w:fill="auto"/>
                  <w:noWrap/>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破碎筛粉粉尘有组织排放</w:t>
                  </w:r>
                </w:p>
              </w:tc>
              <w:tc>
                <w:tcPr>
                  <w:tcW w:w="1340" w:type="dxa"/>
                  <w:shd w:val="clear" w:color="auto" w:fill="auto"/>
                  <w:noWrap/>
                  <w:vAlign w:val="center"/>
                </w:tcPr>
                <w:p>
                  <w:pPr>
                    <w:widowControl/>
                    <w:spacing w:line="360" w:lineRule="exact"/>
                    <w:jc w:val="center"/>
                    <w:rPr>
                      <w:kern w:val="0"/>
                      <w:szCs w:val="21"/>
                    </w:rPr>
                  </w:pPr>
                  <w:r>
                    <w:rPr>
                      <w:rFonts w:hint="eastAsia"/>
                      <w:szCs w:val="22"/>
                    </w:rPr>
                    <w:t xml:space="preserve">0.000032 </w:t>
                  </w:r>
                </w:p>
              </w:tc>
              <w:tc>
                <w:tcPr>
                  <w:tcW w:w="1109" w:type="dxa"/>
                  <w:shd w:val="clear" w:color="auto" w:fill="auto"/>
                  <w:vAlign w:val="center"/>
                </w:tcPr>
                <w:p>
                  <w:pPr>
                    <w:widowControl/>
                    <w:spacing w:line="360" w:lineRule="exact"/>
                    <w:jc w:val="center"/>
                    <w:rPr>
                      <w:kern w:val="0"/>
                      <w:szCs w:val="21"/>
                    </w:rPr>
                  </w:pPr>
                  <w:r>
                    <w:rPr>
                      <w:szCs w:val="21"/>
                    </w:rPr>
                    <w:t>0.00009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326" w:type="dxa"/>
                  <w:gridSpan w:val="2"/>
                  <w:shd w:val="clear" w:color="auto" w:fill="auto"/>
                  <w:noWrap/>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密闭车间+洒水降尘</w:t>
                  </w:r>
                </w:p>
              </w:tc>
              <w:tc>
                <w:tcPr>
                  <w:tcW w:w="1340" w:type="dxa"/>
                  <w:shd w:val="clear" w:color="auto" w:fill="auto"/>
                  <w:noWrap/>
                  <w:vAlign w:val="center"/>
                </w:tcPr>
                <w:p>
                  <w:pPr>
                    <w:widowControl/>
                    <w:spacing w:line="360" w:lineRule="exact"/>
                    <w:jc w:val="center"/>
                    <w:rPr>
                      <w:kern w:val="0"/>
                      <w:szCs w:val="21"/>
                    </w:rPr>
                  </w:pPr>
                  <w:r>
                    <w:rPr>
                      <w:rFonts w:hint="eastAsia"/>
                      <w:szCs w:val="22"/>
                    </w:rPr>
                    <w:t>0.00</w:t>
                  </w:r>
                  <w:r>
                    <w:rPr>
                      <w:szCs w:val="22"/>
                    </w:rPr>
                    <w:t>4</w:t>
                  </w:r>
                </w:p>
              </w:tc>
              <w:tc>
                <w:tcPr>
                  <w:tcW w:w="1109" w:type="dxa"/>
                  <w:shd w:val="clear" w:color="auto" w:fill="auto"/>
                  <w:vAlign w:val="center"/>
                </w:tcPr>
                <w:p>
                  <w:pPr>
                    <w:widowControl/>
                    <w:spacing w:line="360" w:lineRule="exact"/>
                    <w:jc w:val="center"/>
                    <w:rPr>
                      <w:kern w:val="0"/>
                      <w:szCs w:val="21"/>
                    </w:rPr>
                  </w:pPr>
                  <w:r>
                    <w:rPr>
                      <w:szCs w:val="21"/>
                    </w:rPr>
                    <w:t>0.0112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326" w:type="dxa"/>
                  <w:gridSpan w:val="2"/>
                  <w:shd w:val="clear" w:color="auto" w:fill="auto"/>
                  <w:noWrap/>
                  <w:vAlign w:val="center"/>
                </w:tcPr>
                <w:p>
                  <w:pPr>
                    <w:widowControl/>
                    <w:spacing w:line="360" w:lineRule="exact"/>
                    <w:jc w:val="center"/>
                    <w:rPr>
                      <w:kern w:val="0"/>
                      <w:szCs w:val="21"/>
                    </w:rPr>
                  </w:pPr>
                </w:p>
              </w:tc>
              <w:tc>
                <w:tcPr>
                  <w:tcW w:w="1340" w:type="dxa"/>
                  <w:shd w:val="clear" w:color="auto" w:fill="auto"/>
                  <w:noWrap/>
                  <w:vAlign w:val="center"/>
                </w:tcPr>
                <w:p>
                  <w:pPr>
                    <w:widowControl/>
                    <w:spacing w:line="360" w:lineRule="exact"/>
                    <w:jc w:val="center"/>
                    <w:rPr>
                      <w:kern w:val="0"/>
                      <w:szCs w:val="20"/>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jc w:val="center"/>
                    <w:rPr>
                      <w:rFonts w:cs="宋体"/>
                      <w:kern w:val="0"/>
                      <w:szCs w:val="21"/>
                    </w:rPr>
                  </w:pPr>
                  <w:r>
                    <w:rPr>
                      <w:rFonts w:hint="eastAsia" w:cs="宋体"/>
                      <w:kern w:val="0"/>
                      <w:szCs w:val="21"/>
                    </w:rPr>
                    <w:t>破碎筛粉粉尘无组织排放</w:t>
                  </w:r>
                </w:p>
              </w:tc>
              <w:tc>
                <w:tcPr>
                  <w:tcW w:w="1340" w:type="dxa"/>
                  <w:shd w:val="clear" w:color="auto" w:fill="auto"/>
                  <w:noWrap/>
                  <w:vAlign w:val="center"/>
                </w:tcPr>
                <w:p>
                  <w:pPr>
                    <w:widowControl/>
                    <w:spacing w:line="360" w:lineRule="exact"/>
                    <w:jc w:val="center"/>
                    <w:rPr>
                      <w:kern w:val="0"/>
                      <w:szCs w:val="21"/>
                    </w:rPr>
                  </w:pPr>
                  <w:r>
                    <w:rPr>
                      <w:rFonts w:hint="eastAsia"/>
                      <w:szCs w:val="22"/>
                    </w:rPr>
                    <w:t>0.00</w:t>
                  </w:r>
                  <w:r>
                    <w:rPr>
                      <w:szCs w:val="22"/>
                    </w:rPr>
                    <w:t>0011</w:t>
                  </w:r>
                </w:p>
              </w:tc>
              <w:tc>
                <w:tcPr>
                  <w:tcW w:w="1109" w:type="dxa"/>
                  <w:shd w:val="clear" w:color="auto" w:fill="auto"/>
                  <w:vAlign w:val="center"/>
                </w:tcPr>
                <w:p>
                  <w:pPr>
                    <w:widowControl/>
                    <w:spacing w:line="360" w:lineRule="exact"/>
                    <w:jc w:val="center"/>
                    <w:rPr>
                      <w:kern w:val="0"/>
                      <w:szCs w:val="21"/>
                    </w:rPr>
                  </w:pPr>
                  <w:r>
                    <w:rPr>
                      <w:szCs w:val="21"/>
                    </w:rPr>
                    <w:t>0.00003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326" w:type="dxa"/>
                  <w:gridSpan w:val="2"/>
                  <w:shd w:val="clear" w:color="auto" w:fill="auto"/>
                  <w:noWrap/>
                  <w:vAlign w:val="center"/>
                </w:tcPr>
                <w:p>
                  <w:pPr>
                    <w:widowControl/>
                    <w:spacing w:line="360" w:lineRule="exact"/>
                    <w:jc w:val="center"/>
                    <w:rPr>
                      <w:rFonts w:cs="宋体"/>
                      <w:b/>
                      <w:bCs/>
                      <w:kern w:val="0"/>
                      <w:szCs w:val="21"/>
                    </w:rPr>
                  </w:pPr>
                  <w:r>
                    <w:rPr>
                      <w:rFonts w:hint="eastAsia" w:cs="宋体"/>
                      <w:b/>
                      <w:bCs/>
                      <w:kern w:val="0"/>
                      <w:szCs w:val="21"/>
                    </w:rPr>
                    <w:t>合计</w:t>
                  </w:r>
                </w:p>
              </w:tc>
              <w:tc>
                <w:tcPr>
                  <w:tcW w:w="1340" w:type="dxa"/>
                  <w:shd w:val="clear" w:color="auto" w:fill="auto"/>
                  <w:noWrap/>
                  <w:vAlign w:val="center"/>
                </w:tcPr>
                <w:p>
                  <w:pPr>
                    <w:widowControl/>
                    <w:spacing w:line="360" w:lineRule="exact"/>
                    <w:jc w:val="center"/>
                    <w:rPr>
                      <w:rFonts w:cs="宋体"/>
                      <w:b/>
                      <w:bCs/>
                      <w:kern w:val="0"/>
                      <w:szCs w:val="21"/>
                    </w:rPr>
                  </w:pPr>
                </w:p>
              </w:tc>
              <w:tc>
                <w:tcPr>
                  <w:tcW w:w="899" w:type="dxa"/>
                  <w:shd w:val="clear" w:color="auto" w:fill="auto"/>
                  <w:vAlign w:val="center"/>
                </w:tcPr>
                <w:p>
                  <w:pPr>
                    <w:widowControl/>
                    <w:spacing w:line="360" w:lineRule="exact"/>
                    <w:jc w:val="center"/>
                    <w:rPr>
                      <w:kern w:val="0"/>
                      <w:szCs w:val="20"/>
                    </w:rPr>
                  </w:pPr>
                </w:p>
              </w:tc>
              <w:tc>
                <w:tcPr>
                  <w:tcW w:w="2526" w:type="dxa"/>
                  <w:gridSpan w:val="2"/>
                  <w:shd w:val="clear" w:color="auto" w:fill="auto"/>
                  <w:noWrap/>
                  <w:vAlign w:val="center"/>
                </w:tcPr>
                <w:p>
                  <w:pPr>
                    <w:widowControl/>
                    <w:spacing w:line="360" w:lineRule="exact"/>
                    <w:jc w:val="center"/>
                    <w:rPr>
                      <w:kern w:val="0"/>
                      <w:szCs w:val="20"/>
                    </w:rPr>
                  </w:pPr>
                </w:p>
              </w:tc>
              <w:tc>
                <w:tcPr>
                  <w:tcW w:w="1340" w:type="dxa"/>
                  <w:shd w:val="clear" w:color="auto" w:fill="auto"/>
                  <w:noWrap/>
                  <w:vAlign w:val="center"/>
                </w:tcPr>
                <w:p>
                  <w:pPr>
                    <w:widowControl/>
                    <w:spacing w:line="360" w:lineRule="exact"/>
                    <w:jc w:val="center"/>
                    <w:rPr>
                      <w:kern w:val="0"/>
                      <w:szCs w:val="21"/>
                    </w:rPr>
                  </w:pPr>
                  <w:r>
                    <w:rPr>
                      <w:rFonts w:hint="eastAsia"/>
                      <w:szCs w:val="22"/>
                    </w:rPr>
                    <w:t>91.91</w:t>
                  </w:r>
                </w:p>
              </w:tc>
              <w:tc>
                <w:tcPr>
                  <w:tcW w:w="1109" w:type="dxa"/>
                  <w:shd w:val="clear" w:color="auto" w:fill="auto"/>
                  <w:vAlign w:val="center"/>
                </w:tcPr>
                <w:p>
                  <w:pPr>
                    <w:widowControl/>
                    <w:spacing w:line="360" w:lineRule="exact"/>
                    <w:jc w:val="center"/>
                    <w:rPr>
                      <w:kern w:val="0"/>
                      <w:szCs w:val="21"/>
                    </w:rPr>
                  </w:pPr>
                  <w:r>
                    <w:rPr>
                      <w:rFonts w:hint="eastAsia"/>
                      <w:szCs w:val="22"/>
                    </w:rPr>
                    <w:t>260.11</w:t>
                  </w:r>
                </w:p>
              </w:tc>
            </w:tr>
          </w:tbl>
          <w:p>
            <w:pPr>
              <w:pStyle w:val="50"/>
              <w:ind w:firstLine="482"/>
              <w:rPr>
                <w:b/>
                <w:bCs/>
              </w:rPr>
            </w:pPr>
            <w:r>
              <w:rPr>
                <w:rFonts w:hint="eastAsia"/>
                <w:b/>
                <w:bCs/>
              </w:rPr>
              <w:t>4、公用工程</w:t>
            </w:r>
          </w:p>
          <w:p>
            <w:pPr>
              <w:pStyle w:val="50"/>
              <w:ind w:firstLine="482"/>
              <w:rPr>
                <w:b/>
                <w:bCs/>
              </w:rPr>
            </w:pPr>
            <w:r>
              <w:rPr>
                <w:rFonts w:hint="eastAsia"/>
                <w:b/>
                <w:bCs/>
              </w:rPr>
              <w:t>4.1供排水</w:t>
            </w:r>
          </w:p>
          <w:p>
            <w:pPr>
              <w:pStyle w:val="50"/>
              <w:ind w:firstLine="480"/>
            </w:pPr>
            <w:r>
              <w:rPr>
                <w:rFonts w:hint="eastAsia"/>
              </w:rPr>
              <w:t>4.1.1供水</w:t>
            </w:r>
          </w:p>
          <w:p>
            <w:pPr>
              <w:spacing w:line="360" w:lineRule="auto"/>
              <w:ind w:firstLine="480"/>
              <w:rPr>
                <w:kern w:val="1"/>
                <w:sz w:val="24"/>
              </w:rPr>
            </w:pPr>
            <w:r>
              <w:rPr>
                <w:rFonts w:hint="eastAsia"/>
                <w:kern w:val="1"/>
                <w:sz w:val="24"/>
              </w:rPr>
              <w:t>本项目所在区域水资源匮乏，项目用水主要依靠汽车从韦州镇拉运，项目工业场地内设置容积为100m</w:t>
            </w:r>
            <w:r>
              <w:rPr>
                <w:rFonts w:hint="eastAsia"/>
                <w:kern w:val="24"/>
                <w:sz w:val="24"/>
                <w:vertAlign w:val="superscript"/>
              </w:rPr>
              <w:t>3</w:t>
            </w:r>
            <w:r>
              <w:rPr>
                <w:rFonts w:hint="eastAsia"/>
                <w:kern w:val="1"/>
                <w:sz w:val="24"/>
              </w:rPr>
              <w:t>蓄水箱1个。</w:t>
            </w:r>
          </w:p>
          <w:p>
            <w:pPr>
              <w:pStyle w:val="47"/>
              <w:ind w:firstLine="480"/>
              <w:rPr>
                <w:color w:val="auto"/>
              </w:rPr>
            </w:pPr>
            <w:r>
              <w:rPr>
                <w:rFonts w:hint="eastAsia"/>
                <w:color w:val="auto"/>
              </w:rPr>
              <w:t>（1）抑尘用水</w:t>
            </w:r>
          </w:p>
          <w:p>
            <w:pPr>
              <w:autoSpaceDE w:val="0"/>
              <w:autoSpaceDN w:val="0"/>
              <w:spacing w:line="360" w:lineRule="auto"/>
              <w:ind w:right="120" w:firstLine="480" w:firstLineChars="200"/>
              <w:rPr>
                <w:sz w:val="24"/>
              </w:rPr>
            </w:pPr>
            <w:r>
              <w:rPr>
                <w:rFonts w:hint="eastAsia"/>
                <w:sz w:val="24"/>
              </w:rPr>
              <w:t>a.剥离、开采抑尘用水</w:t>
            </w:r>
          </w:p>
          <w:p>
            <w:pPr>
              <w:autoSpaceDE w:val="0"/>
              <w:autoSpaceDN w:val="0"/>
              <w:spacing w:line="360" w:lineRule="auto"/>
              <w:ind w:right="120" w:firstLine="480" w:firstLineChars="200"/>
              <w:rPr>
                <w:sz w:val="24"/>
              </w:rPr>
            </w:pPr>
            <w:r>
              <w:rPr>
                <w:rFonts w:hint="eastAsia"/>
                <w:sz w:val="24"/>
              </w:rPr>
              <w:t>项目表层剥离及开采前为抑制粉尘排放，拟在开采工作面钻孔、爆破、铲装等工序按要求进行洒水，以减少粉尘产生量。参考同类项目经验数据，本项目剥离、开采洒水抑尘系数按照2.5L/t-产品计算，则本项目场地剥离、开采洒水用水量约为</w:t>
            </w:r>
            <w:r>
              <w:rPr>
                <w:sz w:val="24"/>
              </w:rPr>
              <w:t>45.83</w:t>
            </w:r>
            <w:r>
              <w:rPr>
                <w:rFonts w:hint="eastAsia"/>
                <w:sz w:val="24"/>
              </w:rPr>
              <w:t>m</w:t>
            </w:r>
            <w:r>
              <w:rPr>
                <w:rFonts w:hint="eastAsia"/>
                <w:sz w:val="24"/>
                <w:vertAlign w:val="superscript"/>
              </w:rPr>
              <w:t>3</w:t>
            </w:r>
            <w:r>
              <w:rPr>
                <w:rFonts w:hint="eastAsia"/>
                <w:sz w:val="24"/>
              </w:rPr>
              <w:t>/d（</w:t>
            </w:r>
            <w:r>
              <w:rPr>
                <w:sz w:val="24"/>
              </w:rPr>
              <w:t>13750</w:t>
            </w:r>
            <w:r>
              <w:rPr>
                <w:rFonts w:hint="eastAsia"/>
                <w:sz w:val="24"/>
              </w:rPr>
              <w:t>m</w:t>
            </w:r>
            <w:r>
              <w:rPr>
                <w:rFonts w:hint="eastAsia"/>
                <w:sz w:val="24"/>
                <w:vertAlign w:val="superscript"/>
              </w:rPr>
              <w:t>3</w:t>
            </w:r>
            <w:r>
              <w:rPr>
                <w:rFonts w:hint="eastAsia"/>
                <w:sz w:val="24"/>
              </w:rPr>
              <w:t>/a）。</w:t>
            </w:r>
          </w:p>
          <w:p>
            <w:pPr>
              <w:autoSpaceDE w:val="0"/>
              <w:autoSpaceDN w:val="0"/>
              <w:spacing w:line="360" w:lineRule="auto"/>
              <w:ind w:right="120" w:firstLine="480" w:firstLineChars="200"/>
              <w:rPr>
                <w:sz w:val="24"/>
              </w:rPr>
            </w:pPr>
            <w:r>
              <w:rPr>
                <w:rFonts w:hint="eastAsia"/>
                <w:sz w:val="24"/>
              </w:rPr>
              <w:t>b.成品堆场、排土场抑尘用水</w:t>
            </w:r>
          </w:p>
          <w:p>
            <w:pPr>
              <w:autoSpaceDE w:val="0"/>
              <w:autoSpaceDN w:val="0"/>
              <w:spacing w:line="360" w:lineRule="auto"/>
              <w:ind w:right="120" w:firstLine="480" w:firstLineChars="200"/>
              <w:rPr>
                <w:sz w:val="24"/>
                <w:lang w:val="zh-CN"/>
              </w:rPr>
            </w:pPr>
            <w:r>
              <w:rPr>
                <w:rFonts w:hint="eastAsia"/>
                <w:sz w:val="24"/>
              </w:rPr>
              <w:t>项目不设原料堆场，成品堆场占地面积约2.716万m</w:t>
            </w:r>
            <w:r>
              <w:rPr>
                <w:rFonts w:hint="eastAsia"/>
                <w:sz w:val="24"/>
                <w:vertAlign w:val="superscript"/>
              </w:rPr>
              <w:t>2</w:t>
            </w:r>
            <w:r>
              <w:rPr>
                <w:rFonts w:hint="eastAsia"/>
                <w:sz w:val="24"/>
              </w:rPr>
              <w:t>，露天一期排土场占地面积约0.6万m</w:t>
            </w:r>
            <w:r>
              <w:rPr>
                <w:rFonts w:hint="eastAsia"/>
                <w:sz w:val="24"/>
                <w:vertAlign w:val="superscript"/>
              </w:rPr>
              <w:t>2</w:t>
            </w:r>
            <w:r>
              <w:rPr>
                <w:rFonts w:hint="eastAsia"/>
                <w:sz w:val="24"/>
              </w:rPr>
              <w:t>，二期排土场占地面积约0.95万m</w:t>
            </w:r>
            <w:r>
              <w:rPr>
                <w:rFonts w:hint="eastAsia"/>
                <w:sz w:val="24"/>
                <w:vertAlign w:val="superscript"/>
              </w:rPr>
              <w:t>2</w:t>
            </w:r>
            <w:r>
              <w:rPr>
                <w:rFonts w:hint="eastAsia"/>
                <w:sz w:val="24"/>
              </w:rPr>
              <w:t>。</w:t>
            </w:r>
            <w:r>
              <w:rPr>
                <w:rFonts w:hint="eastAsia"/>
                <w:sz w:val="24"/>
                <w:lang w:val="zh-CN"/>
              </w:rPr>
              <w:t>一期开采完毕，一期排土场表土及时拉往一期开采场用于复垦使用。</w:t>
            </w:r>
            <w:r>
              <w:rPr>
                <w:rFonts w:hint="eastAsia"/>
                <w:sz w:val="24"/>
              </w:rPr>
              <w:t>为了控制堆场风力扬尘，企业对成品堆场、排土场采取洒水抑尘措施。参照《宁夏回族自治区城市生活用水定额（2020修订）》中场地浇洒用水标准，按照4L/m</w:t>
            </w:r>
            <w:r>
              <w:rPr>
                <w:rFonts w:hint="eastAsia"/>
                <w:sz w:val="24"/>
                <w:vertAlign w:val="superscript"/>
              </w:rPr>
              <w:t>2</w:t>
            </w:r>
            <w:r>
              <w:rPr>
                <w:rFonts w:hint="eastAsia"/>
                <w:sz w:val="24"/>
              </w:rPr>
              <w:t>.a 计算，则本项目成品堆场、排土场抑尘最大用水量为0.489m</w:t>
            </w:r>
            <w:r>
              <w:rPr>
                <w:rFonts w:hint="eastAsia"/>
                <w:sz w:val="24"/>
                <w:vertAlign w:val="superscript"/>
              </w:rPr>
              <w:t>3</w:t>
            </w:r>
            <w:r>
              <w:rPr>
                <w:rFonts w:hint="eastAsia"/>
                <w:sz w:val="24"/>
              </w:rPr>
              <w:t>/d（146.64m</w:t>
            </w:r>
            <w:r>
              <w:rPr>
                <w:rFonts w:hint="eastAsia"/>
                <w:sz w:val="24"/>
                <w:vertAlign w:val="superscript"/>
              </w:rPr>
              <w:t>3</w:t>
            </w:r>
            <w:r>
              <w:rPr>
                <w:rFonts w:hint="eastAsia"/>
                <w:sz w:val="24"/>
              </w:rPr>
              <w:t>/a）（项目用水量按露天二期排土场计算最大用水量），该部分水将全部被地表吸收和蒸发。</w:t>
            </w:r>
          </w:p>
          <w:p>
            <w:pPr>
              <w:autoSpaceDE w:val="0"/>
              <w:autoSpaceDN w:val="0"/>
              <w:spacing w:line="360" w:lineRule="auto"/>
              <w:ind w:right="120" w:firstLine="480" w:firstLineChars="200"/>
              <w:rPr>
                <w:sz w:val="24"/>
              </w:rPr>
            </w:pPr>
            <w:r>
              <w:rPr>
                <w:rFonts w:hint="eastAsia"/>
                <w:sz w:val="24"/>
              </w:rPr>
              <w:t>c .道路洒水抑尘：本项目场内矿山道路总长1465m，道路宽度按11m 计，占地面积约16115m</w:t>
            </w:r>
            <w:r>
              <w:rPr>
                <w:rFonts w:hint="eastAsia"/>
                <w:sz w:val="24"/>
                <w:vertAlign w:val="superscript"/>
              </w:rPr>
              <w:t>2</w:t>
            </w:r>
            <w:r>
              <w:rPr>
                <w:rFonts w:hint="eastAsia"/>
                <w:sz w:val="24"/>
              </w:rPr>
              <w:t>，矿山露天开采境界范围之外的道路长约1140m，占地面积约1.25hm</w:t>
            </w:r>
            <w:r>
              <w:rPr>
                <w:rFonts w:hint="eastAsia"/>
                <w:sz w:val="24"/>
                <w:vertAlign w:val="superscript"/>
              </w:rPr>
              <w:t>2</w:t>
            </w:r>
            <w:r>
              <w:rPr>
                <w:rFonts w:hint="eastAsia"/>
                <w:sz w:val="24"/>
              </w:rPr>
              <w:t>。道路洒水抑尘用水量参照《宁夏回族自治区城市生活用水定额（2020 修订）》中环境卫生行业浇洒道路用水标准，按照4L/m</w:t>
            </w:r>
            <w:r>
              <w:rPr>
                <w:rFonts w:hint="eastAsia"/>
                <w:sz w:val="24"/>
                <w:vertAlign w:val="superscript"/>
              </w:rPr>
              <w:t>2</w:t>
            </w:r>
            <w:r>
              <w:rPr>
                <w:rFonts w:hint="eastAsia"/>
                <w:sz w:val="24"/>
              </w:rPr>
              <w:t>.a 计算，道路洒水抑尘用水量为0.381m</w:t>
            </w:r>
            <w:r>
              <w:rPr>
                <w:rFonts w:hint="eastAsia"/>
                <w:sz w:val="24"/>
                <w:vertAlign w:val="superscript"/>
              </w:rPr>
              <w:t>3</w:t>
            </w:r>
            <w:r>
              <w:rPr>
                <w:rFonts w:hint="eastAsia"/>
                <w:sz w:val="24"/>
              </w:rPr>
              <w:t>/d（114.46m</w:t>
            </w:r>
            <w:r>
              <w:rPr>
                <w:rFonts w:hint="eastAsia"/>
                <w:sz w:val="24"/>
                <w:vertAlign w:val="superscript"/>
              </w:rPr>
              <w:t>3</w:t>
            </w:r>
            <w:r>
              <w:rPr>
                <w:rFonts w:hint="eastAsia"/>
                <w:sz w:val="24"/>
              </w:rPr>
              <w:t>/a）。</w:t>
            </w:r>
          </w:p>
          <w:p>
            <w:pPr>
              <w:autoSpaceDE w:val="0"/>
              <w:autoSpaceDN w:val="0"/>
              <w:spacing w:line="360" w:lineRule="auto"/>
              <w:ind w:right="120" w:firstLine="480" w:firstLineChars="200"/>
              <w:rPr>
                <w:sz w:val="24"/>
              </w:rPr>
            </w:pPr>
            <w:r>
              <w:rPr>
                <w:rFonts w:hint="eastAsia"/>
                <w:sz w:val="24"/>
              </w:rPr>
              <w:t>（2）车辆冲洗补充用水</w:t>
            </w:r>
          </w:p>
          <w:p>
            <w:pPr>
              <w:pStyle w:val="47"/>
              <w:ind w:firstLine="480"/>
              <w:rPr>
                <w:color w:val="auto"/>
              </w:rPr>
            </w:pPr>
            <w:r>
              <w:rPr>
                <w:rFonts w:hint="eastAsia"/>
                <w:color w:val="auto"/>
              </w:rPr>
              <w:t>项目运输车辆驶出场区出口前均需进行车辆清洗，本项目运输车辆冲洗水循环利用量约</w:t>
            </w:r>
            <w:r>
              <w:rPr>
                <w:rFonts w:hint="eastAsia" w:cs="仿宋"/>
                <w:color w:val="auto"/>
                <w:spacing w:val="-7"/>
              </w:rPr>
              <w:t>10m</w:t>
            </w:r>
            <w:r>
              <w:rPr>
                <w:rFonts w:hint="eastAsia" w:cs="仿宋"/>
                <w:color w:val="auto"/>
                <w:spacing w:val="-7"/>
                <w:position w:val="8"/>
                <w:sz w:val="15"/>
                <w:szCs w:val="15"/>
              </w:rPr>
              <w:t>3</w:t>
            </w:r>
            <w:r>
              <w:rPr>
                <w:rFonts w:hint="eastAsia" w:cs="仿宋"/>
                <w:color w:val="auto"/>
                <w:spacing w:val="-7"/>
              </w:rPr>
              <w:t>/d</w:t>
            </w:r>
            <w:r>
              <w:rPr>
                <w:rFonts w:hint="eastAsia"/>
                <w:color w:val="auto"/>
                <w:spacing w:val="-8"/>
              </w:rPr>
              <w:t>，集中</w:t>
            </w:r>
            <w:r>
              <w:rPr>
                <w:rFonts w:hint="eastAsia"/>
                <w:color w:val="auto"/>
                <w:spacing w:val="-14"/>
              </w:rPr>
              <w:t>收集至</w:t>
            </w:r>
            <w:r>
              <w:rPr>
                <w:rFonts w:hint="eastAsia" w:cs="仿宋"/>
                <w:color w:val="auto"/>
              </w:rPr>
              <w:t>10m</w:t>
            </w:r>
            <w:r>
              <w:rPr>
                <w:rFonts w:hint="eastAsia" w:cs="仿宋"/>
                <w:color w:val="auto"/>
                <w:position w:val="8"/>
                <w:sz w:val="15"/>
                <w:szCs w:val="15"/>
              </w:rPr>
              <w:t xml:space="preserve">3 </w:t>
            </w:r>
            <w:r>
              <w:rPr>
                <w:rFonts w:hint="eastAsia"/>
                <w:color w:val="auto"/>
              </w:rPr>
              <w:t>隔油沉淀池沉淀后重复使用，补充冲洗水用水量为</w:t>
            </w:r>
            <w:r>
              <w:rPr>
                <w:rFonts w:hint="eastAsia" w:cs="仿宋"/>
                <w:color w:val="auto"/>
                <w:spacing w:val="-5"/>
              </w:rPr>
              <w:t>0.5m</w:t>
            </w:r>
            <w:r>
              <w:rPr>
                <w:rFonts w:hint="eastAsia" w:cs="仿宋"/>
                <w:color w:val="auto"/>
                <w:spacing w:val="-5"/>
                <w:position w:val="8"/>
                <w:sz w:val="15"/>
                <w:szCs w:val="15"/>
              </w:rPr>
              <w:t>3</w:t>
            </w:r>
            <w:r>
              <w:rPr>
                <w:rFonts w:hint="eastAsia" w:cs="仿宋"/>
                <w:color w:val="auto"/>
                <w:spacing w:val="-5"/>
              </w:rPr>
              <w:t>/d</w:t>
            </w:r>
            <w:r>
              <w:rPr>
                <w:rFonts w:hint="eastAsia"/>
                <w:color w:val="auto"/>
                <w:spacing w:val="-5"/>
              </w:rPr>
              <w:t>（</w:t>
            </w:r>
            <w:r>
              <w:rPr>
                <w:rFonts w:hint="eastAsia" w:cs="仿宋"/>
                <w:color w:val="auto"/>
                <w:spacing w:val="-5"/>
              </w:rPr>
              <w:t>150m</w:t>
            </w:r>
            <w:r>
              <w:rPr>
                <w:rFonts w:hint="eastAsia" w:cs="仿宋"/>
                <w:color w:val="auto"/>
                <w:spacing w:val="-5"/>
                <w:position w:val="8"/>
                <w:sz w:val="15"/>
                <w:szCs w:val="15"/>
              </w:rPr>
              <w:t>3</w:t>
            </w:r>
            <w:r>
              <w:rPr>
                <w:rFonts w:hint="eastAsia" w:cs="仿宋"/>
                <w:color w:val="auto"/>
                <w:spacing w:val="-5"/>
              </w:rPr>
              <w:t>/a</w:t>
            </w:r>
            <w:r>
              <w:rPr>
                <w:rFonts w:hint="eastAsia"/>
                <w:color w:val="auto"/>
                <w:spacing w:val="-5"/>
              </w:rPr>
              <w:t>），该部分</w:t>
            </w:r>
            <w:r>
              <w:rPr>
                <w:rFonts w:hint="eastAsia"/>
                <w:color w:val="auto"/>
              </w:rPr>
              <w:t>水将全部损耗。</w:t>
            </w:r>
          </w:p>
          <w:p>
            <w:pPr>
              <w:autoSpaceDE w:val="0"/>
              <w:autoSpaceDN w:val="0"/>
              <w:spacing w:line="360" w:lineRule="auto"/>
              <w:ind w:right="120" w:firstLine="480" w:firstLineChars="200"/>
              <w:rPr>
                <w:sz w:val="24"/>
              </w:rPr>
            </w:pPr>
            <w:r>
              <w:rPr>
                <w:rFonts w:hint="eastAsia"/>
                <w:sz w:val="24"/>
              </w:rPr>
              <w:t>（3）矿坑积水</w:t>
            </w:r>
          </w:p>
          <w:p>
            <w:pPr>
              <w:autoSpaceDE w:val="0"/>
              <w:autoSpaceDN w:val="0"/>
              <w:spacing w:line="360" w:lineRule="auto"/>
              <w:ind w:right="120" w:firstLine="420" w:firstLineChars="200"/>
              <w:rPr>
                <w:sz w:val="24"/>
              </w:rPr>
            </w:pPr>
            <w:r>
              <w:drawing>
                <wp:anchor distT="0" distB="0" distL="114300" distR="114300" simplePos="0" relativeHeight="251686912" behindDoc="0" locked="0" layoutInCell="1" allowOverlap="1">
                  <wp:simplePos x="0" y="0"/>
                  <wp:positionH relativeFrom="column">
                    <wp:posOffset>1052195</wp:posOffset>
                  </wp:positionH>
                  <wp:positionV relativeFrom="paragraph">
                    <wp:posOffset>1743710</wp:posOffset>
                  </wp:positionV>
                  <wp:extent cx="2171700" cy="485775"/>
                  <wp:effectExtent l="0" t="0" r="0"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2171700" cy="485775"/>
                          </a:xfrm>
                          <a:prstGeom prst="rect">
                            <a:avLst/>
                          </a:prstGeom>
                        </pic:spPr>
                      </pic:pic>
                    </a:graphicData>
                  </a:graphic>
                </wp:anchor>
              </w:drawing>
            </w:r>
            <w:r>
              <w:rPr>
                <w:rFonts w:hint="eastAsia"/>
                <w:sz w:val="24"/>
              </w:rPr>
              <w:t>本项目矿床充水主要来自大气降水。项目矿坑范围虽然较大，产生局部洪流后可自然排泄，企业在采矿场最终边坡的安全平台及清扫平台上设置排水沟，可防止雨水流入矿坑；+1600m以下为凹陷露天式开采，夏季会产生矿坑积水，采矿区产生的汇水，产生量主要与降雨强度、汇水面积、径流系数和场地地质条件等因素有关，本项目以暴雨期间产生的雨水径流进行预测，其水量预测参照宁夏银川市暴雨强度公式（2015修订）计算，</w:t>
            </w:r>
          </w:p>
          <w:p>
            <w:pPr>
              <w:autoSpaceDE w:val="0"/>
              <w:autoSpaceDN w:val="0"/>
              <w:spacing w:line="360" w:lineRule="auto"/>
              <w:ind w:right="120" w:firstLine="480" w:firstLineChars="200"/>
              <w:rPr>
                <w:sz w:val="24"/>
              </w:rPr>
            </w:pPr>
          </w:p>
          <w:p>
            <w:pPr>
              <w:autoSpaceDE w:val="0"/>
              <w:autoSpaceDN w:val="0"/>
              <w:spacing w:line="360" w:lineRule="auto"/>
              <w:ind w:right="120" w:firstLine="480" w:firstLineChars="200"/>
              <w:rPr>
                <w:sz w:val="24"/>
              </w:rPr>
            </w:pPr>
          </w:p>
          <w:p>
            <w:pPr>
              <w:autoSpaceDE w:val="0"/>
              <w:autoSpaceDN w:val="0"/>
              <w:spacing w:line="360" w:lineRule="auto"/>
              <w:ind w:right="120" w:firstLine="480" w:firstLineChars="200"/>
              <w:rPr>
                <w:sz w:val="24"/>
              </w:rPr>
            </w:pPr>
            <w:r>
              <w:rPr>
                <w:rFonts w:hint="eastAsia"/>
                <w:sz w:val="24"/>
              </w:rPr>
              <w:t>式中：q—设计暴雨强度，L/s·hm</w:t>
            </w:r>
            <w:r>
              <w:rPr>
                <w:rFonts w:hint="eastAsia"/>
                <w:sz w:val="24"/>
                <w:vertAlign w:val="superscript"/>
              </w:rPr>
              <w:t>2</w:t>
            </w:r>
            <w:r>
              <w:rPr>
                <w:rFonts w:hint="eastAsia"/>
                <w:sz w:val="24"/>
              </w:rPr>
              <w:t>；</w:t>
            </w:r>
          </w:p>
          <w:p>
            <w:pPr>
              <w:autoSpaceDE w:val="0"/>
              <w:autoSpaceDN w:val="0"/>
              <w:spacing w:line="360" w:lineRule="auto"/>
              <w:ind w:right="120" w:firstLine="480" w:firstLineChars="200"/>
              <w:rPr>
                <w:sz w:val="24"/>
              </w:rPr>
            </w:pPr>
            <w:r>
              <w:rPr>
                <w:rFonts w:hint="eastAsia"/>
                <w:sz w:val="24"/>
              </w:rPr>
              <w:t>t—降雨历时，min，取15min；</w:t>
            </w:r>
          </w:p>
          <w:p>
            <w:pPr>
              <w:autoSpaceDE w:val="0"/>
              <w:autoSpaceDN w:val="0"/>
              <w:spacing w:line="360" w:lineRule="auto"/>
              <w:ind w:right="120" w:firstLine="480" w:firstLineChars="200"/>
              <w:rPr>
                <w:sz w:val="24"/>
              </w:rPr>
            </w:pPr>
            <w:r>
              <w:rPr>
                <w:rFonts w:hint="eastAsia"/>
                <w:sz w:val="24"/>
              </w:rPr>
              <w:t>P—重现期，a，取</w:t>
            </w:r>
            <w:r>
              <w:rPr>
                <w:sz w:val="24"/>
              </w:rPr>
              <w:t>2</w:t>
            </w:r>
            <w:r>
              <w:rPr>
                <w:rFonts w:hint="eastAsia"/>
                <w:sz w:val="24"/>
              </w:rPr>
              <w:t>年。</w:t>
            </w:r>
          </w:p>
          <w:p>
            <w:pPr>
              <w:autoSpaceDE w:val="0"/>
              <w:autoSpaceDN w:val="0"/>
              <w:spacing w:line="360" w:lineRule="auto"/>
              <w:ind w:right="120" w:firstLine="480" w:firstLineChars="200"/>
              <w:rPr>
                <w:sz w:val="24"/>
              </w:rPr>
            </w:pPr>
            <w:r>
              <w:rPr>
                <w:rFonts w:hint="eastAsia"/>
                <w:sz w:val="24"/>
              </w:rPr>
              <w:t>其中重现期取P=1年，初期雨水历时t=15min，则暴雨强度q=</w:t>
            </w:r>
            <w:r>
              <w:rPr>
                <w:sz w:val="24"/>
              </w:rPr>
              <w:t>83.12</w:t>
            </w:r>
            <w:r>
              <w:rPr>
                <w:rFonts w:hint="eastAsia"/>
                <w:sz w:val="24"/>
              </w:rPr>
              <w:t>L/s•hm</w:t>
            </w:r>
            <w:r>
              <w:rPr>
                <w:rFonts w:hint="eastAsia"/>
                <w:sz w:val="24"/>
                <w:vertAlign w:val="superscript"/>
              </w:rPr>
              <w:t>2</w:t>
            </w:r>
            <w:r>
              <w:rPr>
                <w:rFonts w:hint="eastAsia"/>
                <w:sz w:val="24"/>
              </w:rPr>
              <w:t>。</w:t>
            </w:r>
          </w:p>
          <w:p>
            <w:pPr>
              <w:autoSpaceDE w:val="0"/>
              <w:autoSpaceDN w:val="0"/>
              <w:spacing w:line="360" w:lineRule="auto"/>
              <w:ind w:right="120" w:firstLine="420" w:firstLineChars="200"/>
              <w:rPr>
                <w:sz w:val="24"/>
              </w:rPr>
            </w:pPr>
            <w:r>
              <w:drawing>
                <wp:anchor distT="0" distB="0" distL="114300" distR="114300" simplePos="0" relativeHeight="251687936" behindDoc="0" locked="0" layoutInCell="1" allowOverlap="1">
                  <wp:simplePos x="0" y="0"/>
                  <wp:positionH relativeFrom="column">
                    <wp:posOffset>2113915</wp:posOffset>
                  </wp:positionH>
                  <wp:positionV relativeFrom="paragraph">
                    <wp:posOffset>242570</wp:posOffset>
                  </wp:positionV>
                  <wp:extent cx="793115" cy="312420"/>
                  <wp:effectExtent l="0" t="0" r="698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793115" cy="312420"/>
                          </a:xfrm>
                          <a:prstGeom prst="rect">
                            <a:avLst/>
                          </a:prstGeom>
                        </pic:spPr>
                      </pic:pic>
                    </a:graphicData>
                  </a:graphic>
                </wp:anchor>
              </w:drawing>
            </w:r>
            <w:r>
              <w:rPr>
                <w:rFonts w:hint="eastAsia"/>
                <w:sz w:val="24"/>
              </w:rPr>
              <w:t>采区汇集初期雨水计算公式如下：</w:t>
            </w:r>
          </w:p>
          <w:p>
            <w:pPr>
              <w:autoSpaceDE w:val="0"/>
              <w:autoSpaceDN w:val="0"/>
              <w:spacing w:line="360" w:lineRule="auto"/>
              <w:ind w:right="120"/>
              <w:rPr>
                <w:sz w:val="24"/>
              </w:rPr>
            </w:pPr>
          </w:p>
          <w:p>
            <w:pPr>
              <w:autoSpaceDE w:val="0"/>
              <w:autoSpaceDN w:val="0"/>
              <w:spacing w:line="360" w:lineRule="auto"/>
              <w:ind w:right="120" w:firstLine="480" w:firstLineChars="200"/>
              <w:rPr>
                <w:sz w:val="24"/>
              </w:rPr>
            </w:pPr>
            <w:r>
              <w:rPr>
                <w:rFonts w:hint="eastAsia"/>
                <w:sz w:val="24"/>
              </w:rPr>
              <w:t>式中：Q—雨水量</w:t>
            </w:r>
          </w:p>
          <w:p>
            <w:pPr>
              <w:autoSpaceDE w:val="0"/>
              <w:autoSpaceDN w:val="0"/>
              <w:spacing w:line="360" w:lineRule="auto"/>
              <w:ind w:right="120" w:firstLine="480" w:firstLineChars="200"/>
              <w:rPr>
                <w:sz w:val="24"/>
              </w:rPr>
            </w:pPr>
            <w:r>
              <w:rPr>
                <w:rFonts w:hint="eastAsia"/>
                <w:sz w:val="24"/>
              </w:rPr>
              <w:t>q—设计暴雨强度，L/s•hm</w:t>
            </w:r>
            <w:r>
              <w:rPr>
                <w:rFonts w:hint="eastAsia"/>
                <w:sz w:val="24"/>
                <w:vertAlign w:val="superscript"/>
              </w:rPr>
              <w:t>2</w:t>
            </w:r>
            <w:r>
              <w:rPr>
                <w:rFonts w:hint="eastAsia"/>
                <w:sz w:val="24"/>
              </w:rPr>
              <w:t>；</w:t>
            </w:r>
          </w:p>
          <w:p>
            <w:pPr>
              <w:autoSpaceDE w:val="0"/>
              <w:autoSpaceDN w:val="0"/>
              <w:spacing w:line="360" w:lineRule="auto"/>
              <w:ind w:right="120" w:firstLine="480" w:firstLineChars="200"/>
              <w:rPr>
                <w:sz w:val="24"/>
              </w:rPr>
            </w:pPr>
            <w:r>
              <w:rPr>
                <w:rFonts w:hint="eastAsia"/>
                <w:sz w:val="24"/>
              </w:rPr>
              <w:t>Ψ—径流系数（0.4～0.9，取0.4）；</w:t>
            </w:r>
          </w:p>
          <w:p>
            <w:pPr>
              <w:autoSpaceDE w:val="0"/>
              <w:autoSpaceDN w:val="0"/>
              <w:spacing w:line="360" w:lineRule="auto"/>
              <w:ind w:right="120" w:firstLine="480" w:firstLineChars="200"/>
              <w:rPr>
                <w:sz w:val="24"/>
              </w:rPr>
            </w:pPr>
            <w:r>
              <w:rPr>
                <w:rFonts w:hint="eastAsia"/>
                <w:sz w:val="24"/>
              </w:rPr>
              <w:t>F—汇水面积，hm</w:t>
            </w:r>
            <w:r>
              <w:rPr>
                <w:rFonts w:hint="eastAsia"/>
                <w:sz w:val="24"/>
                <w:vertAlign w:val="superscript"/>
              </w:rPr>
              <w:t>2</w:t>
            </w:r>
            <w:r>
              <w:rPr>
                <w:rFonts w:hint="eastAsia"/>
                <w:sz w:val="24"/>
              </w:rPr>
              <w:t>；</w:t>
            </w:r>
          </w:p>
          <w:p>
            <w:pPr>
              <w:autoSpaceDE w:val="0"/>
              <w:autoSpaceDN w:val="0"/>
              <w:spacing w:line="360" w:lineRule="auto"/>
              <w:ind w:right="120" w:firstLine="480" w:firstLineChars="200"/>
              <w:rPr>
                <w:sz w:val="24"/>
              </w:rPr>
            </w:pPr>
            <w:r>
              <w:rPr>
                <w:rFonts w:hint="eastAsia"/>
                <w:sz w:val="24"/>
              </w:rPr>
              <w:t>T—为收水时间，取15min。</w:t>
            </w:r>
          </w:p>
          <w:p>
            <w:pPr>
              <w:autoSpaceDE w:val="0"/>
              <w:autoSpaceDN w:val="0"/>
              <w:spacing w:line="360" w:lineRule="auto"/>
              <w:ind w:right="120" w:firstLine="480" w:firstLineChars="200"/>
              <w:rPr>
                <w:sz w:val="24"/>
              </w:rPr>
            </w:pPr>
            <w:r>
              <w:rPr>
                <w:rFonts w:hint="eastAsia"/>
                <w:sz w:val="24"/>
              </w:rPr>
              <w:t>露天一采区采场面积为0.1743km</w:t>
            </w:r>
            <w:r>
              <w:rPr>
                <w:rFonts w:hint="eastAsia"/>
                <w:sz w:val="24"/>
                <w:vertAlign w:val="superscript"/>
              </w:rPr>
              <w:t>2</w:t>
            </w:r>
            <w:r>
              <w:rPr>
                <w:rFonts w:hint="eastAsia"/>
                <w:sz w:val="24"/>
              </w:rPr>
              <w:t>，露天二采区采场面积为0.1348km</w:t>
            </w:r>
            <w:r>
              <w:rPr>
                <w:rFonts w:hint="eastAsia"/>
                <w:sz w:val="24"/>
                <w:vertAlign w:val="superscript"/>
              </w:rPr>
              <w:t>2</w:t>
            </w:r>
            <w:r>
              <w:rPr>
                <w:rFonts w:hint="eastAsia"/>
                <w:sz w:val="24"/>
              </w:rPr>
              <w:t>。</w:t>
            </w:r>
          </w:p>
          <w:p>
            <w:pPr>
              <w:autoSpaceDE w:val="0"/>
              <w:autoSpaceDN w:val="0"/>
              <w:spacing w:line="360" w:lineRule="auto"/>
              <w:ind w:right="120" w:firstLine="480" w:firstLineChars="200"/>
              <w:rPr>
                <w:sz w:val="24"/>
              </w:rPr>
            </w:pPr>
            <w:r>
              <w:rPr>
                <w:rFonts w:hint="eastAsia"/>
                <w:sz w:val="24"/>
              </w:rPr>
              <w:t>按暴雨强度条件下15min径流量计算，可知露天一采区降雨积水量最大为</w:t>
            </w:r>
            <w:r>
              <w:rPr>
                <w:sz w:val="24"/>
              </w:rPr>
              <w:t>521.5</w:t>
            </w:r>
            <w:r>
              <w:rPr>
                <w:rFonts w:hint="eastAsia"/>
                <w:sz w:val="24"/>
              </w:rPr>
              <w:t>m</w:t>
            </w:r>
            <w:r>
              <w:rPr>
                <w:rFonts w:hint="eastAsia"/>
                <w:sz w:val="24"/>
                <w:vertAlign w:val="superscript"/>
              </w:rPr>
              <w:t>3</w:t>
            </w:r>
            <w:r>
              <w:rPr>
                <w:rFonts w:hint="eastAsia"/>
                <w:sz w:val="24"/>
              </w:rPr>
              <w:t>，露天二采区降雨积水量最大为</w:t>
            </w:r>
            <w:r>
              <w:rPr>
                <w:sz w:val="24"/>
              </w:rPr>
              <w:t>403.3</w:t>
            </w:r>
            <w:r>
              <w:rPr>
                <w:rFonts w:hint="eastAsia"/>
                <w:sz w:val="24"/>
              </w:rPr>
              <w:t>m</w:t>
            </w:r>
            <w:r>
              <w:rPr>
                <w:rFonts w:hint="eastAsia"/>
                <w:sz w:val="24"/>
                <w:vertAlign w:val="superscript"/>
              </w:rPr>
              <w:t>3</w:t>
            </w:r>
            <w:r>
              <w:rPr>
                <w:rFonts w:hint="eastAsia"/>
                <w:sz w:val="24"/>
              </w:rPr>
              <w:t>，露天开采初期通过运输道路与自然冲沟相连将雨季积水排出，在采矿场最终边坡的安全平台及清扫平台上设置截排水沟及沉淀池，将大气降水及渗透裂隙水截留至沉淀池沉淀后排出场外，防止雨水、裂隙水对边坡的冲刷。</w:t>
            </w:r>
          </w:p>
          <w:p>
            <w:pPr>
              <w:autoSpaceDE w:val="0"/>
              <w:autoSpaceDN w:val="0"/>
              <w:spacing w:line="360" w:lineRule="auto"/>
              <w:ind w:right="120" w:firstLine="480" w:firstLineChars="200"/>
              <w:rPr>
                <w:kern w:val="1"/>
                <w:sz w:val="24"/>
              </w:rPr>
            </w:pPr>
            <w:r>
              <w:rPr>
                <w:rFonts w:hint="eastAsia"/>
                <w:sz w:val="24"/>
              </w:rPr>
              <w:t>（4）</w:t>
            </w:r>
            <w:r>
              <w:rPr>
                <w:rFonts w:hint="eastAsia"/>
                <w:kern w:val="1"/>
                <w:sz w:val="24"/>
              </w:rPr>
              <w:t>生活用水</w:t>
            </w:r>
          </w:p>
          <w:p>
            <w:pPr>
              <w:widowControl/>
              <w:spacing w:line="360" w:lineRule="auto"/>
              <w:ind w:firstLine="480" w:firstLineChars="200"/>
              <w:rPr>
                <w:sz w:val="24"/>
              </w:rPr>
            </w:pPr>
            <w:r>
              <w:rPr>
                <w:rFonts w:hint="eastAsia"/>
                <w:kern w:val="1"/>
                <w:sz w:val="24"/>
              </w:rPr>
              <w:t>项目劳动定员132人，</w:t>
            </w:r>
            <w:r>
              <w:rPr>
                <w:rFonts w:hint="eastAsia"/>
                <w:sz w:val="24"/>
              </w:rPr>
              <w:t>依据《自治区人民政府办公厅关于印发宁夏回族自治区有关行业用水定额（修 改）的通知》（宁政办规发〔2020〕20号）职工生活用水量按25m</w:t>
            </w:r>
            <w:r>
              <w:rPr>
                <w:rFonts w:hint="eastAsia"/>
                <w:sz w:val="24"/>
                <w:vertAlign w:val="superscript"/>
              </w:rPr>
              <w:t>3</w:t>
            </w:r>
            <w:r>
              <w:rPr>
                <w:rFonts w:hint="eastAsia"/>
                <w:sz w:val="24"/>
              </w:rPr>
              <w:t>/（人·a）计算，生活用水量为11m</w:t>
            </w:r>
            <w:r>
              <w:rPr>
                <w:rFonts w:hint="eastAsia"/>
                <w:sz w:val="24"/>
                <w:vertAlign w:val="superscript"/>
              </w:rPr>
              <w:t>3</w:t>
            </w:r>
            <w:r>
              <w:rPr>
                <w:rFonts w:hint="eastAsia"/>
                <w:sz w:val="24"/>
              </w:rPr>
              <w:t>/d（3300m</w:t>
            </w:r>
            <w:r>
              <w:rPr>
                <w:rFonts w:hint="eastAsia"/>
                <w:sz w:val="24"/>
                <w:vertAlign w:val="superscript"/>
              </w:rPr>
              <w:t>3</w:t>
            </w:r>
            <w:r>
              <w:rPr>
                <w:rFonts w:hint="eastAsia"/>
                <w:sz w:val="24"/>
              </w:rPr>
              <w:t>/a）。项目水平衡表见下表，水平衡图见图1。</w:t>
            </w:r>
          </w:p>
          <w:p>
            <w:pPr>
              <w:pStyle w:val="50"/>
              <w:numPr>
                <w:ilvl w:val="0"/>
                <w:numId w:val="2"/>
              </w:numPr>
              <w:snapToGrid w:val="0"/>
              <w:spacing w:line="240" w:lineRule="auto"/>
              <w:ind w:firstLineChars="0"/>
              <w:jc w:val="center"/>
              <w:rPr>
                <w:b/>
                <w:bCs/>
              </w:rPr>
            </w:pPr>
            <w:r>
              <w:rPr>
                <w:rFonts w:hint="eastAsia"/>
                <w:b/>
                <w:bCs/>
              </w:rPr>
              <w:t xml:space="preserve">水量平衡表 </w:t>
            </w:r>
          </w:p>
          <w:tbl>
            <w:tblPr>
              <w:tblStyle w:val="22"/>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42"/>
              <w:gridCol w:w="758"/>
              <w:gridCol w:w="593"/>
              <w:gridCol w:w="781"/>
              <w:gridCol w:w="654"/>
              <w:gridCol w:w="632"/>
              <w:gridCol w:w="726"/>
              <w:gridCol w:w="355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842" w:type="dxa"/>
                  <w:vMerge w:val="restart"/>
                  <w:shd w:val="clear" w:color="auto" w:fill="auto"/>
                  <w:tcMar>
                    <w:top w:w="15" w:type="dxa"/>
                    <w:left w:w="15" w:type="dxa"/>
                    <w:right w:w="15" w:type="dxa"/>
                  </w:tcMar>
                  <w:vAlign w:val="center"/>
                </w:tcPr>
                <w:p>
                  <w:pPr>
                    <w:spacing w:line="360" w:lineRule="exact"/>
                    <w:jc w:val="center"/>
                    <w:rPr>
                      <w:kern w:val="1"/>
                      <w:szCs w:val="21"/>
                    </w:rPr>
                  </w:pPr>
                  <w:bookmarkStart w:id="4" w:name="OLE_LINK1"/>
                  <w:r>
                    <w:rPr>
                      <w:rFonts w:hint="eastAsia"/>
                      <w:kern w:val="1"/>
                      <w:szCs w:val="21"/>
                    </w:rPr>
                    <w:t>名称</w:t>
                  </w:r>
                </w:p>
              </w:tc>
              <w:tc>
                <w:tcPr>
                  <w:tcW w:w="1351" w:type="dxa"/>
                  <w:gridSpan w:val="2"/>
                  <w:shd w:val="clear" w:color="auto" w:fill="auto"/>
                  <w:vAlign w:val="center"/>
                </w:tcPr>
                <w:p>
                  <w:pPr>
                    <w:spacing w:line="360" w:lineRule="exact"/>
                    <w:jc w:val="center"/>
                    <w:rPr>
                      <w:kern w:val="1"/>
                      <w:szCs w:val="21"/>
                    </w:rPr>
                  </w:pPr>
                  <w:r>
                    <w:rPr>
                      <w:rFonts w:hint="eastAsia"/>
                      <w:kern w:val="1"/>
                      <w:szCs w:val="21"/>
                    </w:rPr>
                    <w:t>新鲜水</w:t>
                  </w:r>
                </w:p>
              </w:tc>
              <w:tc>
                <w:tcPr>
                  <w:tcW w:w="1435" w:type="dxa"/>
                  <w:gridSpan w:val="2"/>
                  <w:shd w:val="clear" w:color="auto" w:fill="auto"/>
                  <w:vAlign w:val="center"/>
                </w:tcPr>
                <w:p>
                  <w:pPr>
                    <w:spacing w:line="360" w:lineRule="exact"/>
                    <w:jc w:val="center"/>
                    <w:rPr>
                      <w:kern w:val="1"/>
                      <w:szCs w:val="21"/>
                    </w:rPr>
                  </w:pPr>
                  <w:r>
                    <w:rPr>
                      <w:rFonts w:hint="eastAsia"/>
                      <w:kern w:val="1"/>
                      <w:szCs w:val="21"/>
                    </w:rPr>
                    <w:t>损耗</w:t>
                  </w:r>
                </w:p>
              </w:tc>
              <w:tc>
                <w:tcPr>
                  <w:tcW w:w="1358" w:type="dxa"/>
                  <w:gridSpan w:val="2"/>
                  <w:shd w:val="clear" w:color="auto" w:fill="auto"/>
                  <w:vAlign w:val="center"/>
                </w:tcPr>
                <w:p>
                  <w:pPr>
                    <w:spacing w:line="360" w:lineRule="exact"/>
                    <w:jc w:val="center"/>
                    <w:rPr>
                      <w:kern w:val="1"/>
                      <w:szCs w:val="21"/>
                    </w:rPr>
                  </w:pPr>
                  <w:r>
                    <w:rPr>
                      <w:rFonts w:hint="eastAsia"/>
                      <w:kern w:val="1"/>
                      <w:szCs w:val="21"/>
                    </w:rPr>
                    <w:t>排水</w:t>
                  </w:r>
                </w:p>
              </w:tc>
              <w:tc>
                <w:tcPr>
                  <w:tcW w:w="3554" w:type="dxa"/>
                  <w:vMerge w:val="restart"/>
                  <w:shd w:val="clear" w:color="auto" w:fill="auto"/>
                  <w:vAlign w:val="center"/>
                </w:tcPr>
                <w:p>
                  <w:pPr>
                    <w:spacing w:line="360" w:lineRule="exact"/>
                    <w:jc w:val="center"/>
                    <w:rPr>
                      <w:kern w:val="1"/>
                      <w:szCs w:val="21"/>
                    </w:rPr>
                  </w:pPr>
                  <w:r>
                    <w:rPr>
                      <w:rFonts w:hint="eastAsia"/>
                      <w:kern w:val="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842" w:type="dxa"/>
                  <w:vMerge w:val="continue"/>
                  <w:shd w:val="clear" w:color="auto" w:fill="auto"/>
                  <w:tcMar>
                    <w:top w:w="15" w:type="dxa"/>
                    <w:left w:w="15" w:type="dxa"/>
                    <w:right w:w="15" w:type="dxa"/>
                  </w:tcMar>
                  <w:vAlign w:val="center"/>
                </w:tcPr>
                <w:p>
                  <w:pPr>
                    <w:spacing w:line="360" w:lineRule="exact"/>
                    <w:jc w:val="center"/>
                    <w:rPr>
                      <w:kern w:val="1"/>
                      <w:szCs w:val="21"/>
                    </w:rPr>
                  </w:pPr>
                </w:p>
              </w:tc>
              <w:tc>
                <w:tcPr>
                  <w:tcW w:w="758" w:type="dxa"/>
                  <w:shd w:val="clear" w:color="auto" w:fill="auto"/>
                  <w:vAlign w:val="center"/>
                </w:tcPr>
                <w:p>
                  <w:pPr>
                    <w:spacing w:line="360" w:lineRule="exact"/>
                    <w:jc w:val="center"/>
                    <w:rPr>
                      <w:kern w:val="1"/>
                      <w:szCs w:val="21"/>
                    </w:rPr>
                  </w:pPr>
                  <w:r>
                    <w:rPr>
                      <w:rFonts w:hint="eastAsia"/>
                      <w:kern w:val="1"/>
                      <w:szCs w:val="21"/>
                    </w:rPr>
                    <w:t>m</w:t>
                  </w:r>
                  <w:r>
                    <w:rPr>
                      <w:rFonts w:hint="eastAsia"/>
                      <w:kern w:val="1"/>
                      <w:szCs w:val="21"/>
                      <w:vertAlign w:val="superscript"/>
                    </w:rPr>
                    <w:t>3</w:t>
                  </w:r>
                  <w:r>
                    <w:rPr>
                      <w:rFonts w:hint="eastAsia"/>
                      <w:kern w:val="1"/>
                      <w:szCs w:val="21"/>
                    </w:rPr>
                    <w:t>/a</w:t>
                  </w:r>
                </w:p>
              </w:tc>
              <w:tc>
                <w:tcPr>
                  <w:tcW w:w="593" w:type="dxa"/>
                  <w:shd w:val="clear" w:color="auto" w:fill="auto"/>
                  <w:vAlign w:val="center"/>
                </w:tcPr>
                <w:p>
                  <w:pPr>
                    <w:spacing w:line="360" w:lineRule="exact"/>
                    <w:jc w:val="center"/>
                    <w:rPr>
                      <w:kern w:val="1"/>
                      <w:szCs w:val="21"/>
                    </w:rPr>
                  </w:pPr>
                  <w:r>
                    <w:rPr>
                      <w:rFonts w:hint="eastAsia"/>
                      <w:kern w:val="1"/>
                      <w:szCs w:val="21"/>
                    </w:rPr>
                    <w:t>m</w:t>
                  </w:r>
                  <w:r>
                    <w:rPr>
                      <w:rFonts w:hint="eastAsia"/>
                      <w:kern w:val="1"/>
                      <w:szCs w:val="21"/>
                      <w:vertAlign w:val="superscript"/>
                    </w:rPr>
                    <w:t>3</w:t>
                  </w:r>
                  <w:r>
                    <w:rPr>
                      <w:rFonts w:hint="eastAsia"/>
                      <w:kern w:val="1"/>
                      <w:szCs w:val="21"/>
                    </w:rPr>
                    <w:t>/d</w:t>
                  </w:r>
                </w:p>
              </w:tc>
              <w:tc>
                <w:tcPr>
                  <w:tcW w:w="781" w:type="dxa"/>
                  <w:shd w:val="clear" w:color="auto" w:fill="auto"/>
                  <w:vAlign w:val="center"/>
                </w:tcPr>
                <w:p>
                  <w:pPr>
                    <w:spacing w:line="360" w:lineRule="exact"/>
                    <w:jc w:val="center"/>
                    <w:rPr>
                      <w:kern w:val="1"/>
                      <w:szCs w:val="21"/>
                    </w:rPr>
                  </w:pPr>
                  <w:r>
                    <w:rPr>
                      <w:rFonts w:hint="eastAsia"/>
                      <w:kern w:val="1"/>
                      <w:szCs w:val="21"/>
                    </w:rPr>
                    <w:t>m</w:t>
                  </w:r>
                  <w:r>
                    <w:rPr>
                      <w:rFonts w:hint="eastAsia"/>
                      <w:kern w:val="1"/>
                      <w:szCs w:val="21"/>
                      <w:vertAlign w:val="superscript"/>
                    </w:rPr>
                    <w:t>3</w:t>
                  </w:r>
                  <w:r>
                    <w:rPr>
                      <w:rFonts w:hint="eastAsia"/>
                      <w:kern w:val="1"/>
                      <w:szCs w:val="21"/>
                    </w:rPr>
                    <w:t>/a</w:t>
                  </w:r>
                </w:p>
              </w:tc>
              <w:tc>
                <w:tcPr>
                  <w:tcW w:w="654" w:type="dxa"/>
                  <w:shd w:val="clear" w:color="auto" w:fill="auto"/>
                  <w:vAlign w:val="center"/>
                </w:tcPr>
                <w:p>
                  <w:pPr>
                    <w:spacing w:line="360" w:lineRule="exact"/>
                    <w:jc w:val="center"/>
                    <w:rPr>
                      <w:kern w:val="1"/>
                      <w:szCs w:val="21"/>
                    </w:rPr>
                  </w:pPr>
                  <w:r>
                    <w:rPr>
                      <w:rFonts w:hint="eastAsia"/>
                      <w:kern w:val="1"/>
                      <w:szCs w:val="21"/>
                    </w:rPr>
                    <w:t>m</w:t>
                  </w:r>
                  <w:r>
                    <w:rPr>
                      <w:rFonts w:hint="eastAsia"/>
                      <w:kern w:val="1"/>
                      <w:szCs w:val="21"/>
                      <w:vertAlign w:val="superscript"/>
                    </w:rPr>
                    <w:t>3</w:t>
                  </w:r>
                  <w:r>
                    <w:rPr>
                      <w:rFonts w:hint="eastAsia"/>
                      <w:kern w:val="1"/>
                      <w:szCs w:val="21"/>
                    </w:rPr>
                    <w:t>/d</w:t>
                  </w:r>
                </w:p>
              </w:tc>
              <w:tc>
                <w:tcPr>
                  <w:tcW w:w="632" w:type="dxa"/>
                  <w:shd w:val="clear" w:color="auto" w:fill="auto"/>
                  <w:vAlign w:val="center"/>
                </w:tcPr>
                <w:p>
                  <w:pPr>
                    <w:spacing w:line="360" w:lineRule="exact"/>
                    <w:jc w:val="center"/>
                    <w:rPr>
                      <w:kern w:val="1"/>
                      <w:szCs w:val="21"/>
                    </w:rPr>
                  </w:pPr>
                  <w:r>
                    <w:rPr>
                      <w:rFonts w:hint="eastAsia"/>
                      <w:kern w:val="1"/>
                      <w:szCs w:val="21"/>
                    </w:rPr>
                    <w:t>m</w:t>
                  </w:r>
                  <w:r>
                    <w:rPr>
                      <w:rFonts w:hint="eastAsia"/>
                      <w:kern w:val="1"/>
                      <w:szCs w:val="21"/>
                      <w:vertAlign w:val="superscript"/>
                    </w:rPr>
                    <w:t>3</w:t>
                  </w:r>
                  <w:r>
                    <w:rPr>
                      <w:rFonts w:hint="eastAsia"/>
                      <w:kern w:val="1"/>
                      <w:szCs w:val="21"/>
                    </w:rPr>
                    <w:t>/a</w:t>
                  </w:r>
                </w:p>
              </w:tc>
              <w:tc>
                <w:tcPr>
                  <w:tcW w:w="726" w:type="dxa"/>
                  <w:shd w:val="clear" w:color="auto" w:fill="auto"/>
                  <w:vAlign w:val="center"/>
                </w:tcPr>
                <w:p>
                  <w:pPr>
                    <w:spacing w:line="360" w:lineRule="exact"/>
                    <w:jc w:val="center"/>
                    <w:rPr>
                      <w:kern w:val="1"/>
                      <w:szCs w:val="21"/>
                    </w:rPr>
                  </w:pPr>
                  <w:r>
                    <w:rPr>
                      <w:rFonts w:hint="eastAsia"/>
                      <w:kern w:val="1"/>
                      <w:szCs w:val="21"/>
                    </w:rPr>
                    <w:t>m</w:t>
                  </w:r>
                  <w:r>
                    <w:rPr>
                      <w:rFonts w:hint="eastAsia"/>
                      <w:kern w:val="1"/>
                      <w:szCs w:val="21"/>
                      <w:vertAlign w:val="superscript"/>
                    </w:rPr>
                    <w:t>3</w:t>
                  </w:r>
                  <w:r>
                    <w:rPr>
                      <w:rFonts w:hint="eastAsia"/>
                      <w:kern w:val="1"/>
                      <w:szCs w:val="21"/>
                    </w:rPr>
                    <w:t>/d</w:t>
                  </w:r>
                </w:p>
              </w:tc>
              <w:tc>
                <w:tcPr>
                  <w:tcW w:w="3554" w:type="dxa"/>
                  <w:vMerge w:val="continue"/>
                  <w:shd w:val="clear" w:color="auto" w:fill="auto"/>
                  <w:vAlign w:val="center"/>
                </w:tcPr>
                <w:p>
                  <w:pPr>
                    <w:spacing w:line="360" w:lineRule="exact"/>
                    <w:jc w:val="center"/>
                    <w:rPr>
                      <w:kern w:val="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842" w:type="dxa"/>
                  <w:shd w:val="clear" w:color="auto" w:fill="auto"/>
                  <w:tcMar>
                    <w:top w:w="15" w:type="dxa"/>
                    <w:left w:w="15" w:type="dxa"/>
                    <w:right w:w="15" w:type="dxa"/>
                  </w:tcMar>
                  <w:vAlign w:val="center"/>
                </w:tcPr>
                <w:p>
                  <w:pPr>
                    <w:spacing w:line="360" w:lineRule="exact"/>
                    <w:jc w:val="center"/>
                    <w:rPr>
                      <w:spacing w:val="-10"/>
                      <w:kern w:val="1"/>
                      <w:szCs w:val="21"/>
                    </w:rPr>
                  </w:pPr>
                  <w:r>
                    <w:rPr>
                      <w:rFonts w:hint="eastAsia"/>
                      <w:szCs w:val="21"/>
                    </w:rPr>
                    <w:t>抑尘用水</w:t>
                  </w:r>
                </w:p>
              </w:tc>
              <w:tc>
                <w:tcPr>
                  <w:tcW w:w="758" w:type="dxa"/>
                  <w:shd w:val="clear" w:color="auto" w:fill="auto"/>
                  <w:vAlign w:val="center"/>
                </w:tcPr>
                <w:p>
                  <w:pPr>
                    <w:widowControl/>
                    <w:spacing w:line="360" w:lineRule="exact"/>
                    <w:jc w:val="center"/>
                    <w:textAlignment w:val="center"/>
                    <w:rPr>
                      <w:kern w:val="1"/>
                      <w:szCs w:val="21"/>
                    </w:rPr>
                  </w:pPr>
                  <w:r>
                    <w:rPr>
                      <w:rFonts w:cs="宋体"/>
                      <w:kern w:val="0"/>
                      <w:lang w:bidi="ar"/>
                    </w:rPr>
                    <w:t>14011.1</w:t>
                  </w:r>
                </w:p>
              </w:tc>
              <w:tc>
                <w:tcPr>
                  <w:tcW w:w="593" w:type="dxa"/>
                  <w:shd w:val="clear" w:color="auto" w:fill="auto"/>
                  <w:vAlign w:val="center"/>
                </w:tcPr>
                <w:p>
                  <w:pPr>
                    <w:widowControl/>
                    <w:spacing w:line="360" w:lineRule="exact"/>
                    <w:jc w:val="center"/>
                    <w:textAlignment w:val="center"/>
                    <w:rPr>
                      <w:kern w:val="1"/>
                      <w:szCs w:val="21"/>
                    </w:rPr>
                  </w:pPr>
                  <w:r>
                    <w:rPr>
                      <w:kern w:val="0"/>
                      <w:szCs w:val="21"/>
                      <w:lang w:bidi="ar"/>
                    </w:rPr>
                    <w:t>46.7</w:t>
                  </w:r>
                </w:p>
              </w:tc>
              <w:tc>
                <w:tcPr>
                  <w:tcW w:w="781" w:type="dxa"/>
                  <w:shd w:val="clear" w:color="auto" w:fill="auto"/>
                  <w:vAlign w:val="center"/>
                </w:tcPr>
                <w:p>
                  <w:pPr>
                    <w:widowControl/>
                    <w:spacing w:line="360" w:lineRule="exact"/>
                    <w:jc w:val="center"/>
                    <w:textAlignment w:val="center"/>
                    <w:rPr>
                      <w:kern w:val="1"/>
                      <w:szCs w:val="21"/>
                    </w:rPr>
                  </w:pPr>
                  <w:r>
                    <w:rPr>
                      <w:rFonts w:hint="eastAsia"/>
                      <w:kern w:val="1"/>
                      <w:szCs w:val="21"/>
                    </w:rPr>
                    <w:t>1</w:t>
                  </w:r>
                  <w:r>
                    <w:rPr>
                      <w:kern w:val="1"/>
                      <w:szCs w:val="21"/>
                    </w:rPr>
                    <w:t>4011.1</w:t>
                  </w:r>
                </w:p>
              </w:tc>
              <w:tc>
                <w:tcPr>
                  <w:tcW w:w="654" w:type="dxa"/>
                  <w:shd w:val="clear" w:color="auto" w:fill="auto"/>
                  <w:vAlign w:val="center"/>
                </w:tcPr>
                <w:p>
                  <w:pPr>
                    <w:widowControl/>
                    <w:spacing w:line="360" w:lineRule="exact"/>
                    <w:jc w:val="center"/>
                    <w:textAlignment w:val="center"/>
                    <w:rPr>
                      <w:kern w:val="1"/>
                      <w:szCs w:val="21"/>
                    </w:rPr>
                  </w:pPr>
                  <w:r>
                    <w:rPr>
                      <w:rFonts w:hint="eastAsia"/>
                      <w:kern w:val="1"/>
                      <w:szCs w:val="21"/>
                    </w:rPr>
                    <w:t>4</w:t>
                  </w:r>
                  <w:r>
                    <w:rPr>
                      <w:kern w:val="1"/>
                      <w:szCs w:val="21"/>
                    </w:rPr>
                    <w:t>6.7</w:t>
                  </w:r>
                </w:p>
              </w:tc>
              <w:tc>
                <w:tcPr>
                  <w:tcW w:w="632" w:type="dxa"/>
                  <w:shd w:val="clear" w:color="auto" w:fill="auto"/>
                  <w:vAlign w:val="center"/>
                </w:tcPr>
                <w:p>
                  <w:pPr>
                    <w:widowControl/>
                    <w:spacing w:line="360" w:lineRule="exact"/>
                    <w:jc w:val="center"/>
                    <w:textAlignment w:val="center"/>
                    <w:rPr>
                      <w:kern w:val="1"/>
                      <w:szCs w:val="21"/>
                    </w:rPr>
                  </w:pPr>
                  <w:r>
                    <w:rPr>
                      <w:rFonts w:hint="eastAsia" w:cs="宋体"/>
                      <w:kern w:val="0"/>
                      <w:szCs w:val="21"/>
                      <w:lang w:bidi="ar"/>
                    </w:rPr>
                    <w:t>0</w:t>
                  </w:r>
                </w:p>
              </w:tc>
              <w:tc>
                <w:tcPr>
                  <w:tcW w:w="726" w:type="dxa"/>
                  <w:shd w:val="clear" w:color="auto" w:fill="auto"/>
                  <w:vAlign w:val="center"/>
                </w:tcPr>
                <w:p>
                  <w:pPr>
                    <w:widowControl/>
                    <w:spacing w:line="360" w:lineRule="exact"/>
                    <w:jc w:val="center"/>
                    <w:textAlignment w:val="center"/>
                    <w:rPr>
                      <w:kern w:val="1"/>
                      <w:szCs w:val="21"/>
                    </w:rPr>
                  </w:pPr>
                  <w:r>
                    <w:rPr>
                      <w:rFonts w:hint="eastAsia"/>
                      <w:kern w:val="0"/>
                      <w:szCs w:val="21"/>
                      <w:lang w:bidi="ar"/>
                    </w:rPr>
                    <w:t>0</w:t>
                  </w:r>
                </w:p>
              </w:tc>
              <w:tc>
                <w:tcPr>
                  <w:tcW w:w="3554" w:type="dxa"/>
                  <w:shd w:val="clear" w:color="auto" w:fill="auto"/>
                  <w:vAlign w:val="center"/>
                </w:tcPr>
                <w:p>
                  <w:pPr>
                    <w:spacing w:line="360" w:lineRule="exact"/>
                    <w:jc w:val="center"/>
                    <w:rPr>
                      <w:kern w:val="1"/>
                      <w:szCs w:val="21"/>
                    </w:rPr>
                  </w:pPr>
                  <w:r>
                    <w:rPr>
                      <w:rFonts w:hint="eastAsia"/>
                      <w:kern w:val="1"/>
                      <w:szCs w:val="21"/>
                    </w:rPr>
                    <w:t>喷洒降尘用水直接蒸发损耗，不外排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842" w:type="dxa"/>
                  <w:shd w:val="clear" w:color="auto" w:fill="auto"/>
                  <w:tcMar>
                    <w:top w:w="15" w:type="dxa"/>
                    <w:left w:w="15" w:type="dxa"/>
                    <w:right w:w="15" w:type="dxa"/>
                  </w:tcMar>
                  <w:vAlign w:val="center"/>
                </w:tcPr>
                <w:p>
                  <w:pPr>
                    <w:spacing w:line="360" w:lineRule="exact"/>
                    <w:jc w:val="center"/>
                    <w:rPr>
                      <w:spacing w:val="-10"/>
                      <w:kern w:val="1"/>
                      <w:szCs w:val="21"/>
                    </w:rPr>
                  </w:pPr>
                  <w:r>
                    <w:rPr>
                      <w:rFonts w:hint="eastAsia"/>
                      <w:spacing w:val="-7"/>
                      <w:kern w:val="1"/>
                      <w:szCs w:val="21"/>
                    </w:rPr>
                    <w:t>生活用水</w:t>
                  </w:r>
                </w:p>
              </w:tc>
              <w:tc>
                <w:tcPr>
                  <w:tcW w:w="758" w:type="dxa"/>
                  <w:shd w:val="clear" w:color="auto" w:fill="auto"/>
                  <w:vAlign w:val="center"/>
                </w:tcPr>
                <w:p>
                  <w:pPr>
                    <w:widowControl/>
                    <w:spacing w:line="360" w:lineRule="exact"/>
                    <w:jc w:val="center"/>
                    <w:textAlignment w:val="center"/>
                    <w:rPr>
                      <w:kern w:val="1"/>
                      <w:szCs w:val="21"/>
                    </w:rPr>
                  </w:pPr>
                  <w:r>
                    <w:rPr>
                      <w:rFonts w:hint="eastAsia" w:cs="宋体"/>
                      <w:kern w:val="0"/>
                      <w:lang w:bidi="ar"/>
                    </w:rPr>
                    <w:t>3300</w:t>
                  </w:r>
                </w:p>
              </w:tc>
              <w:tc>
                <w:tcPr>
                  <w:tcW w:w="593" w:type="dxa"/>
                  <w:shd w:val="clear" w:color="auto" w:fill="auto"/>
                  <w:vAlign w:val="center"/>
                </w:tcPr>
                <w:p>
                  <w:pPr>
                    <w:widowControl/>
                    <w:spacing w:line="360" w:lineRule="exact"/>
                    <w:jc w:val="center"/>
                    <w:textAlignment w:val="center"/>
                    <w:rPr>
                      <w:kern w:val="1"/>
                      <w:szCs w:val="21"/>
                    </w:rPr>
                  </w:pPr>
                  <w:r>
                    <w:rPr>
                      <w:rFonts w:hint="eastAsia"/>
                      <w:kern w:val="0"/>
                      <w:szCs w:val="21"/>
                      <w:lang w:bidi="ar"/>
                    </w:rPr>
                    <w:t>11</w:t>
                  </w:r>
                </w:p>
              </w:tc>
              <w:tc>
                <w:tcPr>
                  <w:tcW w:w="781" w:type="dxa"/>
                  <w:shd w:val="clear" w:color="auto" w:fill="auto"/>
                  <w:vAlign w:val="center"/>
                </w:tcPr>
                <w:p>
                  <w:pPr>
                    <w:widowControl/>
                    <w:spacing w:line="360" w:lineRule="exact"/>
                    <w:jc w:val="center"/>
                    <w:textAlignment w:val="center"/>
                    <w:rPr>
                      <w:kern w:val="1"/>
                      <w:szCs w:val="21"/>
                    </w:rPr>
                  </w:pPr>
                  <w:r>
                    <w:rPr>
                      <w:rFonts w:hint="eastAsia"/>
                      <w:kern w:val="0"/>
                      <w:szCs w:val="21"/>
                      <w:lang w:bidi="ar"/>
                    </w:rPr>
                    <w:t>660</w:t>
                  </w:r>
                </w:p>
              </w:tc>
              <w:tc>
                <w:tcPr>
                  <w:tcW w:w="654" w:type="dxa"/>
                  <w:shd w:val="clear" w:color="auto" w:fill="auto"/>
                  <w:vAlign w:val="center"/>
                </w:tcPr>
                <w:p>
                  <w:pPr>
                    <w:widowControl/>
                    <w:spacing w:line="360" w:lineRule="exact"/>
                    <w:jc w:val="center"/>
                    <w:textAlignment w:val="center"/>
                    <w:rPr>
                      <w:kern w:val="1"/>
                      <w:szCs w:val="21"/>
                    </w:rPr>
                  </w:pPr>
                  <w:r>
                    <w:rPr>
                      <w:rFonts w:hint="eastAsia"/>
                      <w:kern w:val="0"/>
                      <w:szCs w:val="21"/>
                      <w:lang w:bidi="ar"/>
                    </w:rPr>
                    <w:t>2.2</w:t>
                  </w:r>
                </w:p>
              </w:tc>
              <w:tc>
                <w:tcPr>
                  <w:tcW w:w="632" w:type="dxa"/>
                  <w:shd w:val="clear" w:color="auto" w:fill="auto"/>
                  <w:vAlign w:val="center"/>
                </w:tcPr>
                <w:p>
                  <w:pPr>
                    <w:widowControl/>
                    <w:spacing w:line="360" w:lineRule="exact"/>
                    <w:jc w:val="center"/>
                    <w:textAlignment w:val="center"/>
                    <w:rPr>
                      <w:kern w:val="1"/>
                      <w:szCs w:val="21"/>
                    </w:rPr>
                  </w:pPr>
                  <w:r>
                    <w:rPr>
                      <w:rFonts w:hint="eastAsia"/>
                      <w:kern w:val="0"/>
                      <w:szCs w:val="21"/>
                      <w:lang w:bidi="ar"/>
                    </w:rPr>
                    <w:t>2640</w:t>
                  </w:r>
                </w:p>
              </w:tc>
              <w:tc>
                <w:tcPr>
                  <w:tcW w:w="726" w:type="dxa"/>
                  <w:shd w:val="clear" w:color="auto" w:fill="auto"/>
                  <w:vAlign w:val="center"/>
                </w:tcPr>
                <w:p>
                  <w:pPr>
                    <w:widowControl/>
                    <w:spacing w:line="360" w:lineRule="exact"/>
                    <w:jc w:val="center"/>
                    <w:textAlignment w:val="center"/>
                    <w:rPr>
                      <w:kern w:val="1"/>
                      <w:szCs w:val="21"/>
                    </w:rPr>
                  </w:pPr>
                  <w:r>
                    <w:rPr>
                      <w:rFonts w:hint="eastAsia"/>
                      <w:kern w:val="0"/>
                      <w:szCs w:val="21"/>
                      <w:lang w:bidi="ar"/>
                    </w:rPr>
                    <w:t>8.8</w:t>
                  </w:r>
                </w:p>
              </w:tc>
              <w:tc>
                <w:tcPr>
                  <w:tcW w:w="3554" w:type="dxa"/>
                  <w:shd w:val="clear" w:color="auto" w:fill="auto"/>
                  <w:vAlign w:val="center"/>
                </w:tcPr>
                <w:p>
                  <w:pPr>
                    <w:spacing w:line="360" w:lineRule="exact"/>
                    <w:jc w:val="center"/>
                    <w:rPr>
                      <w:kern w:val="1"/>
                      <w:szCs w:val="21"/>
                    </w:rPr>
                  </w:pPr>
                  <w:r>
                    <w:rPr>
                      <w:rFonts w:hint="eastAsia"/>
                      <w:kern w:val="1"/>
                      <w:szCs w:val="21"/>
                    </w:rPr>
                    <w:t>防渗旱厕，定期由周边居民拉走堆肥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842" w:type="dxa"/>
                  <w:shd w:val="clear" w:color="auto" w:fill="auto"/>
                  <w:tcMar>
                    <w:top w:w="15" w:type="dxa"/>
                    <w:left w:w="15" w:type="dxa"/>
                    <w:right w:w="15" w:type="dxa"/>
                  </w:tcMar>
                  <w:vAlign w:val="center"/>
                </w:tcPr>
                <w:p>
                  <w:pPr>
                    <w:spacing w:line="360" w:lineRule="exact"/>
                    <w:jc w:val="center"/>
                    <w:rPr>
                      <w:spacing w:val="-7"/>
                      <w:kern w:val="1"/>
                      <w:szCs w:val="21"/>
                    </w:rPr>
                  </w:pPr>
                  <w:r>
                    <w:rPr>
                      <w:rFonts w:hint="eastAsia"/>
                      <w:spacing w:val="-7"/>
                      <w:kern w:val="1"/>
                      <w:szCs w:val="21"/>
                    </w:rPr>
                    <w:t>车辆冲洗水</w:t>
                  </w:r>
                </w:p>
              </w:tc>
              <w:tc>
                <w:tcPr>
                  <w:tcW w:w="758" w:type="dxa"/>
                  <w:shd w:val="clear" w:color="auto" w:fill="auto"/>
                  <w:vAlign w:val="center"/>
                </w:tcPr>
                <w:p>
                  <w:pPr>
                    <w:widowControl/>
                    <w:spacing w:line="360" w:lineRule="exact"/>
                    <w:jc w:val="center"/>
                    <w:textAlignment w:val="center"/>
                    <w:rPr>
                      <w:kern w:val="1"/>
                      <w:szCs w:val="21"/>
                    </w:rPr>
                  </w:pPr>
                  <w:r>
                    <w:rPr>
                      <w:rFonts w:hint="eastAsia"/>
                      <w:kern w:val="1"/>
                      <w:szCs w:val="21"/>
                    </w:rPr>
                    <w:t>150</w:t>
                  </w:r>
                </w:p>
              </w:tc>
              <w:tc>
                <w:tcPr>
                  <w:tcW w:w="593" w:type="dxa"/>
                  <w:shd w:val="clear" w:color="auto" w:fill="auto"/>
                  <w:vAlign w:val="center"/>
                </w:tcPr>
                <w:p>
                  <w:pPr>
                    <w:widowControl/>
                    <w:spacing w:line="360" w:lineRule="exact"/>
                    <w:jc w:val="center"/>
                    <w:textAlignment w:val="center"/>
                    <w:rPr>
                      <w:kern w:val="1"/>
                      <w:szCs w:val="21"/>
                    </w:rPr>
                  </w:pPr>
                  <w:r>
                    <w:rPr>
                      <w:rFonts w:hint="eastAsia"/>
                      <w:kern w:val="1"/>
                      <w:szCs w:val="21"/>
                    </w:rPr>
                    <w:t>0.5</w:t>
                  </w:r>
                </w:p>
              </w:tc>
              <w:tc>
                <w:tcPr>
                  <w:tcW w:w="781" w:type="dxa"/>
                  <w:shd w:val="clear" w:color="auto" w:fill="auto"/>
                  <w:vAlign w:val="center"/>
                </w:tcPr>
                <w:p>
                  <w:pPr>
                    <w:widowControl/>
                    <w:spacing w:line="360" w:lineRule="exact"/>
                    <w:jc w:val="center"/>
                    <w:textAlignment w:val="center"/>
                    <w:rPr>
                      <w:kern w:val="1"/>
                      <w:szCs w:val="21"/>
                    </w:rPr>
                  </w:pPr>
                  <w:r>
                    <w:rPr>
                      <w:rFonts w:hint="eastAsia"/>
                      <w:kern w:val="1"/>
                      <w:szCs w:val="21"/>
                    </w:rPr>
                    <w:t>150</w:t>
                  </w:r>
                </w:p>
              </w:tc>
              <w:tc>
                <w:tcPr>
                  <w:tcW w:w="654" w:type="dxa"/>
                  <w:shd w:val="clear" w:color="auto" w:fill="auto"/>
                  <w:vAlign w:val="center"/>
                </w:tcPr>
                <w:p>
                  <w:pPr>
                    <w:widowControl/>
                    <w:spacing w:line="360" w:lineRule="exact"/>
                    <w:jc w:val="center"/>
                    <w:textAlignment w:val="center"/>
                    <w:rPr>
                      <w:kern w:val="1"/>
                      <w:szCs w:val="21"/>
                    </w:rPr>
                  </w:pPr>
                  <w:r>
                    <w:rPr>
                      <w:rFonts w:hint="eastAsia"/>
                      <w:kern w:val="1"/>
                      <w:szCs w:val="21"/>
                    </w:rPr>
                    <w:t>0.5</w:t>
                  </w:r>
                </w:p>
              </w:tc>
              <w:tc>
                <w:tcPr>
                  <w:tcW w:w="632" w:type="dxa"/>
                  <w:shd w:val="clear" w:color="auto" w:fill="auto"/>
                  <w:vAlign w:val="center"/>
                </w:tcPr>
                <w:p>
                  <w:pPr>
                    <w:widowControl/>
                    <w:spacing w:line="360" w:lineRule="exact"/>
                    <w:jc w:val="center"/>
                    <w:textAlignment w:val="center"/>
                    <w:rPr>
                      <w:kern w:val="1"/>
                      <w:szCs w:val="21"/>
                    </w:rPr>
                  </w:pPr>
                  <w:r>
                    <w:rPr>
                      <w:rFonts w:hint="eastAsia"/>
                      <w:kern w:val="1"/>
                      <w:szCs w:val="21"/>
                    </w:rPr>
                    <w:t>0</w:t>
                  </w:r>
                </w:p>
              </w:tc>
              <w:tc>
                <w:tcPr>
                  <w:tcW w:w="726" w:type="dxa"/>
                  <w:shd w:val="clear" w:color="auto" w:fill="auto"/>
                  <w:vAlign w:val="center"/>
                </w:tcPr>
                <w:p>
                  <w:pPr>
                    <w:widowControl/>
                    <w:spacing w:line="360" w:lineRule="exact"/>
                    <w:jc w:val="center"/>
                    <w:textAlignment w:val="center"/>
                    <w:rPr>
                      <w:kern w:val="1"/>
                      <w:szCs w:val="21"/>
                    </w:rPr>
                  </w:pPr>
                  <w:r>
                    <w:rPr>
                      <w:rFonts w:hint="eastAsia"/>
                      <w:kern w:val="1"/>
                      <w:szCs w:val="21"/>
                    </w:rPr>
                    <w:t>0</w:t>
                  </w:r>
                </w:p>
              </w:tc>
              <w:tc>
                <w:tcPr>
                  <w:tcW w:w="3554" w:type="dxa"/>
                  <w:shd w:val="clear" w:color="auto" w:fill="auto"/>
                  <w:vAlign w:val="center"/>
                </w:tcPr>
                <w:p>
                  <w:pPr>
                    <w:spacing w:line="360" w:lineRule="exact"/>
                    <w:jc w:val="center"/>
                    <w:rPr>
                      <w:kern w:val="1"/>
                      <w:szCs w:val="21"/>
                    </w:rPr>
                  </w:pPr>
                  <w:r>
                    <w:rPr>
                      <w:rFonts w:hint="eastAsia"/>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842" w:type="dxa"/>
                  <w:shd w:val="clear" w:color="auto" w:fill="auto"/>
                  <w:tcMar>
                    <w:top w:w="15" w:type="dxa"/>
                    <w:left w:w="15" w:type="dxa"/>
                    <w:right w:w="15" w:type="dxa"/>
                  </w:tcMar>
                  <w:vAlign w:val="center"/>
                </w:tcPr>
                <w:p>
                  <w:pPr>
                    <w:spacing w:line="360" w:lineRule="exact"/>
                    <w:jc w:val="center"/>
                    <w:rPr>
                      <w:spacing w:val="-10"/>
                      <w:kern w:val="1"/>
                      <w:szCs w:val="21"/>
                    </w:rPr>
                  </w:pPr>
                  <w:r>
                    <w:rPr>
                      <w:rFonts w:hint="eastAsia"/>
                      <w:spacing w:val="-7"/>
                      <w:kern w:val="1"/>
                      <w:szCs w:val="21"/>
                    </w:rPr>
                    <w:t>合计</w:t>
                  </w:r>
                </w:p>
              </w:tc>
              <w:tc>
                <w:tcPr>
                  <w:tcW w:w="758" w:type="dxa"/>
                  <w:shd w:val="clear" w:color="auto" w:fill="auto"/>
                  <w:vAlign w:val="center"/>
                </w:tcPr>
                <w:p>
                  <w:pPr>
                    <w:widowControl/>
                    <w:spacing w:line="360" w:lineRule="exact"/>
                    <w:jc w:val="center"/>
                    <w:textAlignment w:val="center"/>
                    <w:rPr>
                      <w:kern w:val="1"/>
                      <w:szCs w:val="21"/>
                    </w:rPr>
                  </w:pPr>
                  <w:r>
                    <w:rPr>
                      <w:kern w:val="1"/>
                      <w:szCs w:val="21"/>
                    </w:rPr>
                    <w:t>17461.1</w:t>
                  </w:r>
                </w:p>
              </w:tc>
              <w:tc>
                <w:tcPr>
                  <w:tcW w:w="593" w:type="dxa"/>
                  <w:shd w:val="clear" w:color="auto" w:fill="auto"/>
                  <w:vAlign w:val="center"/>
                </w:tcPr>
                <w:p>
                  <w:pPr>
                    <w:widowControl/>
                    <w:spacing w:line="360" w:lineRule="exact"/>
                    <w:jc w:val="center"/>
                    <w:textAlignment w:val="center"/>
                    <w:rPr>
                      <w:kern w:val="1"/>
                      <w:szCs w:val="21"/>
                    </w:rPr>
                  </w:pPr>
                  <w:r>
                    <w:rPr>
                      <w:rFonts w:hint="eastAsia"/>
                      <w:kern w:val="1"/>
                      <w:szCs w:val="21"/>
                    </w:rPr>
                    <w:t>5</w:t>
                  </w:r>
                  <w:r>
                    <w:rPr>
                      <w:kern w:val="1"/>
                      <w:szCs w:val="21"/>
                    </w:rPr>
                    <w:t>8.2</w:t>
                  </w:r>
                </w:p>
              </w:tc>
              <w:tc>
                <w:tcPr>
                  <w:tcW w:w="781" w:type="dxa"/>
                  <w:shd w:val="clear" w:color="auto" w:fill="auto"/>
                  <w:vAlign w:val="center"/>
                </w:tcPr>
                <w:p>
                  <w:pPr>
                    <w:widowControl/>
                    <w:spacing w:line="360" w:lineRule="exact"/>
                    <w:jc w:val="center"/>
                    <w:textAlignment w:val="center"/>
                    <w:rPr>
                      <w:kern w:val="1"/>
                      <w:szCs w:val="21"/>
                    </w:rPr>
                  </w:pPr>
                  <w:r>
                    <w:rPr>
                      <w:rFonts w:hint="eastAsia"/>
                      <w:kern w:val="1"/>
                      <w:szCs w:val="21"/>
                    </w:rPr>
                    <w:t>1661.1</w:t>
                  </w:r>
                </w:p>
              </w:tc>
              <w:tc>
                <w:tcPr>
                  <w:tcW w:w="654" w:type="dxa"/>
                  <w:shd w:val="clear" w:color="auto" w:fill="auto"/>
                  <w:vAlign w:val="center"/>
                </w:tcPr>
                <w:p>
                  <w:pPr>
                    <w:widowControl/>
                    <w:spacing w:line="360" w:lineRule="exact"/>
                    <w:jc w:val="center"/>
                    <w:textAlignment w:val="center"/>
                    <w:rPr>
                      <w:kern w:val="1"/>
                      <w:szCs w:val="21"/>
                    </w:rPr>
                  </w:pPr>
                  <w:r>
                    <w:rPr>
                      <w:rFonts w:hint="eastAsia"/>
                      <w:kern w:val="1"/>
                      <w:szCs w:val="21"/>
                    </w:rPr>
                    <w:t>7.737</w:t>
                  </w:r>
                </w:p>
              </w:tc>
              <w:tc>
                <w:tcPr>
                  <w:tcW w:w="632" w:type="dxa"/>
                  <w:shd w:val="clear" w:color="auto" w:fill="auto"/>
                  <w:vAlign w:val="center"/>
                </w:tcPr>
                <w:p>
                  <w:pPr>
                    <w:widowControl/>
                    <w:spacing w:line="360" w:lineRule="exact"/>
                    <w:jc w:val="center"/>
                    <w:textAlignment w:val="center"/>
                    <w:rPr>
                      <w:kern w:val="1"/>
                      <w:szCs w:val="21"/>
                    </w:rPr>
                  </w:pPr>
                  <w:r>
                    <w:rPr>
                      <w:rFonts w:hint="eastAsia"/>
                      <w:kern w:val="1"/>
                      <w:szCs w:val="21"/>
                    </w:rPr>
                    <w:t>2640</w:t>
                  </w:r>
                </w:p>
              </w:tc>
              <w:tc>
                <w:tcPr>
                  <w:tcW w:w="726" w:type="dxa"/>
                  <w:shd w:val="clear" w:color="auto" w:fill="auto"/>
                  <w:vAlign w:val="center"/>
                </w:tcPr>
                <w:p>
                  <w:pPr>
                    <w:widowControl/>
                    <w:spacing w:line="360" w:lineRule="exact"/>
                    <w:jc w:val="center"/>
                    <w:textAlignment w:val="center"/>
                    <w:rPr>
                      <w:kern w:val="1"/>
                      <w:szCs w:val="21"/>
                    </w:rPr>
                  </w:pPr>
                  <w:r>
                    <w:rPr>
                      <w:rFonts w:hint="eastAsia"/>
                      <w:kern w:val="1"/>
                      <w:szCs w:val="21"/>
                    </w:rPr>
                    <w:t>8.8</w:t>
                  </w:r>
                </w:p>
              </w:tc>
              <w:tc>
                <w:tcPr>
                  <w:tcW w:w="3554" w:type="dxa"/>
                  <w:shd w:val="clear" w:color="auto" w:fill="auto"/>
                  <w:vAlign w:val="center"/>
                </w:tcPr>
                <w:p>
                  <w:pPr>
                    <w:spacing w:line="360" w:lineRule="exact"/>
                    <w:jc w:val="center"/>
                    <w:rPr>
                      <w:kern w:val="1"/>
                      <w:szCs w:val="21"/>
                    </w:rPr>
                  </w:pPr>
                  <w:r>
                    <w:rPr>
                      <w:rFonts w:hint="eastAsia"/>
                      <w:kern w:val="1"/>
                      <w:szCs w:val="21"/>
                    </w:rPr>
                    <w:t>/</w:t>
                  </w:r>
                </w:p>
              </w:tc>
            </w:tr>
            <w:bookmarkEnd w:id="4"/>
          </w:tbl>
          <w:p>
            <w:pPr>
              <w:rPr>
                <w:kern w:val="1"/>
              </w:rPr>
            </w:pPr>
          </w:p>
          <w:p>
            <w:pPr>
              <w:spacing w:line="360" w:lineRule="auto"/>
              <w:jc w:val="center"/>
              <w:rPr>
                <w:szCs w:val="27"/>
              </w:rPr>
            </w:pPr>
            <w:r>
              <w:rPr>
                <w:rFonts w:hint="eastAsia"/>
              </w:rPr>
              <mc:AlternateContent>
                <mc:Choice Requires="wpc">
                  <w:drawing>
                    <wp:inline distT="0" distB="0" distL="0" distR="0">
                      <wp:extent cx="5392420" cy="2516505"/>
                      <wp:effectExtent l="0" t="0" r="17780" b="17145"/>
                      <wp:docPr id="116" name="画布 37"/>
                      <wp:cNvGraphicFramePr/>
                      <a:graphic xmlns:a="http://schemas.openxmlformats.org/drawingml/2006/main">
                        <a:graphicData uri="http://schemas.microsoft.com/office/word/2010/wordprocessingCanvas">
                          <wpc:wpc>
                            <wpc:bg>
                              <a:noFill/>
                            </wpc:bg>
                            <wpc:whole>
                              <a:ln>
                                <a:solidFill>
                                  <a:schemeClr val="tx1"/>
                                </a:solidFill>
                              </a:ln>
                            </wpc:whole>
                            <wps:wsp>
                              <wps:cNvPr id="84" name="矩形 17"/>
                              <wps:cNvSpPr/>
                              <wps:spPr>
                                <a:xfrm>
                                  <a:off x="356235" y="1100455"/>
                                  <a:ext cx="237490" cy="694055"/>
                                </a:xfrm>
                                <a:prstGeom prst="rect">
                                  <a:avLst/>
                                </a:prstGeom>
                                <a:noFill/>
                                <a:ln>
                                  <a:noFill/>
                                </a:ln>
                              </wps:spPr>
                              <wps:txbx>
                                <w:txbxContent>
                                  <w:p>
                                    <w:r>
                                      <w:rPr>
                                        <w:rFonts w:hint="eastAsia"/>
                                      </w:rPr>
                                      <w:t>新鲜水</w:t>
                                    </w:r>
                                  </w:p>
                                </w:txbxContent>
                              </wps:txbx>
                              <wps:bodyPr upright="1"/>
                            </wps:wsp>
                            <wps:wsp>
                              <wps:cNvPr id="85" name="直接连接符 18"/>
                              <wps:cNvCnPr/>
                              <wps:spPr>
                                <a:xfrm>
                                  <a:off x="300355" y="1117600"/>
                                  <a:ext cx="457200" cy="635"/>
                                </a:xfrm>
                                <a:prstGeom prst="line">
                                  <a:avLst/>
                                </a:prstGeom>
                                <a:ln w="9525" cap="flat" cmpd="sng">
                                  <a:solidFill>
                                    <a:srgbClr val="000000"/>
                                  </a:solidFill>
                                  <a:prstDash val="solid"/>
                                  <a:headEnd type="none" w="med" len="med"/>
                                  <a:tailEnd type="triangle" w="med" len="med"/>
                                </a:ln>
                              </wps:spPr>
                              <wps:bodyPr/>
                            </wps:wsp>
                            <wps:wsp>
                              <wps:cNvPr id="86" name="矩形 19"/>
                              <wps:cNvSpPr/>
                              <wps:spPr>
                                <a:xfrm>
                                  <a:off x="300355" y="920115"/>
                                  <a:ext cx="457200" cy="196850"/>
                                </a:xfrm>
                                <a:prstGeom prst="rect">
                                  <a:avLst/>
                                </a:prstGeom>
                                <a:noFill/>
                                <a:ln>
                                  <a:noFill/>
                                </a:ln>
                              </wps:spPr>
                              <wps:txbx>
                                <w:txbxContent>
                                  <w:p>
                                    <w:pPr>
                                      <w:rPr>
                                        <w:szCs w:val="21"/>
                                      </w:rPr>
                                    </w:pPr>
                                  </w:p>
                                </w:txbxContent>
                              </wps:txbx>
                              <wps:bodyPr lIns="0" tIns="0" rIns="0" bIns="0" upright="1"/>
                            </wps:wsp>
                            <wps:wsp>
                              <wps:cNvPr id="87" name="矩形 20"/>
                              <wps:cNvSpPr/>
                              <wps:spPr>
                                <a:xfrm>
                                  <a:off x="175566" y="963016"/>
                                  <a:ext cx="702488" cy="375285"/>
                                </a:xfrm>
                                <a:prstGeom prst="rect">
                                  <a:avLst/>
                                </a:prstGeom>
                                <a:noFill/>
                                <a:ln>
                                  <a:noFill/>
                                </a:ln>
                              </wps:spPr>
                              <wps:txbx>
                                <w:txbxContent>
                                  <w:p>
                                    <w:pPr>
                                      <w:rPr>
                                        <w:szCs w:val="21"/>
                                      </w:rPr>
                                    </w:pPr>
                                    <w:r>
                                      <w:rPr>
                                        <w:szCs w:val="21"/>
                                      </w:rPr>
                                      <w:t>17461.1</w:t>
                                    </w:r>
                                  </w:p>
                                </w:txbxContent>
                              </wps:txbx>
                              <wps:bodyPr lIns="0" tIns="0" rIns="0" bIns="0" upright="1"/>
                            </wps:wsp>
                            <wps:wsp>
                              <wps:cNvPr id="88" name="直接连接符 21"/>
                              <wps:cNvCnPr/>
                              <wps:spPr>
                                <a:xfrm>
                                  <a:off x="752780" y="2218944"/>
                                  <a:ext cx="457200" cy="635"/>
                                </a:xfrm>
                                <a:prstGeom prst="line">
                                  <a:avLst/>
                                </a:prstGeom>
                                <a:ln w="9525" cap="flat" cmpd="sng">
                                  <a:solidFill>
                                    <a:srgbClr val="000000"/>
                                  </a:solidFill>
                                  <a:prstDash val="solid"/>
                                  <a:headEnd type="none" w="med" len="med"/>
                                  <a:tailEnd type="triangle" w="med" len="med"/>
                                </a:ln>
                              </wps:spPr>
                              <wps:bodyPr/>
                            </wps:wsp>
                            <wps:wsp>
                              <wps:cNvPr id="89" name="矩形 22"/>
                              <wps:cNvSpPr/>
                              <wps:spPr>
                                <a:xfrm>
                                  <a:off x="1226185" y="2063928"/>
                                  <a:ext cx="838200" cy="2794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wps:wsp>
                              <wps:cNvPr id="90" name="矩形 23"/>
                              <wps:cNvSpPr/>
                              <wps:spPr>
                                <a:xfrm>
                                  <a:off x="733781" y="2032411"/>
                                  <a:ext cx="457200" cy="196215"/>
                                </a:xfrm>
                                <a:prstGeom prst="rect">
                                  <a:avLst/>
                                </a:prstGeom>
                                <a:noFill/>
                                <a:ln>
                                  <a:noFill/>
                                </a:ln>
                              </wps:spPr>
                              <wps:txbx>
                                <w:txbxContent>
                                  <w:p>
                                    <w:pPr>
                                      <w:ind w:firstLine="105" w:firstLineChars="50"/>
                                      <w:rPr>
                                        <w:szCs w:val="21"/>
                                      </w:rPr>
                                    </w:pPr>
                                    <w:r>
                                      <w:rPr>
                                        <w:szCs w:val="21"/>
                                      </w:rPr>
                                      <w:t>3300</w:t>
                                    </w:r>
                                  </w:p>
                                </w:txbxContent>
                              </wps:txbx>
                              <wps:bodyPr lIns="0" tIns="0" rIns="0" bIns="0" upright="1"/>
                            </wps:wsp>
                            <wps:wsp>
                              <wps:cNvPr id="91" name="任意多边形 24"/>
                              <wps:cNvSpPr/>
                              <wps:spPr>
                                <a:xfrm>
                                  <a:off x="1396263" y="1865808"/>
                                  <a:ext cx="342900" cy="186690"/>
                                </a:xfrm>
                                <a:custGeom>
                                  <a:avLst/>
                                  <a:gdLst/>
                                  <a:ahLst/>
                                  <a:cxnLst/>
                                  <a:rect l="0" t="0" r="0" b="0"/>
                                  <a:pathLst>
                                    <a:path w="406" h="450">
                                      <a:moveTo>
                                        <a:pt x="0" y="450"/>
                                      </a:moveTo>
                                      <a:cubicBezTo>
                                        <a:pt x="42" y="338"/>
                                        <a:pt x="85" y="227"/>
                                        <a:pt x="120" y="210"/>
                                      </a:cubicBezTo>
                                      <a:cubicBezTo>
                                        <a:pt x="155" y="193"/>
                                        <a:pt x="163" y="380"/>
                                        <a:pt x="210" y="345"/>
                                      </a:cubicBezTo>
                                      <a:cubicBezTo>
                                        <a:pt x="257" y="310"/>
                                        <a:pt x="373" y="55"/>
                                        <a:pt x="406" y="0"/>
                                      </a:cubicBezTo>
                                    </a:path>
                                  </a:pathLst>
                                </a:custGeom>
                                <a:noFill/>
                                <a:ln w="9525" cap="flat" cmpd="sng">
                                  <a:solidFill>
                                    <a:srgbClr val="000000"/>
                                  </a:solidFill>
                                  <a:prstDash val="sysDot"/>
                                  <a:headEnd type="none" w="med" len="med"/>
                                  <a:tailEnd type="triangle" w="med" len="med"/>
                                </a:ln>
                              </wps:spPr>
                              <wps:bodyPr upright="1"/>
                            </wps:wsp>
                            <wps:wsp>
                              <wps:cNvPr id="92" name="矩形 25"/>
                              <wps:cNvSpPr/>
                              <wps:spPr>
                                <a:xfrm>
                                  <a:off x="1664793" y="1774038"/>
                                  <a:ext cx="457200" cy="196215"/>
                                </a:xfrm>
                                <a:prstGeom prst="rect">
                                  <a:avLst/>
                                </a:prstGeom>
                                <a:noFill/>
                                <a:ln>
                                  <a:noFill/>
                                </a:ln>
                              </wps:spPr>
                              <wps:txbx>
                                <w:txbxContent>
                                  <w:p>
                                    <w:pPr>
                                      <w:ind w:firstLine="105" w:firstLineChars="50"/>
                                      <w:rPr>
                                        <w:szCs w:val="21"/>
                                      </w:rPr>
                                    </w:pPr>
                                    <w:r>
                                      <w:rPr>
                                        <w:szCs w:val="21"/>
                                      </w:rPr>
                                      <w:t>660</w:t>
                                    </w:r>
                                  </w:p>
                                </w:txbxContent>
                              </wps:txbx>
                              <wps:bodyPr lIns="0" tIns="0" rIns="0" bIns="0" upright="1"/>
                            </wps:wsp>
                            <wps:wsp>
                              <wps:cNvPr id="93" name="矩形 26"/>
                              <wps:cNvSpPr/>
                              <wps:spPr>
                                <a:xfrm>
                                  <a:off x="2297633" y="2063824"/>
                                  <a:ext cx="1664970" cy="299720"/>
                                </a:xfrm>
                                <a:prstGeom prst="rect">
                                  <a:avLst/>
                                </a:prstGeom>
                                <a:noFill/>
                                <a:ln w="9525" cap="flat" cmpd="sng">
                                  <a:noFill/>
                                  <a:prstDash val="solid"/>
                                  <a:miter/>
                                  <a:headEnd type="none" w="med" len="med"/>
                                  <a:tailEnd type="none" w="med" len="med"/>
                                </a:ln>
                              </wps:spPr>
                              <wps:txbx>
                                <w:txbxContent>
                                  <w:p>
                                    <w:pPr>
                                      <w:jc w:val="center"/>
                                    </w:pPr>
                                    <w:r>
                                      <w:rPr>
                                        <w:rFonts w:hint="eastAsia"/>
                                      </w:rPr>
                                      <w:t>由周边居民拉走堆肥</w:t>
                                    </w:r>
                                  </w:p>
                                </w:txbxContent>
                              </wps:txbx>
                              <wps:bodyPr upright="1"/>
                            </wps:wsp>
                            <wps:wsp>
                              <wps:cNvPr id="94" name="直接连接符 27"/>
                              <wps:cNvCnPr/>
                              <wps:spPr>
                                <a:xfrm>
                                  <a:off x="2072615" y="2194078"/>
                                  <a:ext cx="356235" cy="635"/>
                                </a:xfrm>
                                <a:prstGeom prst="line">
                                  <a:avLst/>
                                </a:prstGeom>
                                <a:ln w="9525" cap="flat" cmpd="sng">
                                  <a:solidFill>
                                    <a:srgbClr val="000000"/>
                                  </a:solidFill>
                                  <a:prstDash val="solid"/>
                                  <a:headEnd type="none" w="med" len="med"/>
                                  <a:tailEnd type="triangle" w="med" len="med"/>
                                </a:ln>
                              </wps:spPr>
                              <wps:bodyPr/>
                            </wps:wsp>
                            <wps:wsp>
                              <wps:cNvPr id="95" name="矩形 28"/>
                              <wps:cNvSpPr/>
                              <wps:spPr>
                                <a:xfrm>
                                  <a:off x="2008149" y="2032304"/>
                                  <a:ext cx="457200" cy="196215"/>
                                </a:xfrm>
                                <a:prstGeom prst="rect">
                                  <a:avLst/>
                                </a:prstGeom>
                                <a:noFill/>
                                <a:ln>
                                  <a:noFill/>
                                </a:ln>
                              </wps:spPr>
                              <wps:txbx>
                                <w:txbxContent>
                                  <w:p>
                                    <w:pPr>
                                      <w:ind w:firstLine="105" w:firstLineChars="50"/>
                                      <w:rPr>
                                        <w:szCs w:val="21"/>
                                      </w:rPr>
                                    </w:pPr>
                                    <w:r>
                                      <w:rPr>
                                        <w:szCs w:val="21"/>
                                      </w:rPr>
                                      <w:t>2640</w:t>
                                    </w:r>
                                  </w:p>
                                </w:txbxContent>
                              </wps:txbx>
                              <wps:bodyPr lIns="0" tIns="0" rIns="0" bIns="0" upright="1"/>
                            </wps:wsp>
                            <wps:wsp>
                              <wps:cNvPr id="96" name="直接连接符 29"/>
                              <wps:cNvCnPr/>
                              <wps:spPr>
                                <a:xfrm>
                                  <a:off x="753745" y="488315"/>
                                  <a:ext cx="457200" cy="635"/>
                                </a:xfrm>
                                <a:prstGeom prst="line">
                                  <a:avLst/>
                                </a:prstGeom>
                                <a:ln w="9525" cap="flat" cmpd="sng">
                                  <a:solidFill>
                                    <a:srgbClr val="000000"/>
                                  </a:solidFill>
                                  <a:prstDash val="solid"/>
                                  <a:headEnd type="none" w="med" len="med"/>
                                  <a:tailEnd type="triangle" w="med" len="med"/>
                                </a:ln>
                              </wps:spPr>
                              <wps:bodyPr/>
                            </wps:wsp>
                            <wps:wsp>
                              <wps:cNvPr id="97" name="矩形 30"/>
                              <wps:cNvSpPr/>
                              <wps:spPr>
                                <a:xfrm>
                                  <a:off x="1210310" y="349250"/>
                                  <a:ext cx="1026795" cy="273050"/>
                                </a:xfrm>
                                <a:prstGeom prst="rect">
                                  <a:avLst/>
                                </a:prstGeom>
                                <a:noFill/>
                                <a:ln w="9525" cap="flat" cmpd="sng">
                                  <a:solidFill>
                                    <a:srgbClr val="000000"/>
                                  </a:solidFill>
                                  <a:prstDash val="solid"/>
                                  <a:miter/>
                                  <a:headEnd type="none" w="med" len="med"/>
                                  <a:tailEnd type="none" w="med" len="med"/>
                                </a:ln>
                              </wps:spPr>
                              <wps:txbx>
                                <w:txbxContent>
                                  <w:p>
                                    <w:r>
                                      <w:rPr>
                                        <w:rFonts w:hint="eastAsia"/>
                                      </w:rPr>
                                      <w:t>喷洒降尘用水</w:t>
                                    </w:r>
                                  </w:p>
                                </w:txbxContent>
                              </wps:txbx>
                              <wps:bodyPr upright="1"/>
                            </wps:wsp>
                            <wps:wsp>
                              <wps:cNvPr id="98" name="矩形 31"/>
                              <wps:cNvSpPr/>
                              <wps:spPr>
                                <a:xfrm>
                                  <a:off x="621792" y="294640"/>
                                  <a:ext cx="594868" cy="196215"/>
                                </a:xfrm>
                                <a:prstGeom prst="rect">
                                  <a:avLst/>
                                </a:prstGeom>
                                <a:noFill/>
                                <a:ln>
                                  <a:noFill/>
                                </a:ln>
                              </wps:spPr>
                              <wps:txbx>
                                <w:txbxContent>
                                  <w:p>
                                    <w:pPr>
                                      <w:ind w:firstLine="105" w:firstLineChars="50"/>
                                      <w:rPr>
                                        <w:szCs w:val="21"/>
                                      </w:rPr>
                                    </w:pPr>
                                    <w:r>
                                      <w:rPr>
                                        <w:szCs w:val="21"/>
                                      </w:rPr>
                                      <w:t>14011.1</w:t>
                                    </w:r>
                                  </w:p>
                                </w:txbxContent>
                              </wps:txbx>
                              <wps:bodyPr lIns="0" tIns="0" rIns="0" bIns="0" upright="1"/>
                            </wps:wsp>
                            <wps:wsp>
                              <wps:cNvPr id="99" name="任意多边形 32"/>
                              <wps:cNvSpPr/>
                              <wps:spPr>
                                <a:xfrm>
                                  <a:off x="2063750" y="147320"/>
                                  <a:ext cx="342900" cy="186690"/>
                                </a:xfrm>
                                <a:custGeom>
                                  <a:avLst/>
                                  <a:gdLst/>
                                  <a:ahLst/>
                                  <a:cxnLst/>
                                  <a:rect l="0" t="0" r="0" b="0"/>
                                  <a:pathLst>
                                    <a:path w="406" h="450">
                                      <a:moveTo>
                                        <a:pt x="0" y="450"/>
                                      </a:moveTo>
                                      <a:cubicBezTo>
                                        <a:pt x="42" y="338"/>
                                        <a:pt x="85" y="227"/>
                                        <a:pt x="120" y="210"/>
                                      </a:cubicBezTo>
                                      <a:cubicBezTo>
                                        <a:pt x="155" y="193"/>
                                        <a:pt x="163" y="380"/>
                                        <a:pt x="210" y="345"/>
                                      </a:cubicBezTo>
                                      <a:cubicBezTo>
                                        <a:pt x="257" y="310"/>
                                        <a:pt x="373" y="55"/>
                                        <a:pt x="406" y="0"/>
                                      </a:cubicBezTo>
                                    </a:path>
                                  </a:pathLst>
                                </a:custGeom>
                                <a:noFill/>
                                <a:ln w="9525" cap="flat" cmpd="sng">
                                  <a:solidFill>
                                    <a:srgbClr val="000000"/>
                                  </a:solidFill>
                                  <a:prstDash val="sysDot"/>
                                  <a:headEnd type="none" w="med" len="med"/>
                                  <a:tailEnd type="triangle" w="med" len="med"/>
                                </a:ln>
                              </wps:spPr>
                              <wps:bodyPr upright="1"/>
                            </wps:wsp>
                            <wps:wsp>
                              <wps:cNvPr id="100" name="矩形 33"/>
                              <wps:cNvSpPr/>
                              <wps:spPr>
                                <a:xfrm>
                                  <a:off x="2343150" y="12065"/>
                                  <a:ext cx="553670" cy="196215"/>
                                </a:xfrm>
                                <a:prstGeom prst="rect">
                                  <a:avLst/>
                                </a:prstGeom>
                                <a:noFill/>
                                <a:ln>
                                  <a:noFill/>
                                </a:ln>
                              </wps:spPr>
                              <wps:txbx>
                                <w:txbxContent>
                                  <w:p>
                                    <w:pPr>
                                      <w:ind w:firstLine="105" w:firstLineChars="50"/>
                                      <w:rPr>
                                        <w:szCs w:val="21"/>
                                      </w:rPr>
                                    </w:pPr>
                                    <w:r>
                                      <w:rPr>
                                        <w:szCs w:val="21"/>
                                      </w:rPr>
                                      <w:t>14011.1</w:t>
                                    </w:r>
                                  </w:p>
                                </w:txbxContent>
                              </wps:txbx>
                              <wps:bodyPr lIns="0" tIns="0" rIns="0" bIns="0" upright="1"/>
                            </wps:wsp>
                            <wps:wsp>
                              <wps:cNvPr id="101" name="任意多边形 34"/>
                              <wps:cNvSpPr/>
                              <wps:spPr>
                                <a:xfrm>
                                  <a:off x="2934513" y="1865720"/>
                                  <a:ext cx="342900" cy="186690"/>
                                </a:xfrm>
                                <a:custGeom>
                                  <a:avLst/>
                                  <a:gdLst/>
                                  <a:ahLst/>
                                  <a:cxnLst/>
                                  <a:rect l="0" t="0" r="0" b="0"/>
                                  <a:pathLst>
                                    <a:path w="406" h="450">
                                      <a:moveTo>
                                        <a:pt x="0" y="450"/>
                                      </a:moveTo>
                                      <a:cubicBezTo>
                                        <a:pt x="42" y="338"/>
                                        <a:pt x="85" y="227"/>
                                        <a:pt x="120" y="210"/>
                                      </a:cubicBezTo>
                                      <a:cubicBezTo>
                                        <a:pt x="155" y="193"/>
                                        <a:pt x="163" y="380"/>
                                        <a:pt x="210" y="345"/>
                                      </a:cubicBezTo>
                                      <a:cubicBezTo>
                                        <a:pt x="257" y="310"/>
                                        <a:pt x="373" y="55"/>
                                        <a:pt x="406" y="0"/>
                                      </a:cubicBezTo>
                                    </a:path>
                                  </a:pathLst>
                                </a:custGeom>
                                <a:noFill/>
                                <a:ln w="9525" cap="flat" cmpd="sng">
                                  <a:solidFill>
                                    <a:srgbClr val="000000"/>
                                  </a:solidFill>
                                  <a:prstDash val="sysDot"/>
                                  <a:headEnd type="none" w="med" len="med"/>
                                  <a:tailEnd type="triangle" w="med" len="med"/>
                                </a:ln>
                              </wps:spPr>
                              <wps:bodyPr upright="1"/>
                            </wps:wsp>
                            <wps:wsp>
                              <wps:cNvPr id="102" name="矩形 35"/>
                              <wps:cNvSpPr/>
                              <wps:spPr>
                                <a:xfrm>
                                  <a:off x="3231591" y="1794421"/>
                                  <a:ext cx="457200" cy="196215"/>
                                </a:xfrm>
                                <a:prstGeom prst="rect">
                                  <a:avLst/>
                                </a:prstGeom>
                                <a:noFill/>
                                <a:ln>
                                  <a:noFill/>
                                </a:ln>
                              </wps:spPr>
                              <wps:txbx>
                                <w:txbxContent>
                                  <w:p>
                                    <w:pPr>
                                      <w:ind w:firstLine="105" w:firstLineChars="50"/>
                                      <w:rPr>
                                        <w:szCs w:val="21"/>
                                      </w:rPr>
                                    </w:pPr>
                                    <w:r>
                                      <w:rPr>
                                        <w:szCs w:val="21"/>
                                      </w:rPr>
                                      <w:t>2640</w:t>
                                    </w:r>
                                  </w:p>
                                </w:txbxContent>
                              </wps:txbx>
                              <wps:bodyPr lIns="0" tIns="0" rIns="0" bIns="0" upright="1"/>
                            </wps:wsp>
                            <wps:wsp>
                              <wps:cNvPr id="103" name="直接连接符 36"/>
                              <wps:cNvCnPr/>
                              <wps:spPr>
                                <a:xfrm>
                                  <a:off x="753745" y="481223"/>
                                  <a:ext cx="0" cy="1749913"/>
                                </a:xfrm>
                                <a:prstGeom prst="line">
                                  <a:avLst/>
                                </a:prstGeom>
                                <a:ln w="12700" cap="flat" cmpd="sng">
                                  <a:solidFill>
                                    <a:srgbClr val="000000"/>
                                  </a:solidFill>
                                  <a:prstDash val="solid"/>
                                  <a:headEnd type="none" w="med" len="med"/>
                                  <a:tailEnd type="none" w="med" len="med"/>
                                </a:ln>
                              </wps:spPr>
                              <wps:bodyPr/>
                            </wps:wsp>
                            <wps:wsp>
                              <wps:cNvPr id="104" name="矩形 8"/>
                              <wps:cNvSpPr/>
                              <wps:spPr>
                                <a:xfrm>
                                  <a:off x="1259205" y="1017905"/>
                                  <a:ext cx="1026795" cy="273050"/>
                                </a:xfrm>
                                <a:prstGeom prst="rect">
                                  <a:avLst/>
                                </a:prstGeom>
                                <a:noFill/>
                                <a:ln w="9525" cap="flat" cmpd="sng">
                                  <a:solidFill>
                                    <a:srgbClr val="000000"/>
                                  </a:solidFill>
                                  <a:prstDash val="solid"/>
                                  <a:miter/>
                                  <a:headEnd type="none" w="med" len="med"/>
                                  <a:tailEnd type="none" w="med" len="med"/>
                                </a:ln>
                              </wps:spPr>
                              <wps:txbx>
                                <w:txbxContent>
                                  <w:p>
                                    <w:r>
                                      <w:rPr>
                                        <w:rFonts w:hint="eastAsia"/>
                                      </w:rPr>
                                      <w:t>车辆冲洗水</w:t>
                                    </w:r>
                                  </w:p>
                                </w:txbxContent>
                              </wps:txbx>
                              <wps:bodyPr upright="1"/>
                            </wps:wsp>
                            <wps:wsp>
                              <wps:cNvPr id="105" name="直接连接符 48"/>
                              <wps:cNvCnPr/>
                              <wps:spPr>
                                <a:xfrm>
                                  <a:off x="789305" y="1170305"/>
                                  <a:ext cx="457200" cy="635"/>
                                </a:xfrm>
                                <a:prstGeom prst="line">
                                  <a:avLst/>
                                </a:prstGeom>
                                <a:ln w="9525" cap="flat" cmpd="sng">
                                  <a:solidFill>
                                    <a:srgbClr val="000000"/>
                                  </a:solidFill>
                                  <a:prstDash val="solid"/>
                                  <a:headEnd type="none" w="med" len="med"/>
                                  <a:tailEnd type="triangle" w="med" len="med"/>
                                </a:ln>
                              </wps:spPr>
                              <wps:bodyPr/>
                            </wps:wsp>
                            <wps:wsp>
                              <wps:cNvPr id="106" name="任意多边形 49"/>
                              <wps:cNvSpPr/>
                              <wps:spPr>
                                <a:xfrm>
                                  <a:off x="1605966" y="827405"/>
                                  <a:ext cx="342900" cy="186690"/>
                                </a:xfrm>
                                <a:custGeom>
                                  <a:avLst/>
                                  <a:gdLst/>
                                  <a:ahLst/>
                                  <a:cxnLst/>
                                  <a:rect l="0" t="0" r="0" b="0"/>
                                  <a:pathLst>
                                    <a:path w="406" h="450">
                                      <a:moveTo>
                                        <a:pt x="0" y="450"/>
                                      </a:moveTo>
                                      <a:cubicBezTo>
                                        <a:pt x="42" y="338"/>
                                        <a:pt x="85" y="227"/>
                                        <a:pt x="120" y="210"/>
                                      </a:cubicBezTo>
                                      <a:cubicBezTo>
                                        <a:pt x="155" y="193"/>
                                        <a:pt x="163" y="380"/>
                                        <a:pt x="210" y="345"/>
                                      </a:cubicBezTo>
                                      <a:cubicBezTo>
                                        <a:pt x="257" y="310"/>
                                        <a:pt x="373" y="55"/>
                                        <a:pt x="406" y="0"/>
                                      </a:cubicBezTo>
                                    </a:path>
                                  </a:pathLst>
                                </a:custGeom>
                                <a:noFill/>
                                <a:ln w="9525" cap="flat" cmpd="sng">
                                  <a:solidFill>
                                    <a:srgbClr val="000000"/>
                                  </a:solidFill>
                                  <a:prstDash val="sysDot"/>
                                  <a:headEnd type="none" w="med" len="med"/>
                                  <a:tailEnd type="triangle" w="med" len="med"/>
                                </a:ln>
                              </wps:spPr>
                              <wps:bodyPr upright="1"/>
                            </wps:wsp>
                            <wps:wsp>
                              <wps:cNvPr id="107" name="矩形 50"/>
                              <wps:cNvSpPr/>
                              <wps:spPr>
                                <a:xfrm>
                                  <a:off x="2287905" y="1017905"/>
                                  <a:ext cx="457200" cy="196215"/>
                                </a:xfrm>
                                <a:prstGeom prst="rect">
                                  <a:avLst/>
                                </a:prstGeom>
                                <a:noFill/>
                                <a:ln>
                                  <a:noFill/>
                                </a:ln>
                              </wps:spPr>
                              <wps:txbx>
                                <w:txbxContent>
                                  <w:p>
                                    <w:pPr>
                                      <w:ind w:firstLine="105" w:firstLineChars="50"/>
                                      <w:rPr>
                                        <w:szCs w:val="21"/>
                                      </w:rPr>
                                    </w:pPr>
                                    <w:r>
                                      <w:rPr>
                                        <w:szCs w:val="21"/>
                                      </w:rPr>
                                      <w:t>10</w:t>
                                    </w:r>
                                  </w:p>
                                </w:txbxContent>
                              </wps:txbx>
                              <wps:bodyPr lIns="0" tIns="0" rIns="0" bIns="0" upright="1"/>
                            </wps:wsp>
                            <wps:wsp>
                              <wps:cNvPr id="108" name="矩形 51"/>
                              <wps:cNvSpPr/>
                              <wps:spPr>
                                <a:xfrm>
                                  <a:off x="768985" y="978560"/>
                                  <a:ext cx="457200" cy="196215"/>
                                </a:xfrm>
                                <a:prstGeom prst="rect">
                                  <a:avLst/>
                                </a:prstGeom>
                                <a:noFill/>
                                <a:ln>
                                  <a:noFill/>
                                </a:ln>
                              </wps:spPr>
                              <wps:txbx>
                                <w:txbxContent>
                                  <w:p>
                                    <w:pPr>
                                      <w:ind w:firstLine="105" w:firstLineChars="50"/>
                                      <w:rPr>
                                        <w:szCs w:val="21"/>
                                      </w:rPr>
                                    </w:pPr>
                                    <w:r>
                                      <w:rPr>
                                        <w:szCs w:val="21"/>
                                      </w:rPr>
                                      <w:t>150</w:t>
                                    </w:r>
                                  </w:p>
                                </w:txbxContent>
                              </wps:txbx>
                              <wps:bodyPr lIns="0" tIns="0" rIns="0" bIns="0" upright="1"/>
                            </wps:wsp>
                            <wps:wsp>
                              <wps:cNvPr id="109" name="矩形 56"/>
                              <wps:cNvSpPr/>
                              <wps:spPr>
                                <a:xfrm>
                                  <a:off x="2757805" y="992505"/>
                                  <a:ext cx="683895" cy="297815"/>
                                </a:xfrm>
                                <a:prstGeom prst="rect">
                                  <a:avLst/>
                                </a:prstGeom>
                                <a:noFill/>
                                <a:ln w="9525" cap="flat" cmpd="sng">
                                  <a:solidFill>
                                    <a:srgbClr val="000000"/>
                                  </a:solidFill>
                                  <a:prstDash val="solid"/>
                                  <a:miter/>
                                  <a:headEnd type="none" w="med" len="med"/>
                                  <a:tailEnd type="none" w="med" len="med"/>
                                </a:ln>
                              </wps:spPr>
                              <wps:txbx>
                                <w:txbxContent>
                                  <w:p>
                                    <w:pPr>
                                      <w:rPr>
                                        <w:color w:val="0000FF"/>
                                      </w:rPr>
                                    </w:pPr>
                                    <w:r>
                                      <w:rPr>
                                        <w:rFonts w:hint="eastAsia"/>
                                      </w:rPr>
                                      <w:t>沉砂池</w:t>
                                    </w:r>
                                    <w:r>
                                      <w:rPr>
                                        <w:kern w:val="1"/>
                                        <w:sz w:val="24"/>
                                      </w:rPr>
                                      <w:t>厂区洒水降尘</w:t>
                                    </w:r>
                                  </w:p>
                                </w:txbxContent>
                              </wps:txbx>
                              <wps:bodyPr upright="1"/>
                            </wps:wsp>
                            <wps:wsp>
                              <wps:cNvPr id="110" name="直接连接符 57"/>
                              <wps:cNvCnPr/>
                              <wps:spPr>
                                <a:xfrm>
                                  <a:off x="2287905" y="1157605"/>
                                  <a:ext cx="457200" cy="635"/>
                                </a:xfrm>
                                <a:prstGeom prst="line">
                                  <a:avLst/>
                                </a:prstGeom>
                                <a:ln w="9525" cap="flat" cmpd="sng">
                                  <a:solidFill>
                                    <a:srgbClr val="000000"/>
                                  </a:solidFill>
                                  <a:prstDash val="solid"/>
                                  <a:headEnd type="none" w="med" len="med"/>
                                  <a:tailEnd type="triangle" w="med" len="med"/>
                                </a:ln>
                              </wps:spPr>
                              <wps:bodyPr/>
                            </wps:wsp>
                            <wps:wsp>
                              <wps:cNvPr id="111" name="矩形 59"/>
                              <wps:cNvSpPr/>
                              <wps:spPr>
                                <a:xfrm>
                                  <a:off x="1980560" y="753948"/>
                                  <a:ext cx="457200" cy="196215"/>
                                </a:xfrm>
                                <a:prstGeom prst="rect">
                                  <a:avLst/>
                                </a:prstGeom>
                                <a:noFill/>
                                <a:ln>
                                  <a:noFill/>
                                </a:ln>
                              </wps:spPr>
                              <wps:txbx>
                                <w:txbxContent>
                                  <w:p>
                                    <w:pPr>
                                      <w:ind w:firstLine="105" w:firstLineChars="50"/>
                                      <w:rPr>
                                        <w:szCs w:val="21"/>
                                      </w:rPr>
                                    </w:pPr>
                                    <w:r>
                                      <w:rPr>
                                        <w:szCs w:val="21"/>
                                      </w:rPr>
                                      <w:t>150</w:t>
                                    </w:r>
                                  </w:p>
                                </w:txbxContent>
                              </wps:txbx>
                              <wps:bodyPr lIns="0" tIns="0" rIns="0" bIns="0" upright="1"/>
                            </wps:wsp>
                            <wps:wsp>
                              <wps:cNvPr id="112" name="直接连接符 52"/>
                              <wps:cNvCnPr/>
                              <wps:spPr>
                                <a:xfrm>
                                  <a:off x="3152852" y="1301817"/>
                                  <a:ext cx="0" cy="343737"/>
                                </a:xfrm>
                                <a:prstGeom prst="line">
                                  <a:avLst/>
                                </a:prstGeom>
                                <a:noFill/>
                                <a:ln w="6350" cap="flat" cmpd="sng" algn="ctr">
                                  <a:solidFill>
                                    <a:sysClr val="windowText" lastClr="000000"/>
                                  </a:solidFill>
                                  <a:prstDash val="solid"/>
                                  <a:miter lim="800000"/>
                                </a:ln>
                                <a:effectLst/>
                              </wps:spPr>
                              <wps:bodyPr/>
                            </wps:wsp>
                            <wps:wsp>
                              <wps:cNvPr id="113" name="直接连接符 53"/>
                              <wps:cNvCnPr/>
                              <wps:spPr>
                                <a:xfrm flipH="1">
                                  <a:off x="1843430" y="1645189"/>
                                  <a:ext cx="1309422" cy="0"/>
                                </a:xfrm>
                                <a:prstGeom prst="line">
                                  <a:avLst/>
                                </a:prstGeom>
                                <a:noFill/>
                                <a:ln w="6350" cap="flat" cmpd="sng" algn="ctr">
                                  <a:solidFill>
                                    <a:sysClr val="windowText" lastClr="000000"/>
                                  </a:solidFill>
                                  <a:prstDash val="solid"/>
                                  <a:miter lim="800000"/>
                                </a:ln>
                                <a:effectLst/>
                              </wps:spPr>
                              <wps:bodyPr/>
                            </wps:wsp>
                            <wps:wsp>
                              <wps:cNvPr id="114" name="直接箭头连接符 54"/>
                              <wps:cNvCnPr/>
                              <wps:spPr>
                                <a:xfrm flipV="1">
                                  <a:off x="1850745" y="1294790"/>
                                  <a:ext cx="0" cy="351130"/>
                                </a:xfrm>
                                <a:prstGeom prst="straightConnector1">
                                  <a:avLst/>
                                </a:prstGeom>
                                <a:noFill/>
                                <a:ln w="6350" cap="flat" cmpd="sng" algn="ctr">
                                  <a:solidFill>
                                    <a:sysClr val="windowText" lastClr="000000"/>
                                  </a:solidFill>
                                  <a:prstDash val="solid"/>
                                  <a:miter lim="800000"/>
                                  <a:tailEnd type="triangle"/>
                                </a:ln>
                                <a:effectLst/>
                              </wps:spPr>
                              <wps:bodyPr/>
                            </wps:wsp>
                            <wps:wsp>
                              <wps:cNvPr id="115" name="矩形 61"/>
                              <wps:cNvSpPr/>
                              <wps:spPr>
                                <a:xfrm>
                                  <a:off x="2251329" y="1478762"/>
                                  <a:ext cx="457200" cy="196215"/>
                                </a:xfrm>
                                <a:prstGeom prst="rect">
                                  <a:avLst/>
                                </a:prstGeom>
                                <a:noFill/>
                                <a:ln>
                                  <a:noFill/>
                                </a:ln>
                              </wps:spPr>
                              <wps:txbx>
                                <w:txbxContent>
                                  <w:p>
                                    <w:pPr>
                                      <w:ind w:firstLine="105" w:firstLineChars="50"/>
                                      <w:rPr>
                                        <w:szCs w:val="21"/>
                                      </w:rPr>
                                    </w:pPr>
                                    <w:r>
                                      <w:rPr>
                                        <w:szCs w:val="21"/>
                                      </w:rPr>
                                      <w:t>10</w:t>
                                    </w:r>
                                  </w:p>
                                </w:txbxContent>
                              </wps:txbx>
                              <wps:bodyPr lIns="0" tIns="0" rIns="0" bIns="0" upright="1"/>
                            </wps:wsp>
                          </wpc:wpc>
                        </a:graphicData>
                      </a:graphic>
                    </wp:inline>
                  </w:drawing>
                </mc:Choice>
                <mc:Fallback>
                  <w:pict>
                    <v:group id="画布 37" o:spid="_x0000_s1026" o:spt="203" style="height:198.15pt;width:424.6pt;" coordsize="5392420,2516505" editas="canvas" o:gfxdata="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DBuGmG1QAAAAUBAAAPAAAAAAAAAAEAIAAAACIAAABkcnMv&#10;ZG93bnJldi54bWxQSwECFAAUAAAACACHTuJA1w/9Zu0IAABMRgAADgAAAAAAAAABACAAAAAkAQAA&#10;ZHJzL2Uyb0RvYy54bWxQSwUGAAAAAAYABgBZAQAAgwwAAAAA&#10;">
                      <o:lock v:ext="edit" aspectratio="f"/>
                      <v:shape id="画布 37" o:spid="_x0000_s1026" style="position:absolute;left:0;top:0;height:2516505;width:5392420;" filled="f" stroked="t" coordsize="21600,21600" o:gfxdata="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">
                        <v:fill on="f" focussize="0,0"/>
                        <v:stroke color="#000000 [3213]" joinstyle="round"/>
                        <v:imagedata o:title=""/>
                        <o:lock v:ext="edit" aspectratio="f"/>
                      </v:shape>
                      <v:rect id="矩形 17" o:spid="_x0000_s1026" o:spt="1" style="position:absolute;left:356235;top:1100455;height:694055;width:237490;" filled="f" stroked="f" coordsize="21600,21600" o:gfxdata="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yvr1&#10;1wAAAAUBAAAPAAAAAAAAAAEAIAAAACIAAABkcnMvZG93bnJldi54bWxQSwECFAAUAAAACACHTuJA&#10;bhYKorABAABNAwAADgAAAAAAAAABACAAAAAmAQAAZHJzL2Uyb0RvYy54bWxQSwUGAAAAAAYABgBZ&#10;AQAASAUAAAAA&#10;">
                        <v:fill on="f" focussize="0,0"/>
                        <v:stroke on="f"/>
                        <v:imagedata o:title=""/>
                        <o:lock v:ext="edit" aspectratio="f"/>
                        <v:textbox>
                          <w:txbxContent>
                            <w:p>
                              <w:r>
                                <w:rPr>
                                  <w:rFonts w:hint="eastAsia"/>
                                </w:rPr>
                                <w:t>新鲜水</w:t>
                              </w:r>
                            </w:p>
                          </w:txbxContent>
                        </v:textbox>
                      </v:rect>
                      <v:line id="直接连接符 18" o:spid="_x0000_s1026" o:spt="20" style="position:absolute;left:300355;top:1117600;height:635;width:457200;" filled="f" stroked="t" coordsize="21600,21600" o:gfxdata="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Lpn6tgAAAAFAQAADwAAAAAAAAABACAAAAAiAAAAZHJzL2Rv&#10;d25yZXYueG1sUEsBAhQAFAAAAAgAh07iQKLO+6wBAgAA6gMAAA4AAAAAAAAAAQAgAAAAJwEAAGRy&#10;cy9lMm9Eb2MueG1sUEsFBgAAAAAGAAYAWQEAAJoFAAAAAA==&#10;">
                        <v:fill on="f" focussize="0,0"/>
                        <v:stroke color="#000000" joinstyle="round" endarrow="block"/>
                        <v:imagedata o:title=""/>
                        <o:lock v:ext="edit" aspectratio="f"/>
                      </v:line>
                      <v:rect id="矩形 19" o:spid="_x0000_s1026" o:spt="1" style="position:absolute;left:300355;top:920115;height:196850;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yhrQPYAAAABQEAAA8AAAAAAAAAAQAgAAAAIgAAAGRycy9kb3ducmV2LnhtbFBL&#10;AQIUABQAAAAIAIdO4kBCD+fmvQEAAHADAAAOAAAAAAAAAAEAIAAAACcBAABkcnMvZTJvRG9jLnht&#10;bFBLBQYAAAAABgAGAFkBAABWBQAAAAA=&#10;">
                        <v:fill on="f" focussize="0,0"/>
                        <v:stroke on="f"/>
                        <v:imagedata o:title=""/>
                        <o:lock v:ext="edit" aspectratio="f"/>
                        <v:textbox inset="0mm,0mm,0mm,0mm">
                          <w:txbxContent>
                            <w:p>
                              <w:pPr>
                                <w:rPr>
                                  <w:szCs w:val="21"/>
                                </w:rPr>
                              </w:pPr>
                            </w:p>
                          </w:txbxContent>
                        </v:textbox>
                      </v:rect>
                      <v:rect id="矩形 20" o:spid="_x0000_s1026" o:spt="1" style="position:absolute;left:175566;top:963016;height:375285;width:702488;"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yhrQPYAAAABQEAAA8AAAAAAAAAAQAgAAAAIgAAAGRycy9kb3ducmV2LnhtbFBL&#10;AQIUABQAAAAIAIdO4kB51Ik0vQEAAHADAAAOAAAAAAAAAAEAIAAAACcBAABkcnMvZTJvRG9jLnht&#10;bFBLBQYAAAAABgAGAFkBAABWBQAAAAA=&#10;">
                        <v:fill on="f" focussize="0,0"/>
                        <v:stroke on="f"/>
                        <v:imagedata o:title=""/>
                        <o:lock v:ext="edit" aspectratio="f"/>
                        <v:textbox inset="0mm,0mm,0mm,0mm">
                          <w:txbxContent>
                            <w:p>
                              <w:pPr>
                                <w:rPr>
                                  <w:szCs w:val="21"/>
                                </w:rPr>
                              </w:pPr>
                              <w:r>
                                <w:rPr>
                                  <w:szCs w:val="21"/>
                                </w:rPr>
                                <w:t>17461.1</w:t>
                              </w:r>
                            </w:p>
                          </w:txbxContent>
                        </v:textbox>
                      </v:rect>
                      <v:line id="直接连接符 21" o:spid="_x0000_s1026" o:spt="20" style="position:absolute;left:752780;top:2218944;height:635;width:457200;" filled="f" stroked="t" coordsize="21600,21600" o:gfxdata="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Lpn6tgAAAAFAQAADwAAAAAAAAABACAAAAAiAAAAZHJz&#10;L2Rvd25yZXYueG1sUEsBAhQAFAAAAAgAh07iQJgQdEgEAgAA6gMAAA4AAAAAAAAAAQAgAAAAJwEA&#10;AGRycy9lMm9Eb2MueG1sUEsFBgAAAAAGAAYAWQEAAJ0FAAAAAA==&#10;">
                        <v:fill on="f" focussize="0,0"/>
                        <v:stroke color="#000000" joinstyle="round" endarrow="block"/>
                        <v:imagedata o:title=""/>
                        <o:lock v:ext="edit" aspectratio="f"/>
                      </v:line>
                      <v:rect id="矩形 22" o:spid="_x0000_s1026" o:spt="1" style="position:absolute;left:1226185;top:2063928;height:279400;width:838200;" filled="f" stroked="t" coordsize="21600,21600" o:gfxdata="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4aYbVAAAABQEAAA8AAAAAAAAAAQAgAAAAIgAAAGRy&#10;cy9kb3ducmV2LnhtbFBLAQIUABQAAAAIAIdO4kA3Nt09CAIAAA0EAAAOAAAAAAAAAAEAIAAAACQB&#10;AABkcnMvZTJvRG9jLnhtbFBLBQYAAAAABgAGAFkBAACeBQAAAAA=&#10;">
                        <v:fill on="f" focussize="0,0"/>
                        <v:stroke color="#000000" joinstyle="miter"/>
                        <v:imagedata o:title=""/>
                        <o:lock v:ext="edit" aspectratio="f"/>
                        <v:textbox>
                          <w:txbxContent>
                            <w:p>
                              <w:pPr>
                                <w:jc w:val="center"/>
                              </w:pPr>
                              <w:r>
                                <w:rPr>
                                  <w:rFonts w:hint="eastAsia"/>
                                </w:rPr>
                                <w:t>生活用水</w:t>
                              </w:r>
                            </w:p>
                          </w:txbxContent>
                        </v:textbox>
                      </v:rect>
                      <v:rect id="矩形 23" o:spid="_x0000_s1026" o:spt="1" style="position:absolute;left:733781;top:2032411;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oa0D2AAAAAUBAAAPAAAAAAAAAAEAIAAAACIAAABkcnMvZG93bnJldi54bWxQ&#10;SwECFAAUAAAACACHTuJArYwx7L4BAABxAwAADgAAAAAAAAABACAAAAAnAQAAZHJzL2Uyb0RvYy54&#10;bWxQSwUGAAAAAAYABgBZAQAAVwUAAAAA&#10;">
                        <v:fill on="f" focussize="0,0"/>
                        <v:stroke on="f"/>
                        <v:imagedata o:title=""/>
                        <o:lock v:ext="edit" aspectratio="f"/>
                        <v:textbox inset="0mm,0mm,0mm,0mm">
                          <w:txbxContent>
                            <w:p>
                              <w:pPr>
                                <w:ind w:firstLine="105" w:firstLineChars="50"/>
                                <w:rPr>
                                  <w:szCs w:val="21"/>
                                </w:rPr>
                              </w:pPr>
                              <w:r>
                                <w:rPr>
                                  <w:szCs w:val="21"/>
                                </w:rPr>
                                <w:t>3300</w:t>
                              </w:r>
                            </w:p>
                          </w:txbxContent>
                        </v:textbox>
                      </v:rect>
                      <v:shape id="任意多边形 24" o:spid="_x0000_s1026" o:spt="100" style="position:absolute;left:1396263;top:1865808;height:186690;width:342900;" filled="f" stroked="t" coordsize="406,450" o:gfxdata="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BMHR/XAAAABQEAAA8AAAAAAAAAAQAgAAAAIgAAAGRycy9kb3du&#10;cmV2LnhtbFBLAQIUABQAAAAIAIdO4kDY0zV8qwIAAL0FAAAOAAAAAAAAAAEAIAAAACYBAABkcnMv&#10;ZTJvRG9jLnhtbFBLBQYAAAAABgAGAFkBAABDBgAAAAA=&#10;" path="m0,450c42,338,85,227,120,210c155,193,163,380,210,345c257,310,373,55,406,0e">
                        <v:fill on="f" focussize="0,0"/>
                        <v:stroke color="#000000" joinstyle="round" dashstyle="1 1" endarrow="block"/>
                        <v:imagedata o:title=""/>
                        <o:lock v:ext="edit" aspectratio="f"/>
                      </v:shape>
                      <v:rect id="矩形 25" o:spid="_x0000_s1026" o:spt="1" style="position:absolute;left:1664793;top:1774038;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oa0D2AAAAAUBAAAPAAAAAAAAAAEAIAAAACIAAABkcnMvZG93bnJldi54bWxQ&#10;SwECFAAUAAAACACHTuJAYBKke74BAAByAwAADgAAAAAAAAABACAAAAAnAQAAZHJzL2Uyb0RvYy54&#10;bWxQSwUGAAAAAAYABgBZAQAAVwUAAAAA&#10;">
                        <v:fill on="f" focussize="0,0"/>
                        <v:stroke on="f"/>
                        <v:imagedata o:title=""/>
                        <o:lock v:ext="edit" aspectratio="f"/>
                        <v:textbox inset="0mm,0mm,0mm,0mm">
                          <w:txbxContent>
                            <w:p>
                              <w:pPr>
                                <w:ind w:firstLine="105" w:firstLineChars="50"/>
                                <w:rPr>
                                  <w:szCs w:val="21"/>
                                </w:rPr>
                              </w:pPr>
                              <w:r>
                                <w:rPr>
                                  <w:szCs w:val="21"/>
                                </w:rPr>
                                <w:t>660</w:t>
                              </w:r>
                            </w:p>
                          </w:txbxContent>
                        </v:textbox>
                      </v:rect>
                      <v:rect id="矩形 26" o:spid="_x0000_s1026" o:spt="1" style="position:absolute;left:2297633;top:2063824;height:299720;width:1664970;" filled="f" stroked="f" coordsize="21600,21600" o:gfxdata="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3K+vXXAAAABQEAAA8AAAAAAAAAAQAgAAAAIgAAAGRycy9kb3ducmV2LnhtbFBL&#10;AQIUABQAAAAIAIdO4kDt8p+t9wEAAOUDAAAOAAAAAAAAAAEAIAAAACYBAABkcnMvZTJvRG9jLnht&#10;bFBLBQYAAAAABgAGAFkBAACPBQAAAAA=&#10;">
                        <v:fill on="f" focussize="0,0"/>
                        <v:stroke on="f" joinstyle="miter"/>
                        <v:imagedata o:title=""/>
                        <o:lock v:ext="edit" aspectratio="f"/>
                        <v:textbox>
                          <w:txbxContent>
                            <w:p>
                              <w:pPr>
                                <w:jc w:val="center"/>
                              </w:pPr>
                              <w:r>
                                <w:rPr>
                                  <w:rFonts w:hint="eastAsia"/>
                                </w:rPr>
                                <w:t>由周边居民拉走堆肥</w:t>
                              </w:r>
                            </w:p>
                          </w:txbxContent>
                        </v:textbox>
                      </v:rect>
                      <v:line id="直接连接符 27" o:spid="_x0000_s1026" o:spt="20" style="position:absolute;left:2072615;top:2194078;height:635;width:356235;" filled="f" stroked="t" coordsize="21600,21600" o:gfxdata="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C6Z+rYAAAABQEAAA8AAAAAAAAAAQAgAAAAIgAAAGRycy9k&#10;b3ducmV2LnhtbFBLAQIUABQAAAAIAIdO4kAQ/rF+AgIAAOsDAAAOAAAAAAAAAAEAIAAAACcBAABk&#10;cnMvZTJvRG9jLnhtbFBLBQYAAAAABgAGAFkBAACbBQAAAAA=&#10;">
                        <v:fill on="f" focussize="0,0"/>
                        <v:stroke color="#000000" joinstyle="round" endarrow="block"/>
                        <v:imagedata o:title=""/>
                        <o:lock v:ext="edit" aspectratio="f"/>
                      </v:line>
                      <v:rect id="矩形 28" o:spid="_x0000_s1026" o:spt="1" style="position:absolute;left:2008149;top:2032304;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yhrQPYAAAABQEAAA8AAAAAAAAAAQAgAAAAIgAAAGRycy9kb3ducmV2LnhtbFBL&#10;AQIUABQAAAAIAIdO4kDvIuhivQEAAHIDAAAOAAAAAAAAAAEAIAAAACcBAABkcnMvZTJvRG9jLnht&#10;bFBLBQYAAAAABgAGAFkBAABWBQAAAAA=&#10;">
                        <v:fill on="f" focussize="0,0"/>
                        <v:stroke on="f"/>
                        <v:imagedata o:title=""/>
                        <o:lock v:ext="edit" aspectratio="f"/>
                        <v:textbox inset="0mm,0mm,0mm,0mm">
                          <w:txbxContent>
                            <w:p>
                              <w:pPr>
                                <w:ind w:firstLine="105" w:firstLineChars="50"/>
                                <w:rPr>
                                  <w:szCs w:val="21"/>
                                </w:rPr>
                              </w:pPr>
                              <w:r>
                                <w:rPr>
                                  <w:szCs w:val="21"/>
                                </w:rPr>
                                <w:t>2640</w:t>
                              </w:r>
                            </w:p>
                          </w:txbxContent>
                        </v:textbox>
                      </v:rect>
                      <v:line id="直接连接符 29" o:spid="_x0000_s1026" o:spt="20" style="position:absolute;left:753745;top:488315;height:635;width:457200;" filled="f" stroked="t" coordsize="21600,21600" o:gfxdata="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umfq2AAAAAUBAAAPAAAAAAAAAAEAIAAAACIAAABkcnMv&#10;ZG93bnJldi54bWxQSwECFAAUAAAACACHTuJAWU6CQAMCAADpAwAADgAAAAAAAAABACAAAAAnAQAA&#10;ZHJzL2Uyb0RvYy54bWxQSwUGAAAAAAYABgBZAQAAnAUAAAAA&#10;">
                        <v:fill on="f" focussize="0,0"/>
                        <v:stroke color="#000000" joinstyle="round" endarrow="block"/>
                        <v:imagedata o:title=""/>
                        <o:lock v:ext="edit" aspectratio="f"/>
                      </v:line>
                      <v:rect id="矩形 30" o:spid="_x0000_s1026" o:spt="1" style="position:absolute;left:1210310;top:349250;height:273050;width:1026795;" filled="f" stroked="t" coordsize="21600,21600" o:gfxdata="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bhphtUAAAAFAQAADwAAAAAAAAABACAAAAAiAAAAZHJz&#10;L2Rvd25yZXYueG1sUEsBAhQAFAAAAAgAh07iQIxqZUgHAgAADQQAAA4AAAAAAAAAAQAgAAAAJAEA&#10;AGRycy9lMm9Eb2MueG1sUEsFBgAAAAAGAAYAWQEAAJ0FAAAAAA==&#10;">
                        <v:fill on="f" focussize="0,0"/>
                        <v:stroke color="#000000" joinstyle="miter"/>
                        <v:imagedata o:title=""/>
                        <o:lock v:ext="edit" aspectratio="f"/>
                        <v:textbox>
                          <w:txbxContent>
                            <w:p>
                              <w:r>
                                <w:rPr>
                                  <w:rFonts w:hint="eastAsia"/>
                                </w:rPr>
                                <w:t>喷洒降尘用水</w:t>
                              </w:r>
                            </w:p>
                          </w:txbxContent>
                        </v:textbox>
                      </v:rect>
                      <v:rect id="矩形 31" o:spid="_x0000_s1026" o:spt="1" style="position:absolute;left:621792;top:294640;height:196215;width:594868;"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KGtA9gAAAAFAQAADwAAAAAAAAABACAAAAAiAAAAZHJzL2Rvd25yZXYueG1sUEsB&#10;AhQAFAAAAAgAh07iQIidjv+8AQAAcAMAAA4AAAAAAAAAAQAgAAAAJwEAAGRycy9lMm9Eb2MueG1s&#10;UEsFBgAAAAAGAAYAWQEAAFUFAAAAAA==&#10;">
                        <v:fill on="f" focussize="0,0"/>
                        <v:stroke on="f"/>
                        <v:imagedata o:title=""/>
                        <o:lock v:ext="edit" aspectratio="f"/>
                        <v:textbox inset="0mm,0mm,0mm,0mm">
                          <w:txbxContent>
                            <w:p>
                              <w:pPr>
                                <w:ind w:firstLine="105" w:firstLineChars="50"/>
                                <w:rPr>
                                  <w:szCs w:val="21"/>
                                </w:rPr>
                              </w:pPr>
                              <w:r>
                                <w:rPr>
                                  <w:szCs w:val="21"/>
                                </w:rPr>
                                <w:t>14011.1</w:t>
                              </w:r>
                            </w:p>
                          </w:txbxContent>
                        </v:textbox>
                      </v:rect>
                      <v:shape id="任意多边形 32" o:spid="_x0000_s1026" o:spt="100" style="position:absolute;left:2063750;top:147320;height:186690;width:342900;" filled="f" stroked="t" coordsize="406,450" o:gfxdata="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gTB0f1wAAAAUBAAAPAAAAAAAAAAEAIAAAACIAAABkcnMvZG93bnJl&#10;di54bWxQSwECFAAUAAAACACHTuJAhRLQ/KkCAAC8BQAADgAAAAAAAAABACAAAAAmAQAAZHJzL2Uy&#10;b0RvYy54bWxQSwUGAAAAAAYABgBZAQAAQQYAAAAA&#10;" path="m0,450c42,338,85,227,120,210c155,193,163,380,210,345c257,310,373,55,406,0e">
                        <v:fill on="f" focussize="0,0"/>
                        <v:stroke color="#000000" joinstyle="round" dashstyle="1 1" endarrow="block"/>
                        <v:imagedata o:title=""/>
                        <o:lock v:ext="edit" aspectratio="f"/>
                      </v:shape>
                      <v:rect id="矩形 33" o:spid="_x0000_s1026" o:spt="1" style="position:absolute;left:2343150;top:12065;height:196215;width:55367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oa0D2AAAAAUBAAAPAAAAAAAAAAEAIAAAACIAAABkcnMvZG93bnJldi54bWxQSwEC&#10;FAAUAAAACACHTuJASPU8E7sBAABxAwAADgAAAAAAAAABACAAAAAnAQAAZHJzL2Uyb0RvYy54bWxQ&#10;SwUGAAAAAAYABgBZAQAAVAUAAAAA&#10;">
                        <v:fill on="f" focussize="0,0"/>
                        <v:stroke on="f"/>
                        <v:imagedata o:title=""/>
                        <o:lock v:ext="edit" aspectratio="f"/>
                        <v:textbox inset="0mm,0mm,0mm,0mm">
                          <w:txbxContent>
                            <w:p>
                              <w:pPr>
                                <w:ind w:firstLine="105" w:firstLineChars="50"/>
                                <w:rPr>
                                  <w:szCs w:val="21"/>
                                </w:rPr>
                              </w:pPr>
                              <w:r>
                                <w:rPr>
                                  <w:szCs w:val="21"/>
                                </w:rPr>
                                <w:t>14011.1</w:t>
                              </w:r>
                            </w:p>
                          </w:txbxContent>
                        </v:textbox>
                      </v:rect>
                      <v:shape id="任意多边形 34" o:spid="_x0000_s1026" o:spt="100" style="position:absolute;left:2934513;top:1865720;height:186690;width:342900;" filled="f" stroked="t" coordsize="406,450" o:gfxdata="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BMHR/XAAAABQEAAA8AAAAAAAAAAQAgAAAAIgAAAGRycy9kb3du&#10;cmV2LnhtbFBLAQIUABQAAAAIAIdO4kDI7vEAqwIAAL4FAAAOAAAAAAAAAAEAIAAAACYBAABkcnMv&#10;ZTJvRG9jLnhtbFBLBQYAAAAABgAGAFkBAABDBgAAAAA=&#10;" path="m0,450c42,338,85,227,120,210c155,193,163,380,210,345c257,310,373,55,406,0e">
                        <v:fill on="f" focussize="0,0"/>
                        <v:stroke color="#000000" joinstyle="round" dashstyle="1 1" endarrow="block"/>
                        <v:imagedata o:title=""/>
                        <o:lock v:ext="edit" aspectratio="f"/>
                      </v:shape>
                      <v:rect id="矩形 35" o:spid="_x0000_s1026" o:spt="1" style="position:absolute;left:3231591;top:1794421;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oa0D2AAAAAUBAAAPAAAAAAAAAAEAIAAAACIAAABkcnMvZG93bnJldi54bWxQ&#10;SwECFAAUAAAACACHTuJAIF0Dh74BAABzAwAADgAAAAAAAAABACAAAAAnAQAAZHJzL2Uyb0RvYy54&#10;bWxQSwUGAAAAAAYABgBZAQAAVwUAAAAA&#10;">
                        <v:fill on="f" focussize="0,0"/>
                        <v:stroke on="f"/>
                        <v:imagedata o:title=""/>
                        <o:lock v:ext="edit" aspectratio="f"/>
                        <v:textbox inset="0mm,0mm,0mm,0mm">
                          <w:txbxContent>
                            <w:p>
                              <w:pPr>
                                <w:ind w:firstLine="105" w:firstLineChars="50"/>
                                <w:rPr>
                                  <w:szCs w:val="21"/>
                                </w:rPr>
                              </w:pPr>
                              <w:r>
                                <w:rPr>
                                  <w:szCs w:val="21"/>
                                </w:rPr>
                                <w:t>2640</w:t>
                              </w:r>
                            </w:p>
                          </w:txbxContent>
                        </v:textbox>
                      </v:rect>
                      <v:line id="直接连接符 36" o:spid="_x0000_s1026" o:spt="20" style="position:absolute;left:753745;top:481223;height:1749913;width:0;" filled="f" stroked="t" coordsize="21600,21600" o:gfxdata="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47eWLXAAAABQEAAA8AAAAAAAAAAQAgAAAAIgAAAGRycy9kb3ducmV2&#10;LnhtbFBLAQIUABQAAAAIAIdO4kCosGqu/QEAAOYDAAAOAAAAAAAAAAEAIAAAACYBAABkcnMvZTJv&#10;RG9jLnhtbFBLBQYAAAAABgAGAFkBAACVBQAAAAA=&#10;">
                        <v:fill on="f" focussize="0,0"/>
                        <v:stroke weight="1pt" color="#000000" joinstyle="round"/>
                        <v:imagedata o:title=""/>
                        <o:lock v:ext="edit" aspectratio="f"/>
                      </v:line>
                      <v:rect id="矩形 8" o:spid="_x0000_s1026" o:spt="1" style="position:absolute;left:1259205;top:1017905;height:273050;width:1026795;" filled="f" stroked="t" coordsize="21600,21600" o:gfxdata="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4aYbVAAAABQEAAA8AAAAAAAAAAQAgAAAAIgAAAGRy&#10;cy9kb3ducmV2LnhtbFBLAQIUABQAAAAIAIdO4kBnrk+ICAIAAA4EAAAOAAAAAAAAAAEAIAAAACQB&#10;AABkcnMvZTJvRG9jLnhtbFBLBQYAAAAABgAGAFkBAACeBQAAAAA=&#10;">
                        <v:fill on="f" focussize="0,0"/>
                        <v:stroke color="#000000" joinstyle="miter"/>
                        <v:imagedata o:title=""/>
                        <o:lock v:ext="edit" aspectratio="f"/>
                        <v:textbox>
                          <w:txbxContent>
                            <w:p>
                              <w:r>
                                <w:rPr>
                                  <w:rFonts w:hint="eastAsia"/>
                                </w:rPr>
                                <w:t>车辆冲洗水</w:t>
                              </w:r>
                            </w:p>
                          </w:txbxContent>
                        </v:textbox>
                      </v:rect>
                      <v:line id="直接连接符 48" o:spid="_x0000_s1026" o:spt="20" style="position:absolute;left:789305;top:1170305;height:635;width:457200;" filled="f" stroked="t" coordsize="21600,21600" o:gfxdata="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Lpn6tgAAAAFAQAADwAAAAAAAAABACAAAAAiAAAAZHJzL2Rv&#10;d25yZXYueG1sUEsBAhQAFAAAAAgAh07iQHwihpsBAgAA6wMAAA4AAAAAAAAAAQAgAAAAJwEAAGRy&#10;cy9lMm9Eb2MueG1sUEsFBgAAAAAGAAYAWQEAAJoFAAAAAA==&#10;">
                        <v:fill on="f" focussize="0,0"/>
                        <v:stroke color="#000000" joinstyle="round" endarrow="block"/>
                        <v:imagedata o:title=""/>
                        <o:lock v:ext="edit" aspectratio="f"/>
                      </v:line>
                      <v:shape id="任意多边形 49" o:spid="_x0000_s1026" o:spt="100" style="position:absolute;left:1605966;top:827405;height:186690;width:342900;" filled="f" stroked="t" coordsize="406,450" o:gfxdata="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gTB0f1wAAAAUBAAAPAAAAAAAAAAEAIAAAACIAAABkcnMv&#10;ZG93bnJldi54bWxQSwECFAAUAAAACACHTuJATYnjb68CAAC9BQAADgAAAAAAAAABACAAAAAmAQAA&#10;ZHJzL2Uyb0RvYy54bWxQSwUGAAAAAAYABgBZAQAARwYAAAAA&#10;" path="m0,450c42,338,85,227,120,210c155,193,163,380,210,345c257,310,373,55,406,0e">
                        <v:fill on="f" focussize="0,0"/>
                        <v:stroke color="#000000" joinstyle="round" dashstyle="1 1" endarrow="block"/>
                        <v:imagedata o:title=""/>
                        <o:lock v:ext="edit" aspectratio="f"/>
                      </v:shape>
                      <v:rect id="矩形 50" o:spid="_x0000_s1026" o:spt="1" style="position:absolute;left:2287905;top:1017905;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oa0D2AAAAAUBAAAPAAAAAAAAAAEAIAAAACIAAABkcnMvZG93bnJldi54bWxQSwEC&#10;FAAUAAAACACHTuJAiR7bkbsBAABzAwAADgAAAAAAAAABACAAAAAnAQAAZHJzL2Uyb0RvYy54bWxQ&#10;SwUGAAAAAAYABgBZAQAAVAUAAAAA&#10;">
                        <v:fill on="f" focussize="0,0"/>
                        <v:stroke on="f"/>
                        <v:imagedata o:title=""/>
                        <o:lock v:ext="edit" aspectratio="f"/>
                        <v:textbox inset="0mm,0mm,0mm,0mm">
                          <w:txbxContent>
                            <w:p>
                              <w:pPr>
                                <w:ind w:firstLine="105" w:firstLineChars="50"/>
                                <w:rPr>
                                  <w:szCs w:val="21"/>
                                </w:rPr>
                              </w:pPr>
                              <w:r>
                                <w:rPr>
                                  <w:szCs w:val="21"/>
                                </w:rPr>
                                <w:t>10</w:t>
                              </w:r>
                            </w:p>
                          </w:txbxContent>
                        </v:textbox>
                      </v:rect>
                      <v:rect id="矩形 51" o:spid="_x0000_s1026" o:spt="1" style="position:absolute;left:768985;top:978560;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yhrQPYAAAABQEAAA8AAAAAAAAAAQAgAAAAIgAAAGRycy9kb3ducmV2LnhtbFBL&#10;AQIUABQAAAAIAIdO4kDcL9bevQEAAHEDAAAOAAAAAAAAAAEAIAAAACcBAABkcnMvZTJvRG9jLnht&#10;bFBLBQYAAAAABgAGAFkBAABWBQAAAAA=&#10;">
                        <v:fill on="f" focussize="0,0"/>
                        <v:stroke on="f"/>
                        <v:imagedata o:title=""/>
                        <o:lock v:ext="edit" aspectratio="f"/>
                        <v:textbox inset="0mm,0mm,0mm,0mm">
                          <w:txbxContent>
                            <w:p>
                              <w:pPr>
                                <w:ind w:firstLine="105" w:firstLineChars="50"/>
                                <w:rPr>
                                  <w:szCs w:val="21"/>
                                </w:rPr>
                              </w:pPr>
                              <w:r>
                                <w:rPr>
                                  <w:szCs w:val="21"/>
                                </w:rPr>
                                <w:t>150</w:t>
                              </w:r>
                            </w:p>
                          </w:txbxContent>
                        </v:textbox>
                      </v:rect>
                      <v:rect id="矩形 56" o:spid="_x0000_s1026" o:spt="1" style="position:absolute;left:2757805;top:992505;height:297815;width:683895;" filled="f" stroked="t" coordsize="21600,21600" o:gfxdata="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&#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4aYbVAAAABQEAAA8AAAAAAAAAAQAgAAAAIgAAAGRy&#10;cy9kb3ducmV2LnhtbFBLAQIUABQAAAAIAIdO4kDtwcoNCAIAAA0EAAAOAAAAAAAAAAEAIAAAACQB&#10;AABkcnMvZTJvRG9jLnhtbFBLBQYAAAAABgAGAFkBAACeBQAAAAA=&#10;">
                        <v:fill on="f" focussize="0,0"/>
                        <v:stroke color="#000000" joinstyle="miter"/>
                        <v:imagedata o:title=""/>
                        <o:lock v:ext="edit" aspectratio="f"/>
                        <v:textbox>
                          <w:txbxContent>
                            <w:p>
                              <w:pPr>
                                <w:rPr>
                                  <w:color w:val="0000FF"/>
                                </w:rPr>
                              </w:pPr>
                              <w:r>
                                <w:rPr>
                                  <w:rFonts w:hint="eastAsia"/>
                                </w:rPr>
                                <w:t>沉砂池</w:t>
                              </w:r>
                              <w:r>
                                <w:rPr>
                                  <w:kern w:val="1"/>
                                  <w:sz w:val="24"/>
                                </w:rPr>
                                <w:t>厂区洒水降尘</w:t>
                              </w:r>
                            </w:p>
                          </w:txbxContent>
                        </v:textbox>
                      </v:rect>
                      <v:line id="直接连接符 57" o:spid="_x0000_s1026" o:spt="20" style="position:absolute;left:2287905;top:1157605;height:635;width:457200;" filled="f" stroked="t" coordsize="21600,21600" o:gfxdata="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umfq2AAAAAUBAAAPAAAAAAAAAAEAIAAAACIAAABkcnMv&#10;ZG93bnJldi54bWxQSwECFAAUAAAACACHTuJAhT0uOwMCAADsAwAADgAAAAAAAAABACAAAAAnAQAA&#10;ZHJzL2Uyb0RvYy54bWxQSwUGAAAAAAYABgBZAQAAnAUAAAAA&#10;">
                        <v:fill on="f" focussize="0,0"/>
                        <v:stroke color="#000000" joinstyle="round" endarrow="block"/>
                        <v:imagedata o:title=""/>
                        <o:lock v:ext="edit" aspectratio="f"/>
                      </v:line>
                      <v:rect id="矩形 59" o:spid="_x0000_s1026" o:spt="1" style="position:absolute;left:1980560;top:753948;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oa0D2AAAAAUBAAAPAAAAAAAAAAEAIAAAACIAAABkcnMvZG93bnJldi54bWxQ&#10;SwECFAAUAAAACACHTuJA71zPm74BAAByAwAADgAAAAAAAAABACAAAAAnAQAAZHJzL2Uyb0RvYy54&#10;bWxQSwUGAAAAAAYABgBZAQAAVwUAAAAA&#10;">
                        <v:fill on="f" focussize="0,0"/>
                        <v:stroke on="f"/>
                        <v:imagedata o:title=""/>
                        <o:lock v:ext="edit" aspectratio="f"/>
                        <v:textbox inset="0mm,0mm,0mm,0mm">
                          <w:txbxContent>
                            <w:p>
                              <w:pPr>
                                <w:ind w:firstLine="105" w:firstLineChars="50"/>
                                <w:rPr>
                                  <w:szCs w:val="21"/>
                                </w:rPr>
                              </w:pPr>
                              <w:r>
                                <w:rPr>
                                  <w:szCs w:val="21"/>
                                </w:rPr>
                                <w:t>150</w:t>
                              </w:r>
                            </w:p>
                          </w:txbxContent>
                        </v:textbox>
                      </v:rect>
                      <v:line id="直接连接符 52" o:spid="_x0000_s1026" o:spt="20" style="position:absolute;left:3152852;top:1301817;height:343737;width:0;" filled="f" stroked="t" coordsize="21600,21600" o:gfxdata="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OcoWNUAAAAFAQAADwAAAAAAAAABACAAAAAiAAAAZHJzL2Rv&#10;d25yZXYueG1sUEsBAhQAFAAAAAgAh07iQLJgWisEAgAA4QMAAA4AAAAAAAAAAQAgAAAAJAEAAGRy&#10;cy9lMm9Eb2MueG1sUEsFBgAAAAAGAAYAWQEAAJoFAAAAAA==&#10;">
                        <v:fill on="f" focussize="0,0"/>
                        <v:stroke weight="0.5pt" color="#000000" miterlimit="8" joinstyle="miter"/>
                        <v:imagedata o:title=""/>
                        <o:lock v:ext="edit" aspectratio="f"/>
                      </v:line>
                      <v:line id="直接连接符 53" o:spid="_x0000_s1026" o:spt="20" style="position:absolute;left:1843430;top:1645189;flip:x;height:0;width:1309422;" filled="f" stroked="t" coordsize="21600,21600" o:gfxdata="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rnb9UAAAAFAQAADwAAAAAAAAABACAAAAAi&#10;AAAAZHJzL2Rvd25yZXYueG1sUEsBAhQAFAAAAAgAh07iQLxc7CkNAgAA7AMAAA4AAAAAAAAAAQAg&#10;AAAAJAEAAGRycy9lMm9Eb2MueG1sUEsFBgAAAAAGAAYAWQEAAKMFAAAAAA==&#10;">
                        <v:fill on="f" focussize="0,0"/>
                        <v:stroke weight="0.5pt" color="#000000" miterlimit="8" joinstyle="miter"/>
                        <v:imagedata o:title=""/>
                        <o:lock v:ext="edit" aspectratio="f"/>
                      </v:line>
                      <v:shape id="直接箭头连接符 54" o:spid="_x0000_s1026" o:spt="32" type="#_x0000_t32" style="position:absolute;left:1850745;top:1294790;flip:y;height:351130;width:0;" filled="f" stroked="t" coordsize="21600,21600" o:gfxdata="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AXABzXAAAABQEAAA8AAAAAAAAAAQAgAAAAIgAAAGRycy9kb3ducmV2LnhtbFBLAQIU&#10;ABQAAAAIAIdO4kDSThj8LQIAABsEAAAOAAAAAAAAAAEAIAAAACYBAABkcnMvZTJvRG9jLnhtbFBL&#10;BQYAAAAABgAGAFkBAADFBQAAAAA=&#10;">
                        <v:fill on="f" focussize="0,0"/>
                        <v:stroke weight="0.5pt" color="#000000" miterlimit="8" joinstyle="miter" endarrow="block"/>
                        <v:imagedata o:title=""/>
                        <o:lock v:ext="edit" aspectratio="f"/>
                      </v:shape>
                      <v:rect id="矩形 61" o:spid="_x0000_s1026" o:spt="1" style="position:absolute;left:2251329;top:1478762;height:196215;width:457200;" filled="f" stroked="f" coordsize="21600,21600" o:gfxdata="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oa0D2AAAAAUBAAAPAAAAAAAAAAEAIAAAACIAAABkcnMvZG93bnJldi54bWxQ&#10;SwECFAAUAAAACACHTuJAhPqvBr4BAABzAwAADgAAAAAAAAABACAAAAAnAQAAZHJzL2Uyb0RvYy54&#10;bWxQSwUGAAAAAAYABgBZAQAAVwUAAAAA&#10;">
                        <v:fill on="f" focussize="0,0"/>
                        <v:stroke on="f"/>
                        <v:imagedata o:title=""/>
                        <o:lock v:ext="edit" aspectratio="f"/>
                        <v:textbox inset="0mm,0mm,0mm,0mm">
                          <w:txbxContent>
                            <w:p>
                              <w:pPr>
                                <w:ind w:firstLine="105" w:firstLineChars="50"/>
                                <w:rPr>
                                  <w:szCs w:val="21"/>
                                </w:rPr>
                              </w:pPr>
                              <w:r>
                                <w:rPr>
                                  <w:szCs w:val="21"/>
                                </w:rPr>
                                <w:t>10</w:t>
                              </w:r>
                            </w:p>
                          </w:txbxContent>
                        </v:textbox>
                      </v:rect>
                      <w10:wrap type="none"/>
                      <w10:anchorlock/>
                    </v:group>
                  </w:pict>
                </mc:Fallback>
              </mc:AlternateContent>
            </w:r>
          </w:p>
          <w:p>
            <w:pPr>
              <w:jc w:val="center"/>
              <w:rPr>
                <w:bCs/>
                <w:kern w:val="1"/>
                <w:szCs w:val="21"/>
              </w:rPr>
            </w:pPr>
            <w:r>
              <w:rPr>
                <w:rFonts w:hint="eastAsia"/>
                <w:b/>
                <w:bCs/>
                <w:kern w:val="1"/>
                <w:sz w:val="24"/>
              </w:rPr>
              <w:t>图1    项目水平衡图        单位</w:t>
            </w:r>
            <w:r>
              <w:rPr>
                <w:rFonts w:hint="eastAsia"/>
                <w:bCs/>
                <w:kern w:val="1"/>
                <w:sz w:val="24"/>
              </w:rPr>
              <w:t>：m</w:t>
            </w:r>
            <w:r>
              <w:rPr>
                <w:rFonts w:hint="eastAsia"/>
                <w:bCs/>
                <w:kern w:val="1"/>
                <w:sz w:val="24"/>
                <w:vertAlign w:val="superscript"/>
              </w:rPr>
              <w:t>3</w:t>
            </w:r>
            <w:r>
              <w:rPr>
                <w:rFonts w:hint="eastAsia"/>
                <w:bCs/>
                <w:kern w:val="1"/>
                <w:sz w:val="24"/>
              </w:rPr>
              <w:t>/a</w:t>
            </w:r>
          </w:p>
          <w:p>
            <w:pPr>
              <w:spacing w:line="360" w:lineRule="auto"/>
              <w:ind w:firstLine="480"/>
              <w:rPr>
                <w:sz w:val="24"/>
              </w:rPr>
            </w:pPr>
            <w:r>
              <w:rPr>
                <w:rFonts w:hint="eastAsia"/>
                <w:sz w:val="24"/>
              </w:rPr>
              <w:t>4.1.2排水</w:t>
            </w:r>
          </w:p>
          <w:p>
            <w:pPr>
              <w:spacing w:line="360" w:lineRule="auto"/>
              <w:ind w:firstLine="482"/>
              <w:rPr>
                <w:sz w:val="24"/>
              </w:rPr>
            </w:pPr>
            <w:r>
              <w:rPr>
                <w:rFonts w:hint="eastAsia"/>
                <w:sz w:val="24"/>
              </w:rPr>
              <w:t>①露天采区积水排水</w:t>
            </w:r>
          </w:p>
          <w:p>
            <w:pPr>
              <w:spacing w:line="360" w:lineRule="auto"/>
              <w:ind w:firstLine="482"/>
              <w:rPr>
                <w:sz w:val="24"/>
              </w:rPr>
            </w:pPr>
            <w:r>
              <w:rPr>
                <w:rFonts w:hint="eastAsia"/>
                <w:sz w:val="24"/>
              </w:rPr>
              <w:t>本项目所在区域地下水位在+1484m标高以下，而露天开采所获冶镁白云岩资源储量均在+1540m标高以上，矿区地下以第四系松散岩类孔隙潜水及蓟县系碳酸盐岩溶裂隙水为主，其中第四系松散岩类孔隙潜水含水层富水性弱，蓟县系碳酸盐岩溶裂隙水水位埋深在300m以下，因此本项目矿床充水主要来自大气降水。项目矿坑范围虽然较大，产生局部洪流后可自然排泄，企业在采矿场最终边坡的安全平台及清扫平台上设置排水沟，可防止雨水流入矿坑；+1600m以下为凹陷露天式开采，夏季会产生矿坑积水，按暴雨强度条件下15min径流量计算，可知露天一采区降雨积水量最大为</w:t>
            </w:r>
            <w:r>
              <w:rPr>
                <w:sz w:val="24"/>
              </w:rPr>
              <w:t>521.5</w:t>
            </w:r>
            <w:r>
              <w:rPr>
                <w:rFonts w:hint="eastAsia"/>
                <w:sz w:val="24"/>
              </w:rPr>
              <w:t>m</w:t>
            </w:r>
            <w:r>
              <w:rPr>
                <w:rFonts w:hint="eastAsia"/>
                <w:sz w:val="24"/>
                <w:vertAlign w:val="superscript"/>
              </w:rPr>
              <w:t>3</w:t>
            </w:r>
            <w:r>
              <w:rPr>
                <w:rFonts w:hint="eastAsia"/>
                <w:sz w:val="24"/>
              </w:rPr>
              <w:t>，露天二采区降雨积水量最大为</w:t>
            </w:r>
            <w:r>
              <w:rPr>
                <w:sz w:val="24"/>
              </w:rPr>
              <w:t>403.3</w:t>
            </w:r>
            <w:r>
              <w:rPr>
                <w:rFonts w:hint="eastAsia"/>
                <w:sz w:val="24"/>
              </w:rPr>
              <w:t>m</w:t>
            </w:r>
            <w:r>
              <w:rPr>
                <w:rFonts w:hint="eastAsia"/>
                <w:sz w:val="24"/>
                <w:vertAlign w:val="superscript"/>
              </w:rPr>
              <w:t>3</w:t>
            </w:r>
            <w:r>
              <w:rPr>
                <w:rFonts w:hint="eastAsia"/>
                <w:sz w:val="24"/>
              </w:rPr>
              <w:t>，根据计算情况，本项目配备2台</w:t>
            </w:r>
            <w:r>
              <w:rPr>
                <w:rFonts w:hint="eastAsia"/>
                <w:snapToGrid w:val="0"/>
                <w:sz w:val="24"/>
              </w:rPr>
              <w:t>泵流量30~50m</w:t>
            </w:r>
            <w:r>
              <w:rPr>
                <w:rFonts w:hint="eastAsia"/>
                <w:snapToGrid w:val="0"/>
                <w:sz w:val="24"/>
                <w:vertAlign w:val="superscript"/>
              </w:rPr>
              <w:t>3</w:t>
            </w:r>
            <w:r>
              <w:rPr>
                <w:rFonts w:hint="eastAsia"/>
                <w:snapToGrid w:val="0"/>
                <w:sz w:val="24"/>
              </w:rPr>
              <w:t>/h的</w:t>
            </w:r>
            <w:r>
              <w:rPr>
                <w:rFonts w:hint="eastAsia"/>
                <w:sz w:val="24"/>
              </w:rPr>
              <w:t>水泵进行机械排水，矿坑积水外排至</w:t>
            </w:r>
            <w:r>
              <w:rPr>
                <w:rFonts w:hint="eastAsia"/>
                <w:kern w:val="1"/>
                <w:sz w:val="24"/>
              </w:rPr>
              <w:t>沉砂池沉淀（规格10m*15m*3m）后用于厂区洒水降尘</w:t>
            </w:r>
            <w:r>
              <w:rPr>
                <w:rFonts w:hint="eastAsia"/>
                <w:sz w:val="24"/>
              </w:rPr>
              <w:t>。</w:t>
            </w:r>
            <w:r>
              <w:rPr>
                <w:rFonts w:hint="eastAsia"/>
                <w:snapToGrid w:val="0"/>
                <w:sz w:val="24"/>
              </w:rPr>
              <w:t>夏季一用一备，暴雨时期两台同时工作。</w:t>
            </w:r>
          </w:p>
          <w:p>
            <w:pPr>
              <w:spacing w:line="360" w:lineRule="auto"/>
              <w:ind w:firstLine="480"/>
              <w:rPr>
                <w:kern w:val="1"/>
                <w:sz w:val="24"/>
              </w:rPr>
            </w:pPr>
            <w:r>
              <w:rPr>
                <w:rFonts w:hint="eastAsia"/>
                <w:kern w:val="1"/>
                <w:sz w:val="24"/>
              </w:rPr>
              <w:t>②生活污水</w:t>
            </w:r>
          </w:p>
          <w:p>
            <w:pPr>
              <w:spacing w:line="360" w:lineRule="auto"/>
              <w:ind w:firstLine="480"/>
              <w:rPr>
                <w:kern w:val="1"/>
                <w:sz w:val="24"/>
              </w:rPr>
            </w:pPr>
            <w:r>
              <w:rPr>
                <w:rFonts w:hint="eastAsia"/>
                <w:sz w:val="24"/>
              </w:rPr>
              <w:t>项目厂址所在区域为矿区，不具备相应的污水管网接纳项目废水，项目运行过程中员工生活废水产生量为8.8m</w:t>
            </w:r>
            <w:r>
              <w:rPr>
                <w:rFonts w:hint="eastAsia"/>
                <w:sz w:val="24"/>
                <w:vertAlign w:val="superscript"/>
              </w:rPr>
              <w:t>3</w:t>
            </w:r>
            <w:r>
              <w:rPr>
                <w:rFonts w:hint="eastAsia"/>
                <w:sz w:val="24"/>
              </w:rPr>
              <w:t>/d，生活区设置防渗旱厕，定期由附近村民拉走堆肥。</w:t>
            </w:r>
          </w:p>
          <w:p>
            <w:pPr>
              <w:pStyle w:val="50"/>
              <w:ind w:firstLine="482"/>
              <w:rPr>
                <w:b/>
                <w:bCs/>
              </w:rPr>
            </w:pPr>
            <w:r>
              <w:rPr>
                <w:rFonts w:hint="eastAsia"/>
                <w:b/>
                <w:bCs/>
              </w:rPr>
              <w:t>4.2供电</w:t>
            </w:r>
          </w:p>
          <w:p>
            <w:pPr>
              <w:pStyle w:val="50"/>
              <w:ind w:firstLine="480"/>
            </w:pPr>
            <w:r>
              <w:rPr>
                <w:rFonts w:hint="eastAsia"/>
              </w:rPr>
              <w:t>项目矿区位于吴忠市青龙山北部，行政区划属吴忠市同心县韦州镇管辖。本矿总电源由汪家河110kV变电站10kV侧接入，架空线路长度6km。</w:t>
            </w:r>
          </w:p>
          <w:p>
            <w:pPr>
              <w:pStyle w:val="50"/>
              <w:ind w:firstLine="482"/>
              <w:rPr>
                <w:b/>
                <w:bCs/>
              </w:rPr>
            </w:pPr>
            <w:r>
              <w:rPr>
                <w:rFonts w:hint="eastAsia"/>
                <w:b/>
                <w:bCs/>
              </w:rPr>
              <w:t>4.3供暖</w:t>
            </w:r>
          </w:p>
          <w:p>
            <w:pPr>
              <w:pStyle w:val="50"/>
              <w:ind w:firstLine="480"/>
            </w:pPr>
            <w:r>
              <w:rPr>
                <w:rFonts w:hint="eastAsia"/>
              </w:rPr>
              <w:t>本项目年生产天数为300d，冬季有2个月不进行生产，矿区冬季采暖季较短，因此项目采暖均采用空调、电暖气采暖。</w:t>
            </w:r>
          </w:p>
          <w:p>
            <w:pPr>
              <w:pStyle w:val="50"/>
              <w:ind w:firstLine="482"/>
              <w:rPr>
                <w:b/>
                <w:bCs/>
              </w:rPr>
            </w:pPr>
            <w:r>
              <w:rPr>
                <w:rFonts w:hint="eastAsia"/>
                <w:b/>
                <w:bCs/>
              </w:rPr>
              <w:t>4.4工作制度及劳动定员</w:t>
            </w:r>
          </w:p>
          <w:p>
            <w:pPr>
              <w:pStyle w:val="50"/>
              <w:ind w:firstLine="480"/>
            </w:pPr>
            <w:r>
              <w:rPr>
                <w:rFonts w:hint="eastAsia"/>
              </w:rPr>
              <w:t>项目建成后的劳动定员为132人，主要包括管理人员、技术人员和生产操作人员等。全年工作天数为300天，工作制度为2班制，每班工作8h，年工作时数4800h。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6" w:type="dxa"/>
            <w:shd w:val="clear" w:color="auto" w:fill="auto"/>
            <w:vAlign w:val="center"/>
          </w:tcPr>
          <w:p>
            <w:pPr>
              <w:adjustRightInd w:val="0"/>
              <w:snapToGrid w:val="0"/>
              <w:jc w:val="center"/>
              <w:rPr>
                <w:kern w:val="0"/>
                <w:szCs w:val="21"/>
              </w:rPr>
            </w:pPr>
            <w:r>
              <w:rPr>
                <w:rFonts w:hint="eastAsia"/>
                <w:kern w:val="0"/>
                <w:sz w:val="24"/>
              </w:rPr>
              <w:t>总平面及现场布置</w:t>
            </w:r>
          </w:p>
        </w:tc>
        <w:tc>
          <w:tcPr>
            <w:tcW w:w="8786" w:type="dxa"/>
            <w:shd w:val="clear" w:color="auto" w:fill="auto"/>
            <w:vAlign w:val="center"/>
          </w:tcPr>
          <w:p>
            <w:pPr>
              <w:spacing w:line="360" w:lineRule="auto"/>
              <w:ind w:firstLine="480"/>
              <w:rPr>
                <w:kern w:val="1"/>
                <w:sz w:val="24"/>
              </w:rPr>
            </w:pPr>
            <w:r>
              <w:rPr>
                <w:rFonts w:hint="eastAsia"/>
                <w:sz w:val="24"/>
              </w:rPr>
              <w:t>本项目为新建工程，</w:t>
            </w:r>
            <w:r>
              <w:rPr>
                <w:rFonts w:hint="eastAsia"/>
                <w:kern w:val="1"/>
                <w:sz w:val="24"/>
              </w:rPr>
              <w:t>本项目主要由露天采区、破碎站工业场地和场区道路、排土场组成。其中露天采区分为露天一采区和露天二采区，项目厂区施工平面布置见附图五、工业场地平面布置图见附图六。</w:t>
            </w:r>
          </w:p>
          <w:p>
            <w:pPr>
              <w:spacing w:line="360" w:lineRule="auto"/>
              <w:ind w:firstLine="480"/>
              <w:rPr>
                <w:kern w:val="1"/>
                <w:sz w:val="24"/>
              </w:rPr>
            </w:pPr>
            <w:r>
              <w:rPr>
                <w:rFonts w:hint="eastAsia"/>
                <w:kern w:val="1"/>
                <w:sz w:val="24"/>
              </w:rPr>
              <w:t>（1）平面布置原则</w:t>
            </w:r>
          </w:p>
          <w:p>
            <w:pPr>
              <w:spacing w:line="360" w:lineRule="auto"/>
              <w:ind w:firstLine="480"/>
              <w:rPr>
                <w:kern w:val="1"/>
                <w:sz w:val="24"/>
              </w:rPr>
            </w:pPr>
            <w:r>
              <w:rPr>
                <w:rFonts w:hint="eastAsia"/>
                <w:kern w:val="1"/>
                <w:sz w:val="24"/>
              </w:rPr>
              <w:t>①合理布局，正确处理生产与安全、局部与整体、重点与一般、近期与远期的关系，统筹安排生产、安全、工艺、适用、先进技术等要素，全面体现经济合理和美观。</w:t>
            </w:r>
          </w:p>
          <w:p>
            <w:pPr>
              <w:spacing w:line="360" w:lineRule="auto"/>
              <w:ind w:firstLine="480"/>
              <w:rPr>
                <w:kern w:val="1"/>
                <w:sz w:val="24"/>
              </w:rPr>
            </w:pPr>
            <w:r>
              <w:rPr>
                <w:rFonts w:hint="eastAsia"/>
                <w:kern w:val="1"/>
                <w:sz w:val="24"/>
              </w:rPr>
              <w:t>②满足安全、防火、环保及卫生等设计规范、规定和标准的要求，合理布置间距、朝向及方位，达到节约和充分利用土地的目的。</w:t>
            </w:r>
          </w:p>
          <w:p>
            <w:pPr>
              <w:spacing w:line="360" w:lineRule="auto"/>
              <w:ind w:firstLine="480"/>
              <w:rPr>
                <w:kern w:val="1"/>
                <w:sz w:val="24"/>
              </w:rPr>
            </w:pPr>
            <w:r>
              <w:rPr>
                <w:rFonts w:hint="eastAsia"/>
                <w:kern w:val="1"/>
                <w:sz w:val="24"/>
              </w:rPr>
              <w:t>③合理布局交通运输、管网、线路，注重环境保护。</w:t>
            </w:r>
          </w:p>
          <w:p>
            <w:pPr>
              <w:spacing w:line="360" w:lineRule="auto"/>
              <w:ind w:firstLine="480"/>
              <w:rPr>
                <w:kern w:val="1"/>
                <w:sz w:val="24"/>
              </w:rPr>
            </w:pPr>
            <w:r>
              <w:rPr>
                <w:rFonts w:hint="eastAsia"/>
                <w:kern w:val="1"/>
                <w:sz w:val="24"/>
              </w:rPr>
              <w:t>④合理考虑企业未来发展和扩建、扩张的需要。</w:t>
            </w:r>
          </w:p>
          <w:p>
            <w:pPr>
              <w:spacing w:line="360" w:lineRule="auto"/>
              <w:ind w:firstLine="480"/>
              <w:rPr>
                <w:kern w:val="1"/>
                <w:sz w:val="24"/>
              </w:rPr>
            </w:pPr>
            <w:r>
              <w:rPr>
                <w:rFonts w:hint="eastAsia"/>
                <w:kern w:val="1"/>
                <w:sz w:val="24"/>
              </w:rPr>
              <w:t>（2）平面布置方案</w:t>
            </w:r>
          </w:p>
          <w:p>
            <w:pPr>
              <w:pStyle w:val="47"/>
              <w:ind w:firstLine="480"/>
              <w:rPr>
                <w:color w:val="auto"/>
                <w:lang w:bidi="zh-CN"/>
              </w:rPr>
            </w:pPr>
            <w:r>
              <w:rPr>
                <w:rFonts w:hint="eastAsia"/>
                <w:color w:val="auto"/>
              </w:rPr>
              <w:t>本项目总平面布置主要由露天采场、破碎工业场地、场区道路等组成，露天采区沿南北走向划分为两个采区，分区、分期开采。北部露天一采区采场面积为0.1743km</w:t>
            </w:r>
            <w:r>
              <w:rPr>
                <w:rFonts w:hint="eastAsia"/>
                <w:color w:val="auto"/>
                <w:vertAlign w:val="superscript"/>
              </w:rPr>
              <w:t>2</w:t>
            </w:r>
            <w:r>
              <w:rPr>
                <w:rFonts w:hint="eastAsia"/>
                <w:color w:val="auto"/>
              </w:rPr>
              <w:t>，最高开采标高+1652m，</w:t>
            </w:r>
            <w:r>
              <w:rPr>
                <w:rFonts w:hint="eastAsia"/>
                <w:color w:val="auto"/>
                <w:lang w:bidi="zh-CN"/>
              </w:rPr>
              <w:t>坑底开采标高+1540m，剥离量1019.42万m</w:t>
            </w:r>
            <w:r>
              <w:rPr>
                <w:rFonts w:hint="eastAsia"/>
                <w:color w:val="auto"/>
                <w:vertAlign w:val="superscript"/>
                <w:lang w:bidi="zh-CN"/>
              </w:rPr>
              <w:t>2</w:t>
            </w:r>
            <w:r>
              <w:rPr>
                <w:rFonts w:hint="eastAsia"/>
                <w:color w:val="auto"/>
              </w:rPr>
              <w:t>，露天二采区采场面积为0.1348km</w:t>
            </w:r>
            <w:r>
              <w:rPr>
                <w:rFonts w:hint="eastAsia"/>
                <w:color w:val="auto"/>
                <w:vertAlign w:val="superscript"/>
              </w:rPr>
              <w:t>2</w:t>
            </w:r>
            <w:r>
              <w:rPr>
                <w:rFonts w:hint="eastAsia"/>
                <w:color w:val="auto"/>
              </w:rPr>
              <w:t>，最高开采标高+1680m，</w:t>
            </w:r>
            <w:r>
              <w:rPr>
                <w:rFonts w:hint="eastAsia"/>
                <w:color w:val="auto"/>
                <w:lang w:bidi="zh-CN"/>
              </w:rPr>
              <w:t>坑底开采标高+1540m，剥离量867.87万m</w:t>
            </w:r>
            <w:r>
              <w:rPr>
                <w:rFonts w:hint="eastAsia"/>
                <w:color w:val="auto"/>
                <w:vertAlign w:val="superscript"/>
                <w:lang w:bidi="zh-CN"/>
              </w:rPr>
              <w:t>2</w:t>
            </w:r>
            <w:r>
              <w:rPr>
                <w:rFonts w:hint="eastAsia"/>
                <w:color w:val="auto"/>
                <w:lang w:bidi="zh-CN"/>
              </w:rPr>
              <w:t>。</w:t>
            </w:r>
          </w:p>
          <w:p>
            <w:pPr>
              <w:pStyle w:val="47"/>
              <w:ind w:firstLine="480"/>
              <w:rPr>
                <w:color w:val="auto"/>
              </w:rPr>
            </w:pPr>
            <w:r>
              <w:rPr>
                <w:rFonts w:hint="eastAsia"/>
                <w:color w:val="auto"/>
              </w:rPr>
              <w:t>工业场地布置在</w:t>
            </w:r>
            <w:r>
              <w:rPr>
                <w:rFonts w:hint="eastAsia"/>
                <w:color w:val="auto"/>
                <w:lang w:val="zh-CN"/>
              </w:rPr>
              <w:t>12--12′勘探线附近（见附图五）</w:t>
            </w:r>
            <w:r>
              <w:rPr>
                <w:rFonts w:hint="eastAsia"/>
                <w:color w:val="auto"/>
              </w:rPr>
              <w:t>，工业场地主要布置有筛分破碎系统（全封闭式）、供配电系统、宿舍、办公室、车库、机修场地、危废间、矿石及料石堆放场地，面积约10.28hm</w:t>
            </w:r>
            <w:r>
              <w:rPr>
                <w:rFonts w:hint="eastAsia"/>
                <w:color w:val="auto"/>
                <w:vertAlign w:val="superscript"/>
              </w:rPr>
              <w:t>2</w:t>
            </w:r>
            <w:r>
              <w:rPr>
                <w:rFonts w:hint="eastAsia"/>
                <w:color w:val="auto"/>
              </w:rPr>
              <w:t>。料场旁边设置150t的地磅房。</w:t>
            </w:r>
          </w:p>
          <w:p>
            <w:pPr>
              <w:pStyle w:val="47"/>
              <w:ind w:firstLine="480"/>
              <w:rPr>
                <w:color w:val="auto"/>
              </w:rPr>
            </w:pPr>
            <w:r>
              <w:rPr>
                <w:rFonts w:hint="eastAsia"/>
                <w:color w:val="auto"/>
                <w:szCs w:val="21"/>
              </w:rPr>
              <w:t>露天开采采用公路开拓—卡车运输方式，</w:t>
            </w:r>
            <w:r>
              <w:rPr>
                <w:rFonts w:hint="eastAsia"/>
                <w:color w:val="auto"/>
                <w:lang w:val="zh-CN"/>
              </w:rPr>
              <w:t>设计场内矿山道路为Ⅲ级，设计速度20km/h；道路主干线最大纵坡限8%；道路主干线最大横坡限3%；线路面宽11m；最小曲线半径15m；路面结构采用泥结碎石路面。初始时期首先从露天采区东部16-16’勘探线附近+1550m水平修筑至首采区+1645m水平上山道路，上山道路长1321m，建立+1645m水平工作平盘，然后修筑通往首采区南侧+1620m水平表土堆放场的运输道路，道路长144m。</w:t>
            </w:r>
          </w:p>
          <w:p>
            <w:pPr>
              <w:pStyle w:val="47"/>
              <w:ind w:firstLine="480"/>
              <w:rPr>
                <w:color w:val="auto"/>
                <w:spacing w:val="4"/>
              </w:rPr>
            </w:pPr>
            <w:r>
              <w:rPr>
                <w:rFonts w:hint="eastAsia" w:ascii="宋体" w:cs="宋体"/>
                <w:color w:val="auto"/>
                <w:lang w:val="zh-CN"/>
              </w:rPr>
              <w:t>露天一开采排土场</w:t>
            </w:r>
            <w:r>
              <w:rPr>
                <w:rFonts w:hint="eastAsia" w:hAnsi="宋体"/>
                <w:color w:val="auto"/>
              </w:rPr>
              <w:t>5.8万m</w:t>
            </w:r>
            <w:r>
              <w:rPr>
                <w:rFonts w:hint="eastAsia" w:hAnsi="宋体"/>
                <w:color w:val="auto"/>
                <w:vertAlign w:val="superscript"/>
              </w:rPr>
              <w:t>3</w:t>
            </w:r>
            <w:r>
              <w:rPr>
                <w:rFonts w:hint="eastAsia" w:hAnsi="宋体"/>
                <w:color w:val="auto"/>
              </w:rPr>
              <w:t>，</w:t>
            </w:r>
            <w:r>
              <w:rPr>
                <w:rFonts w:hint="eastAsia"/>
                <w:color w:val="auto"/>
              </w:rPr>
              <w:t>仅在露天二采区内废弃采坑内设置表土单独存放场，用于露天一采区土地复垦使用。最大排弃高度为10m，占地面积0.6万m</w:t>
            </w:r>
            <w:r>
              <w:rPr>
                <w:rFonts w:hint="eastAsia"/>
                <w:color w:val="auto"/>
                <w:vertAlign w:val="superscript"/>
              </w:rPr>
              <w:t>2</w:t>
            </w:r>
            <w:r>
              <w:rPr>
                <w:rFonts w:hint="eastAsia"/>
                <w:color w:val="auto"/>
              </w:rPr>
              <w:t>，容量约5.8万m</w:t>
            </w:r>
            <w:r>
              <w:rPr>
                <w:rFonts w:hint="eastAsia"/>
                <w:color w:val="auto"/>
                <w:vertAlign w:val="superscript"/>
              </w:rPr>
              <w:t>3</w:t>
            </w:r>
            <w:r>
              <w:rPr>
                <w:rFonts w:hint="eastAsia"/>
                <w:color w:val="auto"/>
              </w:rPr>
              <w:t>。</w:t>
            </w:r>
            <w:r>
              <w:rPr>
                <w:rFonts w:hint="eastAsia" w:hAnsi="宋体"/>
                <w:color w:val="auto"/>
              </w:rPr>
              <w:t>露天二采区</w:t>
            </w:r>
            <w:r>
              <w:rPr>
                <w:rFonts w:hint="eastAsia" w:ascii="宋体" w:cs="宋体"/>
                <w:color w:val="auto"/>
                <w:lang w:val="zh-CN"/>
              </w:rPr>
              <w:t>排土</w:t>
            </w:r>
            <w:r>
              <w:rPr>
                <w:rFonts w:hint="eastAsia" w:hAnsi="宋体"/>
                <w:color w:val="auto"/>
              </w:rPr>
              <w:t>9.47万m</w:t>
            </w:r>
            <w:r>
              <w:rPr>
                <w:rFonts w:hint="eastAsia" w:hAnsi="宋体"/>
                <w:color w:val="auto"/>
                <w:vertAlign w:val="superscript"/>
              </w:rPr>
              <w:t>3</w:t>
            </w:r>
            <w:r>
              <w:rPr>
                <w:rFonts w:hint="eastAsia" w:hAnsi="宋体"/>
                <w:color w:val="auto"/>
              </w:rPr>
              <w:t>，临时堆放在露天一采区的采坑内。</w:t>
            </w:r>
          </w:p>
          <w:p>
            <w:pPr>
              <w:spacing w:line="360" w:lineRule="auto"/>
              <w:ind w:firstLine="480"/>
              <w:rPr>
                <w:kern w:val="1"/>
                <w:sz w:val="24"/>
              </w:rPr>
            </w:pPr>
            <w:r>
              <w:rPr>
                <w:rFonts w:hint="eastAsia"/>
                <w:kern w:val="1"/>
                <w:sz w:val="24"/>
              </w:rPr>
              <w:t>⑶</w:t>
            </w:r>
            <w:bookmarkStart w:id="5" w:name="_Toc367083791"/>
            <w:bookmarkEnd w:id="5"/>
            <w:r>
              <w:rPr>
                <w:rFonts w:hint="eastAsia"/>
                <w:kern w:val="1"/>
                <w:sz w:val="24"/>
              </w:rPr>
              <w:t>平面布置合理性</w:t>
            </w:r>
          </w:p>
          <w:p>
            <w:pPr>
              <w:spacing w:line="360" w:lineRule="auto"/>
              <w:ind w:firstLine="480"/>
              <w:rPr>
                <w:kern w:val="1"/>
                <w:sz w:val="24"/>
              </w:rPr>
            </w:pPr>
            <w:r>
              <w:rPr>
                <w:rFonts w:hint="eastAsia"/>
                <w:kern w:val="1"/>
                <w:sz w:val="24"/>
              </w:rPr>
              <w:t>从总平面布置来看，各生产功能区分区明确，工业场地靠近矿山公路和地方公路，各生产环节连接较紧凑，物料输送距离短，便于节能降耗，减少物料流失，提高生产效率，并减轻了主要生产设备噪声对场地附近声环境的影响。总体看来该项目各场地的选址和布置基本做到了从方便生产、安全管理、保护环境角度考虑，并兼顾了矿区内环境情况，布局比较合理。因此，本项目平面布置合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46" w:hRule="atLeast"/>
          <w:jc w:val="center"/>
        </w:trPr>
        <w:tc>
          <w:tcPr>
            <w:tcW w:w="456" w:type="dxa"/>
            <w:shd w:val="clear" w:color="auto" w:fill="auto"/>
            <w:vAlign w:val="center"/>
          </w:tcPr>
          <w:p>
            <w:pPr>
              <w:adjustRightInd w:val="0"/>
              <w:snapToGrid w:val="0"/>
              <w:jc w:val="center"/>
              <w:rPr>
                <w:kern w:val="0"/>
                <w:szCs w:val="21"/>
              </w:rPr>
            </w:pPr>
            <w:r>
              <w:rPr>
                <w:rFonts w:hint="eastAsia"/>
                <w:kern w:val="0"/>
                <w:sz w:val="24"/>
              </w:rPr>
              <w:t>施工方案</w:t>
            </w:r>
          </w:p>
        </w:tc>
        <w:tc>
          <w:tcPr>
            <w:tcW w:w="8786" w:type="dxa"/>
            <w:shd w:val="clear" w:color="auto" w:fill="auto"/>
            <w:vAlign w:val="center"/>
          </w:tcPr>
          <w:p>
            <w:pPr>
              <w:pStyle w:val="85"/>
              <w:ind w:firstLine="482"/>
              <w:rPr>
                <w:rFonts w:hint="default"/>
                <w:b/>
                <w:bCs/>
              </w:rPr>
            </w:pPr>
            <w:r>
              <w:rPr>
                <w:b/>
                <w:bCs/>
              </w:rPr>
              <w:t>1、采矿方案</w:t>
            </w:r>
          </w:p>
          <w:p>
            <w:pPr>
              <w:pStyle w:val="85"/>
              <w:ind w:firstLine="480"/>
              <w:rPr>
                <w:rFonts w:hint="default"/>
              </w:rPr>
            </w:pPr>
            <w:r>
              <w:t>本矿矿体赋存稳定，共有7层白云岩矿层，平均总厚度为18.74m，部分区域总厚度超过20m，各矿层间距较小，呈单斜层状产出，倾角为5</w:t>
            </w:r>
            <w:r>
              <w:rPr>
                <w:rFonts w:hint="default"/>
              </w:rPr>
              <w:t>4°</w:t>
            </w:r>
            <w:r>
              <w:t>～68°，矿层产状及厚度变化均稳定，矿层在南部山坡出露良好，中北部大面积黄土覆盖仅有零星出露。</w:t>
            </w:r>
          </w:p>
          <w:p>
            <w:pPr>
              <w:pStyle w:val="85"/>
              <w:ind w:firstLine="480"/>
              <w:rPr>
                <w:rFonts w:hint="default"/>
              </w:rPr>
            </w:pPr>
            <w:r>
              <w:t>本矿水文地质条件简单，矿层与围岩稳固性好，工程地质属简单型，开采技术条件中等，批准开采水平标高自+1680m～+1250m。</w:t>
            </w:r>
          </w:p>
          <w:p>
            <w:pPr>
              <w:pStyle w:val="85"/>
              <w:ind w:firstLine="480"/>
              <w:rPr>
                <w:rFonts w:hint="default"/>
              </w:rPr>
            </w:pPr>
            <w:r>
              <w:t>本次评价范围为本矿南部1.25km区域上部自+1680m～+1540m水平采用露天开采方式。</w:t>
            </w:r>
          </w:p>
          <w:p>
            <w:pPr>
              <w:pStyle w:val="85"/>
              <w:ind w:firstLine="482"/>
              <w:rPr>
                <w:rFonts w:hint="default"/>
                <w:b/>
                <w:bCs/>
              </w:rPr>
            </w:pPr>
            <w:r>
              <w:rPr>
                <w:b/>
                <w:bCs/>
              </w:rPr>
              <w:t>2、开拓运输方案</w:t>
            </w:r>
          </w:p>
          <w:p>
            <w:pPr>
              <w:pStyle w:val="47"/>
              <w:ind w:firstLine="480"/>
              <w:rPr>
                <w:color w:val="auto"/>
              </w:rPr>
            </w:pPr>
            <w:r>
              <w:rPr>
                <w:rFonts w:hint="eastAsia"/>
                <w:color w:val="auto"/>
              </w:rPr>
              <w:t>（1）初始时期开拓运输系统</w:t>
            </w:r>
          </w:p>
          <w:p>
            <w:pPr>
              <w:pStyle w:val="47"/>
              <w:ind w:firstLine="480"/>
              <w:rPr>
                <w:color w:val="auto"/>
              </w:rPr>
            </w:pPr>
            <w:r>
              <w:rPr>
                <w:rFonts w:hint="eastAsia"/>
                <w:color w:val="auto"/>
              </w:rPr>
              <w:t>初始时期首先从露天采区东部16-16’勘探线附近+1550m水平修筑至首采区+1645m水平上山道路，上山道路长1321m，建立+1645m水平工作平盘，然后修筑通往首采区南侧+1620m水平表土堆放场的运输道路，道路长144m。</w:t>
            </w:r>
          </w:p>
          <w:p>
            <w:pPr>
              <w:pStyle w:val="47"/>
              <w:ind w:firstLine="480"/>
              <w:rPr>
                <w:color w:val="auto"/>
              </w:rPr>
            </w:pPr>
            <w:r>
              <w:rPr>
                <w:rFonts w:hint="eastAsia"/>
                <w:color w:val="auto"/>
              </w:rPr>
              <w:t>（2）移交生产时期开拓运输系统</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ascii="宋体" w:hAnsi="宋体" w:cs="宋体"/>
                <w:color w:val="auto"/>
              </w:rPr>
              <w:t>①</w:t>
            </w:r>
            <w:r>
              <w:rPr>
                <w:rFonts w:hint="eastAsia"/>
                <w:color w:val="auto"/>
              </w:rPr>
              <w:fldChar w:fldCharType="end"/>
            </w:r>
            <w:r>
              <w:rPr>
                <w:rFonts w:hint="eastAsia"/>
                <w:color w:val="auto"/>
              </w:rPr>
              <w:t>剥离运输系统</w:t>
            </w:r>
          </w:p>
          <w:p>
            <w:pPr>
              <w:pStyle w:val="47"/>
              <w:ind w:firstLine="480"/>
              <w:rPr>
                <w:color w:val="auto"/>
              </w:rPr>
            </w:pPr>
            <w:r>
              <w:rPr>
                <w:rFonts w:hint="eastAsia"/>
                <w:color w:val="auto"/>
              </w:rPr>
              <w:t>移交生产时期露天首采区+1645m～+1570m水平剥离工作面剥离的岩石由剥离平台通过各平台间的移动坑线，经首采区东南侧+1570m水平出入沟运至工业场地破碎筛分，作为建筑石料用；表土通过首采区南侧运输道路运往+1620m水平表土堆放场暂存。</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ascii="宋体" w:hAnsi="宋体" w:cs="宋体"/>
                <w:color w:val="auto"/>
              </w:rPr>
              <w:t>②</w:t>
            </w:r>
            <w:r>
              <w:rPr>
                <w:rFonts w:hint="eastAsia"/>
                <w:color w:val="auto"/>
              </w:rPr>
              <w:fldChar w:fldCharType="end"/>
            </w:r>
            <w:r>
              <w:rPr>
                <w:rFonts w:hint="eastAsia"/>
                <w:color w:val="auto"/>
              </w:rPr>
              <w:t>采矿运输系统</w:t>
            </w:r>
          </w:p>
          <w:p>
            <w:pPr>
              <w:pStyle w:val="47"/>
              <w:ind w:firstLine="480"/>
              <w:rPr>
                <w:color w:val="auto"/>
              </w:rPr>
            </w:pPr>
            <w:r>
              <w:rPr>
                <w:rFonts w:hint="eastAsia"/>
                <w:color w:val="auto"/>
              </w:rPr>
              <w:t>移交生产时期+1570m水平采矿工作面采出的矿石经采场东南侧+1570m水平出入沟运至工业场地进行破碎筛分。</w:t>
            </w:r>
          </w:p>
          <w:p>
            <w:pPr>
              <w:pStyle w:val="47"/>
              <w:ind w:firstLine="480"/>
              <w:rPr>
                <w:color w:val="auto"/>
              </w:rPr>
            </w:pPr>
            <w:r>
              <w:rPr>
                <w:rFonts w:hint="eastAsia"/>
                <w:color w:val="auto"/>
              </w:rPr>
              <w:t>（3）最终时期开拓运输系统</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ascii="宋体" w:hAnsi="宋体" w:cs="宋体"/>
                <w:color w:val="auto"/>
              </w:rPr>
              <w:t>①</w:t>
            </w:r>
            <w:r>
              <w:rPr>
                <w:rFonts w:hint="eastAsia"/>
                <w:color w:val="auto"/>
              </w:rPr>
              <w:fldChar w:fldCharType="end"/>
            </w:r>
            <w:r>
              <w:rPr>
                <w:rFonts w:hint="eastAsia"/>
                <w:color w:val="auto"/>
              </w:rPr>
              <w:t>剥离运输系统</w:t>
            </w:r>
          </w:p>
          <w:p>
            <w:pPr>
              <w:pStyle w:val="47"/>
              <w:ind w:firstLine="480"/>
              <w:rPr>
                <w:color w:val="auto"/>
              </w:rPr>
            </w:pPr>
            <w:r>
              <w:rPr>
                <w:rFonts w:hint="eastAsia"/>
                <w:color w:val="auto"/>
              </w:rPr>
              <w:t>最终时期+1540m水平剥离工作面剥离的岩石由东部+1540m水平出入沟（该出入沟随采场最低标高同步降深，并留设5‰由西向东排水沟）运往东部工业场地进行破碎分级，作为建筑石料用。</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ascii="宋体" w:hAnsi="宋体" w:cs="宋体"/>
                <w:color w:val="auto"/>
              </w:rPr>
              <w:t>②</w:t>
            </w:r>
            <w:r>
              <w:rPr>
                <w:rFonts w:hint="eastAsia"/>
                <w:color w:val="auto"/>
              </w:rPr>
              <w:fldChar w:fldCharType="end"/>
            </w:r>
            <w:r>
              <w:rPr>
                <w:rFonts w:hint="eastAsia"/>
                <w:color w:val="auto"/>
              </w:rPr>
              <w:t>采矿运输系统</w:t>
            </w:r>
          </w:p>
          <w:p>
            <w:pPr>
              <w:pStyle w:val="47"/>
              <w:ind w:firstLine="480"/>
              <w:rPr>
                <w:color w:val="auto"/>
              </w:rPr>
            </w:pPr>
            <w:r>
              <w:rPr>
                <w:rFonts w:hint="eastAsia"/>
                <w:color w:val="auto"/>
              </w:rPr>
              <w:t>最终时期+1540m水平采矿工作面采出的矿石经东部+1540m水平出入沟运至东部工业场地进行破碎筛分。</w:t>
            </w:r>
          </w:p>
          <w:p>
            <w:pPr>
              <w:pStyle w:val="47"/>
              <w:ind w:firstLine="480"/>
              <w:rPr>
                <w:color w:val="auto"/>
              </w:rPr>
            </w:pPr>
            <w:r>
              <w:rPr>
                <w:rFonts w:hint="eastAsia"/>
                <w:color w:val="auto"/>
              </w:rPr>
              <w:t>（4）开拓运输方案：露天开采选用公路开拓—卡车运输方案。</w:t>
            </w:r>
          </w:p>
          <w:p>
            <w:pPr>
              <w:pStyle w:val="47"/>
              <w:ind w:firstLine="482"/>
              <w:rPr>
                <w:b/>
                <w:bCs/>
                <w:color w:val="auto"/>
              </w:rPr>
            </w:pPr>
            <w:r>
              <w:rPr>
                <w:rFonts w:hint="eastAsia"/>
                <w:b/>
                <w:bCs/>
                <w:color w:val="auto"/>
              </w:rPr>
              <w:t>3、采区划分及开采顺序</w:t>
            </w:r>
          </w:p>
          <w:p>
            <w:pPr>
              <w:pStyle w:val="47"/>
              <w:ind w:firstLine="480"/>
              <w:rPr>
                <w:color w:val="auto"/>
              </w:rPr>
            </w:pPr>
            <w:r>
              <w:rPr>
                <w:rFonts w:hint="eastAsia"/>
                <w:color w:val="auto"/>
              </w:rPr>
              <w:t>根据杜家圈南白云岩矿地形特征及矿层赋存条件，为减轻对地质环境的影响，将杜家圈南白云岩矿露天采区沿南北走向划分为两个采区，分区、分期开采。经综合比较，北部露天一采区具有剥离表土工程量少、运距较短、储量级别高等优势，因此，北部露天一采区为第一期开采、南部露天二采区为第二期开采。</w:t>
            </w:r>
          </w:p>
          <w:p>
            <w:pPr>
              <w:pStyle w:val="47"/>
              <w:ind w:firstLine="480"/>
              <w:rPr>
                <w:color w:val="auto"/>
              </w:rPr>
            </w:pPr>
            <w:r>
              <w:rPr>
                <w:rFonts w:hint="eastAsia"/>
                <w:color w:val="auto"/>
              </w:rPr>
              <w:t>露天一采区南北走向长约600m，东西宽 240～305m，面积 0.1743km</w:t>
            </w:r>
            <w:r>
              <w:rPr>
                <w:rFonts w:hint="eastAsia"/>
                <w:color w:val="auto"/>
                <w:vertAlign w:val="superscript"/>
              </w:rPr>
              <w:t>2</w:t>
            </w:r>
            <w:r>
              <w:rPr>
                <w:rFonts w:hint="eastAsia"/>
                <w:color w:val="auto"/>
              </w:rPr>
              <w:t>，最高开采标高+1652m，坑底开采标高+1540m，剥离量1019.42万m³（其中土5.31万m³、岩1014.11万m³），可采储量117.22万t，可采原矿量123.73万t，平均剥采比8.7m</w:t>
            </w:r>
            <w:r>
              <w:rPr>
                <w:rFonts w:hint="eastAsia"/>
                <w:color w:val="auto"/>
                <w:vertAlign w:val="superscript"/>
              </w:rPr>
              <w:t>3</w:t>
            </w:r>
            <w:r>
              <w:rPr>
                <w:rFonts w:hint="eastAsia"/>
                <w:color w:val="auto"/>
              </w:rPr>
              <w:t>/t，服务年限2.</w:t>
            </w:r>
            <w:r>
              <w:rPr>
                <w:color w:val="auto"/>
              </w:rPr>
              <w:t>5</w:t>
            </w:r>
            <w:r>
              <w:rPr>
                <w:rFonts w:hint="eastAsia"/>
                <w:color w:val="auto"/>
              </w:rPr>
              <w:t>a。</w:t>
            </w:r>
          </w:p>
          <w:p>
            <w:pPr>
              <w:pStyle w:val="47"/>
              <w:ind w:firstLine="480"/>
              <w:rPr>
                <w:color w:val="auto"/>
              </w:rPr>
            </w:pPr>
            <w:r>
              <w:rPr>
                <w:rFonts w:hint="eastAsia"/>
                <w:color w:val="auto"/>
              </w:rPr>
              <w:t>露天二采区南北走向长约650m，东西宽160～240m，面积0.1348km</w:t>
            </w:r>
            <w:r>
              <w:rPr>
                <w:rFonts w:hint="eastAsia"/>
                <w:color w:val="auto"/>
                <w:vertAlign w:val="superscript"/>
              </w:rPr>
              <w:t>2</w:t>
            </w:r>
            <w:r>
              <w:rPr>
                <w:rFonts w:hint="eastAsia"/>
                <w:color w:val="auto"/>
              </w:rPr>
              <w:t>，最高开采标高+1680m，坑底开采标高+1540m，剥离量867.87万m³（其中土9.47万m</w:t>
            </w:r>
            <w:r>
              <w:rPr>
                <w:rFonts w:hint="eastAsia"/>
                <w:color w:val="auto"/>
                <w:vertAlign w:val="superscript"/>
              </w:rPr>
              <w:t>3</w:t>
            </w:r>
            <w:r>
              <w:rPr>
                <w:rFonts w:hint="eastAsia"/>
                <w:color w:val="auto"/>
              </w:rPr>
              <w:t>、岩858.4万m³），可采储量142.89万t，可采原矿量150.83万t，平均剥采比6.1m</w:t>
            </w:r>
            <w:r>
              <w:rPr>
                <w:rFonts w:hint="eastAsia"/>
                <w:color w:val="auto"/>
                <w:vertAlign w:val="superscript"/>
              </w:rPr>
              <w:t>3</w:t>
            </w:r>
            <w:r>
              <w:rPr>
                <w:rFonts w:hint="eastAsia"/>
                <w:color w:val="auto"/>
              </w:rPr>
              <w:t>/t，服务年限3</w:t>
            </w:r>
            <w:r>
              <w:rPr>
                <w:color w:val="auto"/>
              </w:rPr>
              <w:t>.0</w:t>
            </w:r>
            <w:r>
              <w:rPr>
                <w:rFonts w:hint="eastAsia"/>
                <w:color w:val="auto"/>
              </w:rPr>
              <w:t>a。</w:t>
            </w:r>
          </w:p>
          <w:p>
            <w:pPr>
              <w:pStyle w:val="47"/>
              <w:ind w:firstLine="480"/>
              <w:rPr>
                <w:bCs/>
                <w:color w:val="auto"/>
              </w:rPr>
            </w:pPr>
            <w:r>
              <w:rPr>
                <w:rFonts w:hint="eastAsia"/>
                <w:color w:val="auto"/>
              </w:rPr>
              <w:t>露天开采境界内总剥离量：1887.29万m³，其中岩石量1872.51万m³（折合5299.21万t），表土量14.78万m³，平均剥采比7.3m</w:t>
            </w:r>
            <w:r>
              <w:rPr>
                <w:rFonts w:hint="eastAsia"/>
                <w:color w:val="auto"/>
                <w:vertAlign w:val="superscript"/>
              </w:rPr>
              <w:t>3</w:t>
            </w:r>
            <w:r>
              <w:rPr>
                <w:rFonts w:hint="eastAsia"/>
                <w:color w:val="auto"/>
              </w:rPr>
              <w:t>/t，均衡生产剥采比5.2 m</w:t>
            </w:r>
            <w:r>
              <w:rPr>
                <w:rFonts w:hint="eastAsia"/>
                <w:color w:val="auto"/>
                <w:vertAlign w:val="superscript"/>
              </w:rPr>
              <w:t>3</w:t>
            </w:r>
            <w:r>
              <w:rPr>
                <w:rFonts w:hint="eastAsia"/>
                <w:color w:val="auto"/>
              </w:rPr>
              <w:t>/t。</w:t>
            </w:r>
            <w:r>
              <w:rPr>
                <w:rFonts w:hint="eastAsia"/>
                <w:bCs/>
                <w:color w:val="auto"/>
              </w:rPr>
              <w:t>总剥离量计算详见下表。</w:t>
            </w:r>
          </w:p>
          <w:p>
            <w:pPr>
              <w:pStyle w:val="50"/>
              <w:numPr>
                <w:ilvl w:val="0"/>
                <w:numId w:val="2"/>
              </w:numPr>
              <w:snapToGrid w:val="0"/>
              <w:spacing w:line="240" w:lineRule="auto"/>
              <w:ind w:firstLineChars="0"/>
              <w:jc w:val="center"/>
              <w:rPr>
                <w:b/>
                <w:bCs/>
              </w:rPr>
            </w:pPr>
            <w:r>
              <w:rPr>
                <w:rFonts w:hint="eastAsia"/>
                <w:b/>
                <w:bCs/>
              </w:rPr>
              <w:t>露天采区技术特征表</w:t>
            </w:r>
          </w:p>
          <w:tbl>
            <w:tblPr>
              <w:tblStyle w:val="87"/>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58"/>
              <w:gridCol w:w="1908"/>
              <w:gridCol w:w="1515"/>
              <w:gridCol w:w="1988"/>
              <w:gridCol w:w="17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shd w:val="clear" w:color="auto" w:fill="auto"/>
                  <w:vAlign w:val="center"/>
                </w:tcPr>
                <w:p>
                  <w:pPr>
                    <w:pStyle w:val="33"/>
                    <w:spacing w:line="360" w:lineRule="exact"/>
                    <w:jc w:val="center"/>
                    <w:rPr>
                      <w:lang w:eastAsia="en-US"/>
                    </w:rPr>
                  </w:pPr>
                  <w:bookmarkStart w:id="6" w:name="_Hlk99125685"/>
                  <w:r>
                    <w:rPr>
                      <w:lang w:eastAsia="en-US"/>
                    </w:rPr>
                    <w:t>序号</w:t>
                  </w:r>
                </w:p>
              </w:tc>
              <w:tc>
                <w:tcPr>
                  <w:tcW w:w="1908" w:type="dxa"/>
                  <w:shd w:val="clear" w:color="auto" w:fill="auto"/>
                  <w:vAlign w:val="center"/>
                </w:tcPr>
                <w:p>
                  <w:pPr>
                    <w:pStyle w:val="33"/>
                    <w:spacing w:line="360" w:lineRule="exact"/>
                    <w:jc w:val="center"/>
                    <w:rPr>
                      <w:lang w:eastAsia="en-US"/>
                    </w:rPr>
                  </w:pPr>
                  <w:r>
                    <w:rPr>
                      <w:lang w:eastAsia="en-US"/>
                    </w:rPr>
                    <w:t>项目</w:t>
                  </w:r>
                </w:p>
              </w:tc>
              <w:tc>
                <w:tcPr>
                  <w:tcW w:w="1515" w:type="dxa"/>
                  <w:shd w:val="clear" w:color="auto" w:fill="auto"/>
                  <w:vAlign w:val="center"/>
                </w:tcPr>
                <w:p>
                  <w:pPr>
                    <w:pStyle w:val="33"/>
                    <w:spacing w:line="360" w:lineRule="exact"/>
                    <w:jc w:val="center"/>
                    <w:rPr>
                      <w:lang w:eastAsia="en-US"/>
                    </w:rPr>
                  </w:pPr>
                  <w:r>
                    <w:rPr>
                      <w:lang w:eastAsia="en-US"/>
                    </w:rPr>
                    <w:t>单位</w:t>
                  </w:r>
                </w:p>
              </w:tc>
              <w:tc>
                <w:tcPr>
                  <w:tcW w:w="1988" w:type="dxa"/>
                  <w:shd w:val="clear" w:color="auto" w:fill="auto"/>
                  <w:vAlign w:val="center"/>
                </w:tcPr>
                <w:p>
                  <w:pPr>
                    <w:pStyle w:val="33"/>
                    <w:spacing w:line="360" w:lineRule="exact"/>
                    <w:jc w:val="center"/>
                    <w:rPr>
                      <w:lang w:eastAsia="en-US"/>
                    </w:rPr>
                  </w:pPr>
                  <w:r>
                    <w:rPr>
                      <w:lang w:eastAsia="en-US"/>
                    </w:rPr>
                    <w:t>露天一采区</w:t>
                  </w:r>
                </w:p>
              </w:tc>
              <w:tc>
                <w:tcPr>
                  <w:tcW w:w="1771" w:type="dxa"/>
                  <w:shd w:val="clear" w:color="auto" w:fill="auto"/>
                  <w:vAlign w:val="center"/>
                </w:tcPr>
                <w:p>
                  <w:pPr>
                    <w:pStyle w:val="33"/>
                    <w:spacing w:line="360" w:lineRule="exact"/>
                    <w:jc w:val="center"/>
                    <w:rPr>
                      <w:lang w:eastAsia="en-US"/>
                    </w:rPr>
                  </w:pPr>
                  <w:r>
                    <w:rPr>
                      <w:lang w:eastAsia="en-US"/>
                    </w:rPr>
                    <w:t>露天二采区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7" w:hRule="atLeast"/>
              </w:trPr>
              <w:tc>
                <w:tcPr>
                  <w:tcW w:w="1358" w:type="dxa"/>
                  <w:shd w:val="clear" w:color="auto" w:fill="auto"/>
                  <w:vAlign w:val="center"/>
                </w:tcPr>
                <w:p>
                  <w:pPr>
                    <w:pStyle w:val="33"/>
                    <w:spacing w:line="360" w:lineRule="exact"/>
                    <w:jc w:val="center"/>
                    <w:rPr>
                      <w:lang w:eastAsia="en-US"/>
                    </w:rPr>
                  </w:pPr>
                  <w:r>
                    <w:rPr>
                      <w:lang w:eastAsia="en-US"/>
                    </w:rPr>
                    <w:t>1</w:t>
                  </w:r>
                </w:p>
              </w:tc>
              <w:tc>
                <w:tcPr>
                  <w:tcW w:w="1908" w:type="dxa"/>
                  <w:shd w:val="clear" w:color="auto" w:fill="auto"/>
                  <w:vAlign w:val="center"/>
                </w:tcPr>
                <w:p>
                  <w:pPr>
                    <w:pStyle w:val="33"/>
                    <w:spacing w:line="360" w:lineRule="exact"/>
                    <w:jc w:val="center"/>
                    <w:rPr>
                      <w:lang w:eastAsia="en-US"/>
                    </w:rPr>
                  </w:pPr>
                  <w:r>
                    <w:rPr>
                      <w:lang w:eastAsia="en-US"/>
                    </w:rPr>
                    <w:t>采区长度</w:t>
                  </w:r>
                </w:p>
              </w:tc>
              <w:tc>
                <w:tcPr>
                  <w:tcW w:w="1515" w:type="dxa"/>
                  <w:shd w:val="clear" w:color="auto" w:fill="auto"/>
                  <w:vAlign w:val="center"/>
                </w:tcPr>
                <w:p>
                  <w:pPr>
                    <w:pStyle w:val="33"/>
                    <w:spacing w:line="360" w:lineRule="exact"/>
                    <w:jc w:val="center"/>
                    <w:rPr>
                      <w:lang w:eastAsia="en-US"/>
                    </w:rPr>
                  </w:pPr>
                  <w:r>
                    <w:rPr>
                      <w:lang w:eastAsia="en-US"/>
                    </w:rPr>
                    <w:t>m</w:t>
                  </w:r>
                </w:p>
              </w:tc>
              <w:tc>
                <w:tcPr>
                  <w:tcW w:w="1988" w:type="dxa"/>
                  <w:shd w:val="clear" w:color="auto" w:fill="auto"/>
                  <w:vAlign w:val="center"/>
                </w:tcPr>
                <w:p>
                  <w:pPr>
                    <w:pStyle w:val="33"/>
                    <w:spacing w:line="360" w:lineRule="exact"/>
                    <w:jc w:val="center"/>
                    <w:rPr>
                      <w:lang w:eastAsia="en-US"/>
                    </w:rPr>
                  </w:pPr>
                  <w:r>
                    <w:rPr>
                      <w:lang w:eastAsia="en-US"/>
                    </w:rPr>
                    <w:t>600</w:t>
                  </w:r>
                </w:p>
              </w:tc>
              <w:tc>
                <w:tcPr>
                  <w:tcW w:w="1771" w:type="dxa"/>
                  <w:shd w:val="clear" w:color="auto" w:fill="auto"/>
                  <w:vAlign w:val="center"/>
                </w:tcPr>
                <w:p>
                  <w:pPr>
                    <w:pStyle w:val="33"/>
                    <w:spacing w:line="360" w:lineRule="exact"/>
                    <w:jc w:val="center"/>
                    <w:rPr>
                      <w:lang w:eastAsia="en-US"/>
                    </w:rPr>
                  </w:pPr>
                  <w:r>
                    <w:rPr>
                      <w:lang w:eastAsia="en-US"/>
                    </w:rPr>
                    <w:t>650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shd w:val="clear" w:color="auto" w:fill="auto"/>
                  <w:vAlign w:val="center"/>
                </w:tcPr>
                <w:p>
                  <w:pPr>
                    <w:pStyle w:val="33"/>
                    <w:spacing w:line="360" w:lineRule="exact"/>
                    <w:jc w:val="center"/>
                    <w:rPr>
                      <w:lang w:eastAsia="en-US"/>
                    </w:rPr>
                  </w:pPr>
                  <w:r>
                    <w:rPr>
                      <w:lang w:eastAsia="en-US"/>
                    </w:rPr>
                    <w:t>2</w:t>
                  </w:r>
                </w:p>
              </w:tc>
              <w:tc>
                <w:tcPr>
                  <w:tcW w:w="1908" w:type="dxa"/>
                  <w:shd w:val="clear" w:color="auto" w:fill="auto"/>
                  <w:vAlign w:val="center"/>
                </w:tcPr>
                <w:p>
                  <w:pPr>
                    <w:pStyle w:val="33"/>
                    <w:spacing w:line="360" w:lineRule="exact"/>
                    <w:jc w:val="center"/>
                    <w:rPr>
                      <w:lang w:eastAsia="en-US"/>
                    </w:rPr>
                  </w:pPr>
                  <w:r>
                    <w:rPr>
                      <w:lang w:eastAsia="en-US"/>
                    </w:rPr>
                    <w:t>采区宽度</w:t>
                  </w:r>
                </w:p>
              </w:tc>
              <w:tc>
                <w:tcPr>
                  <w:tcW w:w="1515" w:type="dxa"/>
                  <w:shd w:val="clear" w:color="auto" w:fill="auto"/>
                  <w:vAlign w:val="center"/>
                </w:tcPr>
                <w:p>
                  <w:pPr>
                    <w:pStyle w:val="33"/>
                    <w:spacing w:line="360" w:lineRule="exact"/>
                    <w:jc w:val="center"/>
                    <w:rPr>
                      <w:lang w:eastAsia="en-US"/>
                    </w:rPr>
                  </w:pPr>
                  <w:r>
                    <w:rPr>
                      <w:lang w:eastAsia="en-US"/>
                    </w:rPr>
                    <w:t>m</w:t>
                  </w:r>
                </w:p>
              </w:tc>
              <w:tc>
                <w:tcPr>
                  <w:tcW w:w="1988" w:type="dxa"/>
                  <w:shd w:val="clear" w:color="auto" w:fill="auto"/>
                  <w:vAlign w:val="center"/>
                </w:tcPr>
                <w:p>
                  <w:pPr>
                    <w:pStyle w:val="33"/>
                    <w:spacing w:line="360" w:lineRule="exact"/>
                    <w:jc w:val="center"/>
                    <w:rPr>
                      <w:lang w:eastAsia="en-US"/>
                    </w:rPr>
                  </w:pPr>
                  <w:r>
                    <w:rPr>
                      <w:lang w:eastAsia="en-US"/>
                    </w:rPr>
                    <w:t>240～305</w:t>
                  </w:r>
                </w:p>
              </w:tc>
              <w:tc>
                <w:tcPr>
                  <w:tcW w:w="1771" w:type="dxa"/>
                  <w:shd w:val="clear" w:color="auto" w:fill="auto"/>
                  <w:vAlign w:val="center"/>
                </w:tcPr>
                <w:p>
                  <w:pPr>
                    <w:pStyle w:val="33"/>
                    <w:spacing w:line="360" w:lineRule="exact"/>
                    <w:jc w:val="center"/>
                    <w:rPr>
                      <w:lang w:eastAsia="en-US"/>
                    </w:rPr>
                  </w:pPr>
                  <w:r>
                    <w:rPr>
                      <w:lang w:eastAsia="en-US"/>
                    </w:rPr>
                    <w:t>160～240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shd w:val="clear" w:color="auto" w:fill="auto"/>
                  <w:vAlign w:val="center"/>
                </w:tcPr>
                <w:p>
                  <w:pPr>
                    <w:pStyle w:val="33"/>
                    <w:spacing w:line="360" w:lineRule="exact"/>
                    <w:jc w:val="center"/>
                    <w:rPr>
                      <w:lang w:eastAsia="en-US"/>
                    </w:rPr>
                  </w:pPr>
                  <w:r>
                    <w:rPr>
                      <w:lang w:eastAsia="en-US"/>
                    </w:rPr>
                    <w:t>3</w:t>
                  </w:r>
                </w:p>
              </w:tc>
              <w:tc>
                <w:tcPr>
                  <w:tcW w:w="1908" w:type="dxa"/>
                  <w:shd w:val="clear" w:color="auto" w:fill="auto"/>
                  <w:vAlign w:val="center"/>
                </w:tcPr>
                <w:p>
                  <w:pPr>
                    <w:pStyle w:val="33"/>
                    <w:spacing w:line="360" w:lineRule="exact"/>
                    <w:jc w:val="center"/>
                    <w:rPr>
                      <w:lang w:eastAsia="en-US"/>
                    </w:rPr>
                  </w:pPr>
                  <w:r>
                    <w:rPr>
                      <w:lang w:eastAsia="en-US"/>
                    </w:rPr>
                    <w:t>采区面积</w:t>
                  </w:r>
                </w:p>
              </w:tc>
              <w:tc>
                <w:tcPr>
                  <w:tcW w:w="1515" w:type="dxa"/>
                  <w:shd w:val="clear" w:color="auto" w:fill="auto"/>
                  <w:vAlign w:val="center"/>
                </w:tcPr>
                <w:p>
                  <w:pPr>
                    <w:pStyle w:val="33"/>
                    <w:spacing w:line="360" w:lineRule="exact"/>
                    <w:jc w:val="center"/>
                    <w:rPr>
                      <w:lang w:eastAsia="en-US"/>
                    </w:rPr>
                  </w:pPr>
                  <w:r>
                    <w:rPr>
                      <w:lang w:eastAsia="en-US"/>
                    </w:rPr>
                    <w:t>Km</w:t>
                  </w:r>
                  <w:r>
                    <w:rPr>
                      <w:vertAlign w:val="superscript"/>
                      <w:lang w:eastAsia="en-US"/>
                    </w:rPr>
                    <w:t>2</w:t>
                  </w:r>
                </w:p>
              </w:tc>
              <w:tc>
                <w:tcPr>
                  <w:tcW w:w="1988" w:type="dxa"/>
                  <w:shd w:val="clear" w:color="auto" w:fill="auto"/>
                  <w:vAlign w:val="center"/>
                </w:tcPr>
                <w:p>
                  <w:pPr>
                    <w:pStyle w:val="33"/>
                    <w:spacing w:line="360" w:lineRule="exact"/>
                    <w:jc w:val="center"/>
                    <w:rPr>
                      <w:lang w:eastAsia="en-US"/>
                    </w:rPr>
                  </w:pPr>
                  <w:r>
                    <w:rPr>
                      <w:lang w:eastAsia="en-US"/>
                    </w:rPr>
                    <w:t>0.1743</w:t>
                  </w:r>
                </w:p>
              </w:tc>
              <w:tc>
                <w:tcPr>
                  <w:tcW w:w="1771" w:type="dxa"/>
                  <w:shd w:val="clear" w:color="auto" w:fill="auto"/>
                  <w:vAlign w:val="center"/>
                </w:tcPr>
                <w:p>
                  <w:pPr>
                    <w:pStyle w:val="33"/>
                    <w:spacing w:line="360" w:lineRule="exact"/>
                    <w:jc w:val="center"/>
                    <w:rPr>
                      <w:lang w:eastAsia="en-US"/>
                    </w:rPr>
                  </w:pPr>
                  <w:r>
                    <w:rPr>
                      <w:lang w:eastAsia="en-US"/>
                    </w:rPr>
                    <w:t>0.1348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shd w:val="clear" w:color="auto" w:fill="auto"/>
                  <w:vAlign w:val="center"/>
                </w:tcPr>
                <w:p>
                  <w:pPr>
                    <w:pStyle w:val="33"/>
                    <w:spacing w:line="360" w:lineRule="exact"/>
                    <w:jc w:val="center"/>
                    <w:rPr>
                      <w:lang w:eastAsia="en-US"/>
                    </w:rPr>
                  </w:pPr>
                  <w:r>
                    <w:rPr>
                      <w:lang w:eastAsia="en-US"/>
                    </w:rPr>
                    <w:t>4</w:t>
                  </w:r>
                </w:p>
              </w:tc>
              <w:tc>
                <w:tcPr>
                  <w:tcW w:w="1908" w:type="dxa"/>
                  <w:shd w:val="clear" w:color="auto" w:fill="auto"/>
                  <w:vAlign w:val="center"/>
                </w:tcPr>
                <w:p>
                  <w:pPr>
                    <w:pStyle w:val="33"/>
                    <w:spacing w:line="360" w:lineRule="exact"/>
                    <w:jc w:val="center"/>
                    <w:rPr>
                      <w:lang w:eastAsia="en-US"/>
                    </w:rPr>
                  </w:pPr>
                  <w:r>
                    <w:rPr>
                      <w:lang w:eastAsia="en-US"/>
                    </w:rPr>
                    <w:t>可采储量</w:t>
                  </w:r>
                </w:p>
              </w:tc>
              <w:tc>
                <w:tcPr>
                  <w:tcW w:w="1515" w:type="dxa"/>
                  <w:shd w:val="clear" w:color="auto" w:fill="auto"/>
                  <w:vAlign w:val="center"/>
                </w:tcPr>
                <w:p>
                  <w:pPr>
                    <w:pStyle w:val="33"/>
                    <w:spacing w:line="360" w:lineRule="exact"/>
                    <w:jc w:val="center"/>
                    <w:rPr>
                      <w:lang w:eastAsia="en-US"/>
                    </w:rPr>
                  </w:pPr>
                  <w:r>
                    <w:rPr>
                      <w:lang w:eastAsia="en-US"/>
                    </w:rPr>
                    <w:t>万t</w:t>
                  </w:r>
                </w:p>
              </w:tc>
              <w:tc>
                <w:tcPr>
                  <w:tcW w:w="1988" w:type="dxa"/>
                  <w:shd w:val="clear" w:color="auto" w:fill="auto"/>
                  <w:vAlign w:val="center"/>
                </w:tcPr>
                <w:p>
                  <w:pPr>
                    <w:pStyle w:val="33"/>
                    <w:spacing w:line="360" w:lineRule="exact"/>
                    <w:jc w:val="center"/>
                    <w:rPr>
                      <w:lang w:eastAsia="en-US"/>
                    </w:rPr>
                  </w:pPr>
                  <w:r>
                    <w:rPr>
                      <w:lang w:eastAsia="en-US"/>
                    </w:rPr>
                    <w:t>117.22</w:t>
                  </w:r>
                </w:p>
              </w:tc>
              <w:tc>
                <w:tcPr>
                  <w:tcW w:w="1771" w:type="dxa"/>
                  <w:shd w:val="clear" w:color="auto" w:fill="auto"/>
                  <w:vAlign w:val="center"/>
                </w:tcPr>
                <w:p>
                  <w:pPr>
                    <w:pStyle w:val="33"/>
                    <w:spacing w:line="360" w:lineRule="exact"/>
                    <w:jc w:val="center"/>
                    <w:rPr>
                      <w:lang w:eastAsia="en-US"/>
                    </w:rPr>
                  </w:pPr>
                  <w:r>
                    <w:rPr>
                      <w:lang w:eastAsia="en-US"/>
                    </w:rPr>
                    <w:t>142.89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shd w:val="clear" w:color="auto" w:fill="auto"/>
                  <w:vAlign w:val="center"/>
                </w:tcPr>
                <w:p>
                  <w:pPr>
                    <w:pStyle w:val="33"/>
                    <w:spacing w:line="360" w:lineRule="exact"/>
                    <w:jc w:val="center"/>
                    <w:rPr>
                      <w:lang w:eastAsia="en-US"/>
                    </w:rPr>
                  </w:pPr>
                  <w:r>
                    <w:rPr>
                      <w:lang w:eastAsia="en-US"/>
                    </w:rPr>
                    <w:t>5</w:t>
                  </w:r>
                </w:p>
              </w:tc>
              <w:tc>
                <w:tcPr>
                  <w:tcW w:w="1908" w:type="dxa"/>
                  <w:shd w:val="clear" w:color="auto" w:fill="auto"/>
                  <w:vAlign w:val="center"/>
                </w:tcPr>
                <w:p>
                  <w:pPr>
                    <w:pStyle w:val="33"/>
                    <w:spacing w:line="360" w:lineRule="exact"/>
                    <w:jc w:val="center"/>
                    <w:rPr>
                      <w:lang w:eastAsia="en-US"/>
                    </w:rPr>
                  </w:pPr>
                  <w:r>
                    <w:rPr>
                      <w:lang w:eastAsia="en-US"/>
                    </w:rPr>
                    <w:t>可采原矿量</w:t>
                  </w:r>
                </w:p>
              </w:tc>
              <w:tc>
                <w:tcPr>
                  <w:tcW w:w="1515" w:type="dxa"/>
                  <w:shd w:val="clear" w:color="auto" w:fill="auto"/>
                  <w:vAlign w:val="center"/>
                </w:tcPr>
                <w:p>
                  <w:pPr>
                    <w:pStyle w:val="33"/>
                    <w:spacing w:line="360" w:lineRule="exact"/>
                    <w:jc w:val="center"/>
                    <w:rPr>
                      <w:lang w:eastAsia="en-US"/>
                    </w:rPr>
                  </w:pPr>
                  <w:r>
                    <w:rPr>
                      <w:lang w:eastAsia="en-US"/>
                    </w:rPr>
                    <w:t>万t</w:t>
                  </w:r>
                </w:p>
              </w:tc>
              <w:tc>
                <w:tcPr>
                  <w:tcW w:w="1988" w:type="dxa"/>
                  <w:shd w:val="clear" w:color="auto" w:fill="auto"/>
                  <w:vAlign w:val="center"/>
                </w:tcPr>
                <w:p>
                  <w:pPr>
                    <w:pStyle w:val="33"/>
                    <w:spacing w:line="360" w:lineRule="exact"/>
                    <w:jc w:val="center"/>
                    <w:rPr>
                      <w:lang w:eastAsia="en-US"/>
                    </w:rPr>
                  </w:pPr>
                  <w:r>
                    <w:rPr>
                      <w:lang w:eastAsia="en-US"/>
                    </w:rPr>
                    <w:t>123.73</w:t>
                  </w:r>
                </w:p>
              </w:tc>
              <w:tc>
                <w:tcPr>
                  <w:tcW w:w="1771" w:type="dxa"/>
                  <w:shd w:val="clear" w:color="auto" w:fill="auto"/>
                  <w:vAlign w:val="center"/>
                </w:tcPr>
                <w:p>
                  <w:pPr>
                    <w:pStyle w:val="33"/>
                    <w:spacing w:line="360" w:lineRule="exact"/>
                    <w:jc w:val="center"/>
                    <w:rPr>
                      <w:lang w:eastAsia="en-US"/>
                    </w:rPr>
                  </w:pPr>
                  <w:r>
                    <w:rPr>
                      <w:lang w:eastAsia="en-US"/>
                    </w:rPr>
                    <w:t>150.83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vMerge w:val="restart"/>
                  <w:shd w:val="clear" w:color="auto" w:fill="auto"/>
                  <w:vAlign w:val="center"/>
                </w:tcPr>
                <w:p>
                  <w:pPr>
                    <w:pStyle w:val="33"/>
                    <w:spacing w:line="360" w:lineRule="exact"/>
                    <w:jc w:val="center"/>
                    <w:rPr>
                      <w:lang w:eastAsia="en-US"/>
                    </w:rPr>
                  </w:pPr>
                  <w:r>
                    <w:rPr>
                      <w:lang w:eastAsia="en-US"/>
                    </w:rPr>
                    <w:t>6</w:t>
                  </w:r>
                </w:p>
              </w:tc>
              <w:tc>
                <w:tcPr>
                  <w:tcW w:w="1908" w:type="dxa"/>
                  <w:shd w:val="clear" w:color="auto" w:fill="auto"/>
                  <w:vAlign w:val="center"/>
                </w:tcPr>
                <w:p>
                  <w:pPr>
                    <w:pStyle w:val="33"/>
                    <w:spacing w:line="360" w:lineRule="exact"/>
                    <w:jc w:val="center"/>
                    <w:rPr>
                      <w:lang w:eastAsia="en-US"/>
                    </w:rPr>
                  </w:pPr>
                  <w:r>
                    <w:rPr>
                      <w:lang w:eastAsia="en-US"/>
                    </w:rPr>
                    <w:t>剥离总量</w:t>
                  </w:r>
                </w:p>
              </w:tc>
              <w:tc>
                <w:tcPr>
                  <w:tcW w:w="1515" w:type="dxa"/>
                  <w:shd w:val="clear" w:color="auto" w:fill="auto"/>
                  <w:vAlign w:val="center"/>
                </w:tcPr>
                <w:p>
                  <w:pPr>
                    <w:pStyle w:val="33"/>
                    <w:spacing w:line="360" w:lineRule="exact"/>
                    <w:jc w:val="center"/>
                    <w:rPr>
                      <w:lang w:eastAsia="en-US"/>
                    </w:rPr>
                  </w:pPr>
                  <w:r>
                    <w:rPr>
                      <w:lang w:eastAsia="en-US"/>
                    </w:rPr>
                    <w:t>万m³</w:t>
                  </w:r>
                </w:p>
              </w:tc>
              <w:tc>
                <w:tcPr>
                  <w:tcW w:w="1988" w:type="dxa"/>
                  <w:shd w:val="clear" w:color="auto" w:fill="auto"/>
                  <w:vAlign w:val="center"/>
                </w:tcPr>
                <w:p>
                  <w:pPr>
                    <w:pStyle w:val="33"/>
                    <w:spacing w:line="360" w:lineRule="exact"/>
                    <w:jc w:val="center"/>
                    <w:rPr>
                      <w:lang w:eastAsia="en-US"/>
                    </w:rPr>
                  </w:pPr>
                  <w:r>
                    <w:rPr>
                      <w:lang w:eastAsia="en-US"/>
                    </w:rPr>
                    <w:t>1019.42</w:t>
                  </w:r>
                </w:p>
              </w:tc>
              <w:tc>
                <w:tcPr>
                  <w:tcW w:w="1771" w:type="dxa"/>
                  <w:shd w:val="clear" w:color="auto" w:fill="auto"/>
                  <w:vAlign w:val="center"/>
                </w:tcPr>
                <w:p>
                  <w:pPr>
                    <w:pStyle w:val="33"/>
                    <w:spacing w:line="360" w:lineRule="exact"/>
                    <w:jc w:val="center"/>
                    <w:rPr>
                      <w:lang w:eastAsia="en-US"/>
                    </w:rPr>
                  </w:pPr>
                  <w:r>
                    <w:rPr>
                      <w:lang w:eastAsia="en-US"/>
                    </w:rPr>
                    <w:t>867.87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1358" w:type="dxa"/>
                  <w:vMerge w:val="continue"/>
                  <w:shd w:val="clear" w:color="auto" w:fill="auto"/>
                  <w:vAlign w:val="center"/>
                </w:tcPr>
                <w:p>
                  <w:pPr>
                    <w:autoSpaceDE w:val="0"/>
                    <w:autoSpaceDN w:val="0"/>
                    <w:spacing w:line="360" w:lineRule="exact"/>
                    <w:jc w:val="center"/>
                    <w:rPr>
                      <w:szCs w:val="2"/>
                      <w:lang w:eastAsia="en-US"/>
                    </w:rPr>
                  </w:pPr>
                </w:p>
              </w:tc>
              <w:tc>
                <w:tcPr>
                  <w:tcW w:w="1908" w:type="dxa"/>
                  <w:shd w:val="clear" w:color="auto" w:fill="auto"/>
                  <w:vAlign w:val="center"/>
                </w:tcPr>
                <w:p>
                  <w:pPr>
                    <w:pStyle w:val="33"/>
                    <w:spacing w:line="360" w:lineRule="exact"/>
                    <w:jc w:val="center"/>
                    <w:rPr>
                      <w:lang w:eastAsia="en-US"/>
                    </w:rPr>
                  </w:pPr>
                  <w:r>
                    <w:rPr>
                      <w:lang w:eastAsia="en-US"/>
                    </w:rPr>
                    <w:t>土</w:t>
                  </w:r>
                </w:p>
              </w:tc>
              <w:tc>
                <w:tcPr>
                  <w:tcW w:w="1515" w:type="dxa"/>
                  <w:shd w:val="clear" w:color="auto" w:fill="auto"/>
                  <w:vAlign w:val="center"/>
                </w:tcPr>
                <w:p>
                  <w:pPr>
                    <w:pStyle w:val="33"/>
                    <w:spacing w:line="360" w:lineRule="exact"/>
                    <w:jc w:val="center"/>
                    <w:rPr>
                      <w:lang w:eastAsia="en-US"/>
                    </w:rPr>
                  </w:pPr>
                  <w:r>
                    <w:rPr>
                      <w:lang w:eastAsia="en-US"/>
                    </w:rPr>
                    <w:t>万m³</w:t>
                  </w:r>
                </w:p>
              </w:tc>
              <w:tc>
                <w:tcPr>
                  <w:tcW w:w="1988" w:type="dxa"/>
                  <w:shd w:val="clear" w:color="auto" w:fill="auto"/>
                  <w:vAlign w:val="center"/>
                </w:tcPr>
                <w:p>
                  <w:pPr>
                    <w:pStyle w:val="33"/>
                    <w:spacing w:line="360" w:lineRule="exact"/>
                    <w:jc w:val="center"/>
                    <w:rPr>
                      <w:lang w:eastAsia="en-US"/>
                    </w:rPr>
                  </w:pPr>
                  <w:r>
                    <w:rPr>
                      <w:lang w:eastAsia="en-US"/>
                    </w:rPr>
                    <w:t>5.31</w:t>
                  </w:r>
                </w:p>
              </w:tc>
              <w:tc>
                <w:tcPr>
                  <w:tcW w:w="1771" w:type="dxa"/>
                  <w:shd w:val="clear" w:color="auto" w:fill="auto"/>
                  <w:vAlign w:val="center"/>
                </w:tcPr>
                <w:p>
                  <w:pPr>
                    <w:pStyle w:val="33"/>
                    <w:spacing w:line="360" w:lineRule="exact"/>
                    <w:jc w:val="center"/>
                    <w:rPr>
                      <w:lang w:eastAsia="en-US"/>
                    </w:rPr>
                  </w:pPr>
                  <w:r>
                    <w:rPr>
                      <w:lang w:eastAsia="en-US"/>
                    </w:rPr>
                    <w:t>9.47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1358" w:type="dxa"/>
                  <w:vMerge w:val="continue"/>
                  <w:shd w:val="clear" w:color="auto" w:fill="auto"/>
                  <w:vAlign w:val="center"/>
                </w:tcPr>
                <w:p>
                  <w:pPr>
                    <w:autoSpaceDE w:val="0"/>
                    <w:autoSpaceDN w:val="0"/>
                    <w:spacing w:line="360" w:lineRule="exact"/>
                    <w:jc w:val="center"/>
                    <w:rPr>
                      <w:szCs w:val="2"/>
                      <w:lang w:eastAsia="en-US"/>
                    </w:rPr>
                  </w:pPr>
                </w:p>
              </w:tc>
              <w:tc>
                <w:tcPr>
                  <w:tcW w:w="1908" w:type="dxa"/>
                  <w:shd w:val="clear" w:color="auto" w:fill="auto"/>
                  <w:vAlign w:val="center"/>
                </w:tcPr>
                <w:p>
                  <w:pPr>
                    <w:pStyle w:val="33"/>
                    <w:spacing w:line="360" w:lineRule="exact"/>
                    <w:jc w:val="center"/>
                    <w:rPr>
                      <w:lang w:eastAsia="en-US"/>
                    </w:rPr>
                  </w:pPr>
                  <w:r>
                    <w:rPr>
                      <w:lang w:eastAsia="en-US"/>
                    </w:rPr>
                    <w:t>岩</w:t>
                  </w:r>
                </w:p>
              </w:tc>
              <w:tc>
                <w:tcPr>
                  <w:tcW w:w="1515" w:type="dxa"/>
                  <w:shd w:val="clear" w:color="auto" w:fill="auto"/>
                  <w:vAlign w:val="center"/>
                </w:tcPr>
                <w:p>
                  <w:pPr>
                    <w:pStyle w:val="33"/>
                    <w:spacing w:line="360" w:lineRule="exact"/>
                    <w:jc w:val="center"/>
                    <w:rPr>
                      <w:lang w:eastAsia="en-US"/>
                    </w:rPr>
                  </w:pPr>
                  <w:r>
                    <w:rPr>
                      <w:lang w:eastAsia="en-US"/>
                    </w:rPr>
                    <w:t>万m</w:t>
                  </w:r>
                  <w:r>
                    <w:rPr>
                      <w:vertAlign w:val="superscript"/>
                      <w:lang w:eastAsia="en-US"/>
                    </w:rPr>
                    <w:t>3</w:t>
                  </w:r>
                </w:p>
              </w:tc>
              <w:tc>
                <w:tcPr>
                  <w:tcW w:w="1988" w:type="dxa"/>
                  <w:shd w:val="clear" w:color="auto" w:fill="auto"/>
                  <w:vAlign w:val="center"/>
                </w:tcPr>
                <w:p>
                  <w:pPr>
                    <w:pStyle w:val="33"/>
                    <w:spacing w:line="360" w:lineRule="exact"/>
                    <w:jc w:val="center"/>
                    <w:rPr>
                      <w:lang w:eastAsia="en-US"/>
                    </w:rPr>
                  </w:pPr>
                  <w:r>
                    <w:rPr>
                      <w:lang w:eastAsia="en-US"/>
                    </w:rPr>
                    <w:t>1014.11</w:t>
                  </w:r>
                </w:p>
              </w:tc>
              <w:tc>
                <w:tcPr>
                  <w:tcW w:w="1771" w:type="dxa"/>
                  <w:shd w:val="clear" w:color="auto" w:fill="auto"/>
                  <w:vAlign w:val="center"/>
                </w:tcPr>
                <w:p>
                  <w:pPr>
                    <w:pStyle w:val="33"/>
                    <w:spacing w:line="360" w:lineRule="exact"/>
                    <w:jc w:val="center"/>
                    <w:rPr>
                      <w:lang w:eastAsia="en-US"/>
                    </w:rPr>
                  </w:pPr>
                  <w:r>
                    <w:rPr>
                      <w:lang w:eastAsia="en-US"/>
                    </w:rPr>
                    <w:t>858.4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shd w:val="clear" w:color="auto" w:fill="auto"/>
                  <w:vAlign w:val="center"/>
                </w:tcPr>
                <w:p>
                  <w:pPr>
                    <w:pStyle w:val="33"/>
                    <w:spacing w:line="360" w:lineRule="exact"/>
                    <w:jc w:val="center"/>
                    <w:rPr>
                      <w:lang w:eastAsia="en-US"/>
                    </w:rPr>
                  </w:pPr>
                  <w:r>
                    <w:rPr>
                      <w:lang w:eastAsia="en-US"/>
                    </w:rPr>
                    <w:t>7</w:t>
                  </w:r>
                </w:p>
              </w:tc>
              <w:tc>
                <w:tcPr>
                  <w:tcW w:w="1908" w:type="dxa"/>
                  <w:shd w:val="clear" w:color="auto" w:fill="auto"/>
                  <w:vAlign w:val="center"/>
                </w:tcPr>
                <w:p>
                  <w:pPr>
                    <w:pStyle w:val="33"/>
                    <w:spacing w:line="360" w:lineRule="exact"/>
                    <w:jc w:val="center"/>
                    <w:rPr>
                      <w:lang w:eastAsia="en-US"/>
                    </w:rPr>
                  </w:pPr>
                  <w:r>
                    <w:rPr>
                      <w:lang w:eastAsia="en-US"/>
                    </w:rPr>
                    <w:t>平均剥采比</w:t>
                  </w:r>
                </w:p>
              </w:tc>
              <w:tc>
                <w:tcPr>
                  <w:tcW w:w="1515" w:type="dxa"/>
                  <w:shd w:val="clear" w:color="auto" w:fill="auto"/>
                  <w:vAlign w:val="center"/>
                </w:tcPr>
                <w:p>
                  <w:pPr>
                    <w:pStyle w:val="33"/>
                    <w:spacing w:line="360" w:lineRule="exact"/>
                    <w:jc w:val="center"/>
                    <w:rPr>
                      <w:lang w:eastAsia="en-US"/>
                    </w:rPr>
                  </w:pPr>
                  <w:r>
                    <w:rPr>
                      <w:lang w:eastAsia="en-US"/>
                    </w:rPr>
                    <w:t>m</w:t>
                  </w:r>
                  <w:r>
                    <w:rPr>
                      <w:vertAlign w:val="superscript"/>
                      <w:lang w:eastAsia="en-US"/>
                    </w:rPr>
                    <w:t>3</w:t>
                  </w:r>
                  <w:r>
                    <w:rPr>
                      <w:lang w:eastAsia="en-US"/>
                    </w:rPr>
                    <w:t>/t</w:t>
                  </w:r>
                </w:p>
              </w:tc>
              <w:tc>
                <w:tcPr>
                  <w:tcW w:w="1988" w:type="dxa"/>
                  <w:shd w:val="clear" w:color="auto" w:fill="auto"/>
                  <w:vAlign w:val="center"/>
                </w:tcPr>
                <w:p>
                  <w:pPr>
                    <w:pStyle w:val="33"/>
                    <w:spacing w:line="360" w:lineRule="exact"/>
                    <w:jc w:val="center"/>
                    <w:rPr>
                      <w:lang w:eastAsia="en-US"/>
                    </w:rPr>
                  </w:pPr>
                  <w:r>
                    <w:rPr>
                      <w:lang w:eastAsia="en-US"/>
                    </w:rPr>
                    <w:t>8.7</w:t>
                  </w:r>
                </w:p>
              </w:tc>
              <w:tc>
                <w:tcPr>
                  <w:tcW w:w="1771" w:type="dxa"/>
                  <w:shd w:val="clear" w:color="auto" w:fill="auto"/>
                  <w:vAlign w:val="center"/>
                </w:tcPr>
                <w:p>
                  <w:pPr>
                    <w:pStyle w:val="33"/>
                    <w:spacing w:line="360" w:lineRule="exact"/>
                    <w:jc w:val="center"/>
                    <w:rPr>
                      <w:lang w:eastAsia="en-US"/>
                    </w:rPr>
                  </w:pPr>
                  <w:r>
                    <w:rPr>
                      <w:lang w:eastAsia="en-US"/>
                    </w:rPr>
                    <w:t>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358" w:type="dxa"/>
                  <w:shd w:val="clear" w:color="auto" w:fill="auto"/>
                  <w:vAlign w:val="center"/>
                </w:tcPr>
                <w:p>
                  <w:pPr>
                    <w:pStyle w:val="33"/>
                    <w:spacing w:line="360" w:lineRule="exact"/>
                    <w:jc w:val="center"/>
                    <w:rPr>
                      <w:lang w:eastAsia="en-US"/>
                    </w:rPr>
                  </w:pPr>
                  <w:r>
                    <w:rPr>
                      <w:lang w:eastAsia="en-US"/>
                    </w:rPr>
                    <w:t>8</w:t>
                  </w:r>
                </w:p>
              </w:tc>
              <w:tc>
                <w:tcPr>
                  <w:tcW w:w="1908" w:type="dxa"/>
                  <w:shd w:val="clear" w:color="auto" w:fill="auto"/>
                  <w:vAlign w:val="center"/>
                </w:tcPr>
                <w:p>
                  <w:pPr>
                    <w:pStyle w:val="33"/>
                    <w:spacing w:line="360" w:lineRule="exact"/>
                    <w:jc w:val="center"/>
                    <w:rPr>
                      <w:lang w:eastAsia="en-US"/>
                    </w:rPr>
                  </w:pPr>
                  <w:r>
                    <w:rPr>
                      <w:lang w:eastAsia="en-US"/>
                    </w:rPr>
                    <w:t>设计服务年限</w:t>
                  </w:r>
                </w:p>
              </w:tc>
              <w:tc>
                <w:tcPr>
                  <w:tcW w:w="1515" w:type="dxa"/>
                  <w:shd w:val="clear" w:color="auto" w:fill="auto"/>
                  <w:vAlign w:val="center"/>
                </w:tcPr>
                <w:p>
                  <w:pPr>
                    <w:pStyle w:val="33"/>
                    <w:spacing w:line="360" w:lineRule="exact"/>
                    <w:jc w:val="center"/>
                    <w:rPr>
                      <w:lang w:eastAsia="en-US"/>
                    </w:rPr>
                  </w:pPr>
                  <w:r>
                    <w:rPr>
                      <w:lang w:eastAsia="en-US"/>
                    </w:rPr>
                    <w:t>a</w:t>
                  </w:r>
                </w:p>
              </w:tc>
              <w:tc>
                <w:tcPr>
                  <w:tcW w:w="1988" w:type="dxa"/>
                  <w:shd w:val="clear" w:color="auto" w:fill="auto"/>
                  <w:vAlign w:val="center"/>
                </w:tcPr>
                <w:p>
                  <w:pPr>
                    <w:pStyle w:val="33"/>
                    <w:spacing w:line="360" w:lineRule="exact"/>
                    <w:jc w:val="center"/>
                    <w:rPr>
                      <w:lang w:eastAsia="en-US"/>
                    </w:rPr>
                  </w:pPr>
                  <w:r>
                    <w:rPr>
                      <w:rFonts w:hint="eastAsia"/>
                      <w:lang w:eastAsia="en-US"/>
                    </w:rPr>
                    <w:t>2.5</w:t>
                  </w:r>
                </w:p>
              </w:tc>
              <w:tc>
                <w:tcPr>
                  <w:tcW w:w="1771" w:type="dxa"/>
                  <w:shd w:val="clear" w:color="auto" w:fill="auto"/>
                  <w:vAlign w:val="center"/>
                </w:tcPr>
                <w:p>
                  <w:pPr>
                    <w:pStyle w:val="33"/>
                    <w:spacing w:line="360" w:lineRule="exact"/>
                    <w:jc w:val="center"/>
                    <w:rPr>
                      <w:lang w:eastAsia="en-US"/>
                    </w:rPr>
                  </w:pPr>
                  <w:r>
                    <w:rPr>
                      <w:rFonts w:hint="eastAsia"/>
                      <w:lang w:eastAsia="en-US"/>
                    </w:rPr>
                    <w:t>3.0</w:t>
                  </w:r>
                </w:p>
              </w:tc>
            </w:tr>
            <w:bookmarkEnd w:id="6"/>
          </w:tbl>
          <w:p>
            <w:pPr>
              <w:spacing w:line="360" w:lineRule="auto"/>
              <w:ind w:firstLine="482" w:firstLineChars="200"/>
              <w:rPr>
                <w:rFonts w:ascii="宋体" w:hAnsi="宋体" w:cs="宋体"/>
                <w:b/>
                <w:bCs/>
                <w:sz w:val="24"/>
              </w:rPr>
            </w:pPr>
            <w:r>
              <w:rPr>
                <w:rFonts w:hint="eastAsia" w:ascii="宋体" w:hAnsi="宋体" w:cs="宋体"/>
                <w:b/>
                <w:bCs/>
                <w:sz w:val="24"/>
              </w:rPr>
              <w:t>4、开采方法</w:t>
            </w:r>
          </w:p>
          <w:p>
            <w:pPr>
              <w:pStyle w:val="47"/>
              <w:ind w:firstLine="480"/>
              <w:rPr>
                <w:color w:val="auto"/>
              </w:rPr>
            </w:pPr>
            <w:r>
              <w:rPr>
                <w:rFonts w:hint="eastAsia"/>
                <w:color w:val="auto"/>
              </w:rPr>
              <w:t>露天采矿方法为自上而下、水平分层台阶开采方法，工作线沿矿层走向布置，垂直走向由西向东推进，沿顶板露矿，由顶向底采矿，采用斗容2m</w:t>
            </w:r>
            <w:r>
              <w:rPr>
                <w:rFonts w:hint="eastAsia"/>
                <w:color w:val="auto"/>
                <w:vertAlign w:val="superscript"/>
              </w:rPr>
              <w:t>3</w:t>
            </w:r>
            <w:r>
              <w:rPr>
                <w:rFonts w:hint="eastAsia"/>
                <w:color w:val="auto"/>
              </w:rPr>
              <w:t>液压挖掘机采装，台阶高度15m，最小平盘宽度45m，矿层夹石用2m</w:t>
            </w:r>
            <w:r>
              <w:rPr>
                <w:rFonts w:hint="eastAsia"/>
                <w:color w:val="auto"/>
                <w:vertAlign w:val="superscript"/>
              </w:rPr>
              <w:t>3</w:t>
            </w:r>
            <w:r>
              <w:rPr>
                <w:rFonts w:hint="eastAsia"/>
                <w:color w:val="auto"/>
              </w:rPr>
              <w:t>型液压挖掘机选采，装载机配合处理。</w:t>
            </w:r>
          </w:p>
          <w:p>
            <w:pPr>
              <w:pStyle w:val="47"/>
              <w:ind w:firstLine="482"/>
              <w:rPr>
                <w:b/>
                <w:bCs/>
                <w:color w:val="auto"/>
              </w:rPr>
            </w:pPr>
            <w:r>
              <w:rPr>
                <w:rFonts w:hint="eastAsia"/>
                <w:b/>
                <w:bCs/>
                <w:color w:val="auto"/>
              </w:rPr>
              <w:t>5、采矿工艺</w:t>
            </w:r>
          </w:p>
          <w:p>
            <w:pPr>
              <w:pStyle w:val="47"/>
              <w:ind w:firstLine="480"/>
              <w:rPr>
                <w:color w:val="auto"/>
              </w:rPr>
            </w:pPr>
            <w:r>
              <w:rPr>
                <w:rFonts w:hint="eastAsia"/>
                <w:color w:val="auto"/>
              </w:rPr>
              <w:t>本矿山露天开采区开采工艺设计选用单斗——卡车工艺。由2m</w:t>
            </w:r>
            <w:r>
              <w:rPr>
                <w:rFonts w:hint="eastAsia"/>
                <w:color w:val="auto"/>
                <w:vertAlign w:val="superscript"/>
              </w:rPr>
              <w:t>3</w:t>
            </w:r>
            <w:r>
              <w:rPr>
                <w:rFonts w:hint="eastAsia"/>
                <w:color w:val="auto"/>
              </w:rPr>
              <w:t>单斗液压挖掘机端工作面采装作业配32t矿用自卸卡车运输。</w:t>
            </w:r>
          </w:p>
          <w:p>
            <w:pPr>
              <w:spacing w:line="360" w:lineRule="auto"/>
              <w:ind w:firstLine="482" w:firstLineChars="200"/>
              <w:rPr>
                <w:rFonts w:ascii="宋体" w:hAnsi="宋体" w:cs="宋体"/>
                <w:b/>
                <w:bCs/>
                <w:sz w:val="24"/>
              </w:rPr>
            </w:pPr>
            <w:r>
              <w:rPr>
                <w:rFonts w:hint="eastAsia" w:ascii="宋体" w:hAnsi="宋体" w:cs="宋体"/>
                <w:b/>
                <w:bCs/>
                <w:sz w:val="24"/>
              </w:rPr>
              <w:t>6、基建工程量及进度计划</w:t>
            </w:r>
          </w:p>
          <w:p>
            <w:pPr>
              <w:pStyle w:val="47"/>
              <w:ind w:firstLine="480"/>
              <w:rPr>
                <w:color w:val="auto"/>
              </w:rPr>
            </w:pPr>
            <w:r>
              <w:rPr>
                <w:rFonts w:hint="eastAsia"/>
                <w:color w:val="auto"/>
              </w:rPr>
              <w:t>基建期露天采场建设内容只包括基建平台和运矿道路的修建，根据开发利用方案设计，基建平台采用剥离→穿孔→爆破→铲装→运输→平整的施工工艺进行修建，初始时期首先从露天采区东部 16-16′勘探线附近+1550m 水平修筑至首采区+1645m水平上山道路，建立+1645m水平工作平盘，然后修筑通往首采区南侧+1620m水平表土堆放场的运输道路。移交生产时期露天首采区+1645m～+1570m 水平剥离工作面剥离的岩石由剥离平台通过各平台间的移动坑线，经首采区东南侧+1570m水平出入沟运至工业场地破碎筛分，作为建筑石料用；表土通过首采区南侧运输道路运往+1620m 水平表土堆放场临时堆放。</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ascii="宋体" w:hAnsi="宋体" w:cs="宋体"/>
                <w:color w:val="auto"/>
              </w:rPr>
              <w:t>①</w:t>
            </w:r>
            <w:r>
              <w:rPr>
                <w:rFonts w:hint="eastAsia"/>
                <w:color w:val="auto"/>
              </w:rPr>
              <w:fldChar w:fldCharType="end"/>
            </w:r>
            <w:r>
              <w:rPr>
                <w:rFonts w:hint="eastAsia"/>
                <w:color w:val="auto"/>
              </w:rPr>
              <w:t>基建剥离工程量</w:t>
            </w:r>
          </w:p>
          <w:p>
            <w:pPr>
              <w:pStyle w:val="47"/>
              <w:ind w:firstLine="480"/>
              <w:rPr>
                <w:color w:val="auto"/>
              </w:rPr>
            </w:pPr>
            <w:r>
              <w:rPr>
                <w:rFonts w:hint="eastAsia"/>
                <w:color w:val="auto"/>
              </w:rPr>
              <w:t>首采区移交水平为+1570m，基建剥离量370.14万m³，开拓及备采矿量为22.05万t。基建期主要工程量见下表。</w:t>
            </w:r>
          </w:p>
          <w:p>
            <w:pPr>
              <w:pStyle w:val="50"/>
              <w:numPr>
                <w:ilvl w:val="0"/>
                <w:numId w:val="2"/>
              </w:numPr>
              <w:snapToGrid w:val="0"/>
              <w:spacing w:line="240" w:lineRule="auto"/>
              <w:ind w:firstLineChars="0"/>
              <w:jc w:val="center"/>
              <w:rPr>
                <w:b/>
                <w:bCs/>
              </w:rPr>
            </w:pPr>
            <w:r>
              <w:rPr>
                <w:rFonts w:hint="eastAsia"/>
                <w:b/>
                <w:bCs/>
              </w:rPr>
              <w:t>杜家圈南白云岩矿基建期主要工程量表</w:t>
            </w:r>
          </w:p>
          <w:tbl>
            <w:tblPr>
              <w:tblStyle w:val="22"/>
              <w:tblW w:w="85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97"/>
              <w:gridCol w:w="2568"/>
              <w:gridCol w:w="921"/>
              <w:gridCol w:w="854"/>
              <w:gridCol w:w="34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trPr>
              <w:tc>
                <w:tcPr>
                  <w:tcW w:w="797" w:type="dxa"/>
                  <w:shd w:val="clear" w:color="auto" w:fill="auto"/>
                  <w:vAlign w:val="center"/>
                </w:tcPr>
                <w:p>
                  <w:pPr>
                    <w:spacing w:line="360" w:lineRule="exact"/>
                    <w:jc w:val="center"/>
                    <w:rPr>
                      <w:kern w:val="0"/>
                      <w:szCs w:val="20"/>
                    </w:rPr>
                  </w:pPr>
                  <w:r>
                    <w:rPr>
                      <w:rFonts w:hint="eastAsia"/>
                      <w:kern w:val="0"/>
                      <w:szCs w:val="20"/>
                    </w:rPr>
                    <w:t>序号</w:t>
                  </w:r>
                </w:p>
              </w:tc>
              <w:tc>
                <w:tcPr>
                  <w:tcW w:w="2568" w:type="dxa"/>
                  <w:shd w:val="clear" w:color="auto" w:fill="auto"/>
                  <w:vAlign w:val="center"/>
                </w:tcPr>
                <w:p>
                  <w:pPr>
                    <w:spacing w:line="360" w:lineRule="exact"/>
                    <w:jc w:val="center"/>
                    <w:rPr>
                      <w:kern w:val="0"/>
                      <w:szCs w:val="20"/>
                    </w:rPr>
                  </w:pPr>
                  <w:r>
                    <w:rPr>
                      <w:rFonts w:hint="eastAsia"/>
                      <w:kern w:val="0"/>
                      <w:szCs w:val="20"/>
                    </w:rPr>
                    <w:t>名称</w:t>
                  </w:r>
                </w:p>
              </w:tc>
              <w:tc>
                <w:tcPr>
                  <w:tcW w:w="921" w:type="dxa"/>
                  <w:shd w:val="clear" w:color="auto" w:fill="auto"/>
                  <w:vAlign w:val="center"/>
                </w:tcPr>
                <w:p>
                  <w:pPr>
                    <w:spacing w:line="360" w:lineRule="exact"/>
                    <w:jc w:val="center"/>
                    <w:rPr>
                      <w:kern w:val="0"/>
                      <w:szCs w:val="20"/>
                    </w:rPr>
                  </w:pPr>
                  <w:r>
                    <w:rPr>
                      <w:rFonts w:hint="eastAsia"/>
                      <w:kern w:val="0"/>
                      <w:szCs w:val="20"/>
                    </w:rPr>
                    <w:t>单位</w:t>
                  </w:r>
                </w:p>
              </w:tc>
              <w:tc>
                <w:tcPr>
                  <w:tcW w:w="854" w:type="dxa"/>
                  <w:shd w:val="clear" w:color="auto" w:fill="auto"/>
                  <w:vAlign w:val="center"/>
                </w:tcPr>
                <w:p>
                  <w:pPr>
                    <w:spacing w:line="360" w:lineRule="exact"/>
                    <w:jc w:val="center"/>
                    <w:rPr>
                      <w:kern w:val="0"/>
                      <w:szCs w:val="20"/>
                    </w:rPr>
                  </w:pPr>
                  <w:r>
                    <w:rPr>
                      <w:rFonts w:hint="eastAsia"/>
                      <w:kern w:val="0"/>
                      <w:szCs w:val="20"/>
                    </w:rPr>
                    <w:t>数量</w:t>
                  </w:r>
                </w:p>
              </w:tc>
              <w:tc>
                <w:tcPr>
                  <w:tcW w:w="3400" w:type="dxa"/>
                  <w:shd w:val="clear" w:color="auto" w:fill="auto"/>
                  <w:vAlign w:val="center"/>
                </w:tcPr>
                <w:p>
                  <w:pPr>
                    <w:spacing w:line="360" w:lineRule="exact"/>
                    <w:jc w:val="center"/>
                    <w:rPr>
                      <w:kern w:val="0"/>
                      <w:szCs w:val="20"/>
                    </w:rPr>
                  </w:pPr>
                  <w:r>
                    <w:rPr>
                      <w:rFonts w:hint="eastAsia"/>
                      <w:kern w:val="0"/>
                      <w:szCs w:val="20"/>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797" w:type="dxa"/>
                  <w:shd w:val="clear" w:color="auto" w:fill="auto"/>
                  <w:vAlign w:val="center"/>
                </w:tcPr>
                <w:p>
                  <w:pPr>
                    <w:spacing w:line="360" w:lineRule="exact"/>
                    <w:jc w:val="center"/>
                    <w:rPr>
                      <w:kern w:val="0"/>
                      <w:szCs w:val="20"/>
                    </w:rPr>
                  </w:pPr>
                  <w:r>
                    <w:rPr>
                      <w:rFonts w:hint="eastAsia"/>
                      <w:kern w:val="0"/>
                      <w:szCs w:val="20"/>
                    </w:rPr>
                    <w:t>一</w:t>
                  </w:r>
                </w:p>
              </w:tc>
              <w:tc>
                <w:tcPr>
                  <w:tcW w:w="2568" w:type="dxa"/>
                  <w:shd w:val="clear" w:color="auto" w:fill="auto"/>
                  <w:vAlign w:val="center"/>
                </w:tcPr>
                <w:p>
                  <w:pPr>
                    <w:spacing w:line="360" w:lineRule="exact"/>
                    <w:jc w:val="center"/>
                    <w:rPr>
                      <w:kern w:val="0"/>
                      <w:szCs w:val="20"/>
                    </w:rPr>
                  </w:pPr>
                  <w:r>
                    <w:rPr>
                      <w:rFonts w:hint="eastAsia"/>
                      <w:kern w:val="0"/>
                      <w:szCs w:val="20"/>
                    </w:rPr>
                    <w:t>采剥工程</w:t>
                  </w:r>
                </w:p>
              </w:tc>
              <w:tc>
                <w:tcPr>
                  <w:tcW w:w="921" w:type="dxa"/>
                  <w:shd w:val="clear" w:color="auto" w:fill="auto"/>
                  <w:vAlign w:val="center"/>
                </w:tcPr>
                <w:p>
                  <w:pPr>
                    <w:spacing w:line="360" w:lineRule="exact"/>
                    <w:jc w:val="center"/>
                    <w:rPr>
                      <w:kern w:val="0"/>
                      <w:szCs w:val="20"/>
                    </w:rPr>
                  </w:pPr>
                </w:p>
              </w:tc>
              <w:tc>
                <w:tcPr>
                  <w:tcW w:w="854" w:type="dxa"/>
                  <w:shd w:val="clear" w:color="auto" w:fill="auto"/>
                  <w:vAlign w:val="center"/>
                </w:tcPr>
                <w:p>
                  <w:pPr>
                    <w:spacing w:line="360" w:lineRule="exact"/>
                    <w:jc w:val="center"/>
                    <w:rPr>
                      <w:kern w:val="0"/>
                      <w:szCs w:val="20"/>
                    </w:rPr>
                  </w:pPr>
                </w:p>
              </w:tc>
              <w:tc>
                <w:tcPr>
                  <w:tcW w:w="3400" w:type="dxa"/>
                  <w:shd w:val="clear" w:color="auto" w:fill="auto"/>
                  <w:vAlign w:val="center"/>
                </w:tcPr>
                <w:p>
                  <w:pPr>
                    <w:spacing w:line="360" w:lineRule="exact"/>
                    <w:jc w:val="center"/>
                    <w:rPr>
                      <w:kern w:val="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797" w:type="dxa"/>
                  <w:shd w:val="clear" w:color="auto" w:fill="auto"/>
                  <w:vAlign w:val="center"/>
                </w:tcPr>
                <w:p>
                  <w:pPr>
                    <w:spacing w:line="360" w:lineRule="exact"/>
                    <w:jc w:val="center"/>
                    <w:rPr>
                      <w:kern w:val="0"/>
                      <w:szCs w:val="20"/>
                    </w:rPr>
                  </w:pPr>
                </w:p>
              </w:tc>
              <w:tc>
                <w:tcPr>
                  <w:tcW w:w="2568" w:type="dxa"/>
                  <w:shd w:val="clear" w:color="auto" w:fill="auto"/>
                  <w:vAlign w:val="center"/>
                </w:tcPr>
                <w:p>
                  <w:pPr>
                    <w:spacing w:line="360" w:lineRule="exact"/>
                    <w:jc w:val="center"/>
                    <w:rPr>
                      <w:kern w:val="0"/>
                      <w:szCs w:val="20"/>
                    </w:rPr>
                  </w:pPr>
                  <w:r>
                    <w:rPr>
                      <w:rFonts w:hint="eastAsia"/>
                      <w:kern w:val="0"/>
                      <w:szCs w:val="20"/>
                    </w:rPr>
                    <w:t>基建剥离量</w:t>
                  </w:r>
                </w:p>
              </w:tc>
              <w:tc>
                <w:tcPr>
                  <w:tcW w:w="921" w:type="dxa"/>
                  <w:shd w:val="clear" w:color="auto" w:fill="auto"/>
                  <w:vAlign w:val="center"/>
                </w:tcPr>
                <w:p>
                  <w:pPr>
                    <w:spacing w:line="360" w:lineRule="exact"/>
                    <w:jc w:val="center"/>
                    <w:rPr>
                      <w:kern w:val="0"/>
                      <w:szCs w:val="20"/>
                    </w:rPr>
                  </w:pPr>
                  <w:r>
                    <w:rPr>
                      <w:rFonts w:hint="eastAsia"/>
                      <w:kern w:val="0"/>
                      <w:szCs w:val="20"/>
                    </w:rPr>
                    <w:t>万m</w:t>
                  </w:r>
                  <w:r>
                    <w:rPr>
                      <w:rFonts w:hint="eastAsia"/>
                      <w:kern w:val="0"/>
                      <w:szCs w:val="20"/>
                      <w:vertAlign w:val="superscript"/>
                    </w:rPr>
                    <w:t>3</w:t>
                  </w:r>
                </w:p>
              </w:tc>
              <w:tc>
                <w:tcPr>
                  <w:tcW w:w="854" w:type="dxa"/>
                  <w:shd w:val="clear" w:color="auto" w:fill="auto"/>
                  <w:vAlign w:val="center"/>
                </w:tcPr>
                <w:p>
                  <w:pPr>
                    <w:spacing w:line="360" w:lineRule="exact"/>
                    <w:jc w:val="center"/>
                    <w:rPr>
                      <w:bCs/>
                      <w:kern w:val="0"/>
                      <w:szCs w:val="20"/>
                    </w:rPr>
                  </w:pPr>
                  <w:r>
                    <w:rPr>
                      <w:rFonts w:hint="eastAsia"/>
                      <w:bCs/>
                      <w:kern w:val="0"/>
                      <w:szCs w:val="20"/>
                    </w:rPr>
                    <w:t>370.14</w:t>
                  </w:r>
                </w:p>
              </w:tc>
              <w:tc>
                <w:tcPr>
                  <w:tcW w:w="3400" w:type="dxa"/>
                  <w:shd w:val="clear" w:color="auto" w:fill="auto"/>
                  <w:vAlign w:val="center"/>
                </w:tcPr>
                <w:p>
                  <w:pPr>
                    <w:spacing w:line="360" w:lineRule="exact"/>
                    <w:jc w:val="center"/>
                    <w:rPr>
                      <w:kern w:val="0"/>
                      <w:szCs w:val="20"/>
                    </w:rPr>
                  </w:pPr>
                  <w:r>
                    <w:rPr>
                      <w:rFonts w:hint="eastAsia"/>
                      <w:kern w:val="0"/>
                      <w:szCs w:val="20"/>
                    </w:rPr>
                    <w:t>土5.31万m³、岩364.83万m³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797" w:type="dxa"/>
                  <w:shd w:val="clear" w:color="auto" w:fill="auto"/>
                  <w:vAlign w:val="center"/>
                </w:tcPr>
                <w:p>
                  <w:pPr>
                    <w:spacing w:line="360" w:lineRule="exact"/>
                    <w:jc w:val="center"/>
                    <w:rPr>
                      <w:kern w:val="0"/>
                      <w:szCs w:val="20"/>
                    </w:rPr>
                  </w:pPr>
                  <w:r>
                    <w:rPr>
                      <w:rFonts w:hint="eastAsia"/>
                      <w:kern w:val="0"/>
                      <w:szCs w:val="20"/>
                    </w:rPr>
                    <w:t>二</w:t>
                  </w:r>
                </w:p>
              </w:tc>
              <w:tc>
                <w:tcPr>
                  <w:tcW w:w="2568" w:type="dxa"/>
                  <w:shd w:val="clear" w:color="auto" w:fill="auto"/>
                  <w:vAlign w:val="center"/>
                </w:tcPr>
                <w:p>
                  <w:pPr>
                    <w:spacing w:line="360" w:lineRule="exact"/>
                    <w:jc w:val="center"/>
                    <w:rPr>
                      <w:kern w:val="0"/>
                      <w:szCs w:val="20"/>
                    </w:rPr>
                  </w:pPr>
                  <w:r>
                    <w:rPr>
                      <w:rFonts w:hint="eastAsia"/>
                      <w:kern w:val="0"/>
                      <w:szCs w:val="20"/>
                    </w:rPr>
                    <w:t>矿岩运输工程</w:t>
                  </w:r>
                </w:p>
              </w:tc>
              <w:tc>
                <w:tcPr>
                  <w:tcW w:w="921" w:type="dxa"/>
                  <w:shd w:val="clear" w:color="auto" w:fill="auto"/>
                  <w:vAlign w:val="center"/>
                </w:tcPr>
                <w:p>
                  <w:pPr>
                    <w:spacing w:line="360" w:lineRule="exact"/>
                    <w:jc w:val="center"/>
                    <w:rPr>
                      <w:kern w:val="0"/>
                      <w:szCs w:val="20"/>
                    </w:rPr>
                  </w:pPr>
                </w:p>
              </w:tc>
              <w:tc>
                <w:tcPr>
                  <w:tcW w:w="854" w:type="dxa"/>
                  <w:shd w:val="clear" w:color="auto" w:fill="auto"/>
                  <w:vAlign w:val="center"/>
                </w:tcPr>
                <w:p>
                  <w:pPr>
                    <w:spacing w:line="360" w:lineRule="exact"/>
                    <w:jc w:val="center"/>
                    <w:rPr>
                      <w:bCs/>
                      <w:kern w:val="0"/>
                      <w:szCs w:val="20"/>
                    </w:rPr>
                  </w:pPr>
                </w:p>
              </w:tc>
              <w:tc>
                <w:tcPr>
                  <w:tcW w:w="3400" w:type="dxa"/>
                  <w:shd w:val="clear" w:color="auto" w:fill="auto"/>
                  <w:vAlign w:val="center"/>
                </w:tcPr>
                <w:p>
                  <w:pPr>
                    <w:spacing w:line="360" w:lineRule="exact"/>
                    <w:jc w:val="center"/>
                    <w:rPr>
                      <w:kern w:val="0"/>
                      <w:szCs w:val="20"/>
                    </w:rPr>
                  </w:pPr>
                  <w:r>
                    <w:rPr>
                      <w:rFonts w:hint="eastAsia"/>
                      <w:kern w:val="0"/>
                      <w:szCs w:val="20"/>
                    </w:rPr>
                    <w:t>含场地平整及泄洪沟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0" w:hRule="atLeast"/>
              </w:trPr>
              <w:tc>
                <w:tcPr>
                  <w:tcW w:w="797" w:type="dxa"/>
                  <w:shd w:val="clear" w:color="auto" w:fill="auto"/>
                  <w:vAlign w:val="center"/>
                </w:tcPr>
                <w:p>
                  <w:pPr>
                    <w:spacing w:line="360" w:lineRule="exact"/>
                    <w:jc w:val="center"/>
                    <w:rPr>
                      <w:kern w:val="0"/>
                      <w:szCs w:val="20"/>
                    </w:rPr>
                  </w:pPr>
                </w:p>
              </w:tc>
              <w:tc>
                <w:tcPr>
                  <w:tcW w:w="2568" w:type="dxa"/>
                  <w:shd w:val="clear" w:color="auto" w:fill="auto"/>
                  <w:vAlign w:val="center"/>
                </w:tcPr>
                <w:p>
                  <w:pPr>
                    <w:spacing w:line="360" w:lineRule="exact"/>
                    <w:jc w:val="center"/>
                    <w:rPr>
                      <w:kern w:val="0"/>
                      <w:szCs w:val="20"/>
                    </w:rPr>
                  </w:pPr>
                  <w:r>
                    <w:rPr>
                      <w:rFonts w:hint="eastAsia"/>
                      <w:kern w:val="0"/>
                      <w:szCs w:val="20"/>
                    </w:rPr>
                    <w:t>矿山道路</w:t>
                  </w:r>
                </w:p>
              </w:tc>
              <w:tc>
                <w:tcPr>
                  <w:tcW w:w="921" w:type="dxa"/>
                  <w:shd w:val="clear" w:color="auto" w:fill="auto"/>
                  <w:vAlign w:val="center"/>
                </w:tcPr>
                <w:p>
                  <w:pPr>
                    <w:spacing w:line="360" w:lineRule="exact"/>
                    <w:jc w:val="center"/>
                    <w:rPr>
                      <w:kern w:val="0"/>
                      <w:szCs w:val="20"/>
                    </w:rPr>
                  </w:pPr>
                  <w:r>
                    <w:rPr>
                      <w:rFonts w:hint="eastAsia"/>
                      <w:kern w:val="0"/>
                      <w:szCs w:val="20"/>
                    </w:rPr>
                    <w:t>m</w:t>
                  </w:r>
                </w:p>
              </w:tc>
              <w:tc>
                <w:tcPr>
                  <w:tcW w:w="854" w:type="dxa"/>
                  <w:shd w:val="clear" w:color="auto" w:fill="auto"/>
                  <w:vAlign w:val="center"/>
                </w:tcPr>
                <w:p>
                  <w:pPr>
                    <w:spacing w:line="360" w:lineRule="exact"/>
                    <w:jc w:val="center"/>
                    <w:rPr>
                      <w:kern w:val="0"/>
                      <w:szCs w:val="20"/>
                    </w:rPr>
                  </w:pPr>
                  <w:r>
                    <w:rPr>
                      <w:rFonts w:hint="eastAsia"/>
                      <w:kern w:val="0"/>
                      <w:szCs w:val="20"/>
                    </w:rPr>
                    <w:t>1465</w:t>
                  </w:r>
                </w:p>
              </w:tc>
              <w:tc>
                <w:tcPr>
                  <w:tcW w:w="3400" w:type="dxa"/>
                  <w:shd w:val="clear" w:color="auto" w:fill="auto"/>
                  <w:vAlign w:val="center"/>
                </w:tcPr>
                <w:p>
                  <w:pPr>
                    <w:spacing w:line="360" w:lineRule="exact"/>
                    <w:jc w:val="center"/>
                    <w:rPr>
                      <w:kern w:val="0"/>
                      <w:szCs w:val="20"/>
                    </w:rPr>
                  </w:pPr>
                  <w:r>
                    <w:rPr>
                      <w:rFonts w:hint="eastAsia"/>
                      <w:kern w:val="0"/>
                      <w:szCs w:val="20"/>
                    </w:rPr>
                    <w:t>路面宽11m，泥结碎石路面</w:t>
                  </w:r>
                </w:p>
              </w:tc>
            </w:tr>
          </w:tbl>
          <w:p>
            <w:pPr>
              <w:spacing w:line="480" w:lineRule="exact"/>
              <w:ind w:firstLine="480" w:firstLineChars="200"/>
              <w:jc w:val="left"/>
              <w:rPr>
                <w:sz w:val="24"/>
              </w:rPr>
            </w:pPr>
            <w:r>
              <w:rPr>
                <w:rFonts w:hint="eastAsia"/>
                <w:sz w:val="24"/>
              </w:rPr>
              <w:fldChar w:fldCharType="begin"/>
            </w:r>
            <w:r>
              <w:rPr>
                <w:rFonts w:hint="eastAsia"/>
                <w:sz w:val="24"/>
              </w:rPr>
              <w:instrText xml:space="preserve"> = 2 \* GB3 </w:instrText>
            </w:r>
            <w:r>
              <w:rPr>
                <w:rFonts w:hint="eastAsia"/>
                <w:sz w:val="24"/>
              </w:rPr>
              <w:fldChar w:fldCharType="separate"/>
            </w:r>
            <w:r>
              <w:rPr>
                <w:rFonts w:hint="eastAsia" w:ascii="宋体" w:hAnsi="宋体" w:cs="宋体"/>
                <w:sz w:val="24"/>
              </w:rPr>
              <w:t>②</w:t>
            </w:r>
            <w:r>
              <w:rPr>
                <w:rFonts w:hint="eastAsia"/>
                <w:sz w:val="24"/>
              </w:rPr>
              <w:fldChar w:fldCharType="end"/>
            </w:r>
            <w:r>
              <w:rPr>
                <w:rFonts w:hint="eastAsia"/>
                <w:sz w:val="24"/>
              </w:rPr>
              <w:t>建设工期</w:t>
            </w:r>
          </w:p>
          <w:p>
            <w:pPr>
              <w:spacing w:line="480" w:lineRule="exact"/>
              <w:ind w:firstLine="480" w:firstLineChars="200"/>
              <w:jc w:val="left"/>
              <w:rPr>
                <w:sz w:val="24"/>
              </w:rPr>
            </w:pPr>
            <w:r>
              <w:rPr>
                <w:rFonts w:hint="eastAsia"/>
                <w:sz w:val="24"/>
              </w:rPr>
              <w:t>杜家圈南白云岩露天矿基建工程主要包括道路工程、主要采掘运输设备及地面生产系统设备调试安装、基建剥离工程及施工准备期等，基建工期共3</w:t>
            </w:r>
            <w:r>
              <w:rPr>
                <w:sz w:val="24"/>
              </w:rPr>
              <w:t>6</w:t>
            </w:r>
            <w:r>
              <w:rPr>
                <w:rFonts w:hint="eastAsia"/>
                <w:sz w:val="24"/>
              </w:rPr>
              <w:t>个月。基建工程进度计划见下表。</w:t>
            </w:r>
          </w:p>
          <w:p>
            <w:pPr>
              <w:pStyle w:val="50"/>
              <w:numPr>
                <w:ilvl w:val="0"/>
                <w:numId w:val="2"/>
              </w:numPr>
              <w:snapToGrid w:val="0"/>
              <w:spacing w:line="240" w:lineRule="auto"/>
              <w:ind w:firstLineChars="0"/>
              <w:jc w:val="center"/>
              <w:rPr>
                <w:b/>
                <w:bCs/>
              </w:rPr>
            </w:pPr>
            <w:r>
              <w:rPr>
                <w:rFonts w:hint="eastAsia"/>
                <w:b/>
                <w:bCs/>
              </w:rPr>
              <w:t>杜家圈南白云岩露天矿基建进度计划</w:t>
            </w:r>
          </w:p>
          <w:tbl>
            <w:tblPr>
              <w:tblStyle w:val="22"/>
              <w:tblW w:w="85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770"/>
              <w:gridCol w:w="706"/>
              <w:gridCol w:w="1686"/>
              <w:gridCol w:w="804"/>
              <w:gridCol w:w="1826"/>
              <w:gridCol w:w="636"/>
              <w:gridCol w:w="1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26" w:type="dxa"/>
                  <w:shd w:val="clear" w:color="auto" w:fill="auto"/>
                  <w:vAlign w:val="center"/>
                </w:tcPr>
                <w:p>
                  <w:pPr>
                    <w:spacing w:line="360" w:lineRule="exact"/>
                    <w:jc w:val="center"/>
                    <w:rPr>
                      <w:kern w:val="0"/>
                      <w:szCs w:val="21"/>
                    </w:rPr>
                  </w:pPr>
                  <w:r>
                    <w:rPr>
                      <w:rFonts w:hint="eastAsia"/>
                      <w:kern w:val="0"/>
                      <w:szCs w:val="21"/>
                    </w:rPr>
                    <w:t>序号</w:t>
                  </w:r>
                </w:p>
              </w:tc>
              <w:tc>
                <w:tcPr>
                  <w:tcW w:w="770" w:type="dxa"/>
                  <w:shd w:val="clear" w:color="auto" w:fill="auto"/>
                  <w:vAlign w:val="center"/>
                </w:tcPr>
                <w:p>
                  <w:pPr>
                    <w:spacing w:line="360" w:lineRule="exact"/>
                    <w:jc w:val="center"/>
                    <w:rPr>
                      <w:kern w:val="0"/>
                      <w:szCs w:val="21"/>
                    </w:rPr>
                  </w:pPr>
                  <w:r>
                    <w:rPr>
                      <w:rFonts w:hint="eastAsia"/>
                      <w:kern w:val="0"/>
                      <w:szCs w:val="21"/>
                    </w:rPr>
                    <w:t>项目</w:t>
                  </w:r>
                </w:p>
              </w:tc>
              <w:tc>
                <w:tcPr>
                  <w:tcW w:w="706" w:type="dxa"/>
                  <w:shd w:val="clear" w:color="auto" w:fill="auto"/>
                  <w:vAlign w:val="center"/>
                </w:tcPr>
                <w:p>
                  <w:pPr>
                    <w:spacing w:line="360" w:lineRule="exact"/>
                    <w:jc w:val="center"/>
                    <w:rPr>
                      <w:kern w:val="0"/>
                      <w:szCs w:val="21"/>
                    </w:rPr>
                  </w:pPr>
                  <w:r>
                    <w:rPr>
                      <w:rFonts w:hint="eastAsia"/>
                      <w:kern w:val="0"/>
                      <w:szCs w:val="21"/>
                    </w:rPr>
                    <w:t>202</w:t>
                  </w:r>
                  <w:r>
                    <w:rPr>
                      <w:kern w:val="0"/>
                      <w:szCs w:val="21"/>
                    </w:rPr>
                    <w:t>3</w:t>
                  </w:r>
                  <w:r>
                    <w:rPr>
                      <w:rFonts w:hint="eastAsia"/>
                      <w:kern w:val="0"/>
                      <w:szCs w:val="21"/>
                    </w:rPr>
                    <w:t>年</w:t>
                  </w:r>
                </w:p>
                <w:p>
                  <w:pPr>
                    <w:spacing w:line="360" w:lineRule="exact"/>
                    <w:rPr>
                      <w:kern w:val="0"/>
                      <w:szCs w:val="21"/>
                    </w:rPr>
                  </w:pPr>
                  <w:r>
                    <w:rPr>
                      <w:rFonts w:hint="eastAsia"/>
                      <w:kern w:val="0"/>
                      <w:szCs w:val="21"/>
                    </w:rPr>
                    <w:t>（</w:t>
                  </w:r>
                  <w:r>
                    <w:rPr>
                      <w:kern w:val="0"/>
                      <w:szCs w:val="21"/>
                    </w:rPr>
                    <w:t>4</w:t>
                  </w:r>
                  <w:r>
                    <w:rPr>
                      <w:rFonts w:hint="eastAsia"/>
                      <w:kern w:val="0"/>
                      <w:szCs w:val="21"/>
                    </w:rPr>
                    <w:t>-</w:t>
                  </w:r>
                  <w:r>
                    <w:rPr>
                      <w:kern w:val="0"/>
                      <w:szCs w:val="21"/>
                    </w:rPr>
                    <w:t>9</w:t>
                  </w:r>
                  <w:r>
                    <w:rPr>
                      <w:rFonts w:hint="eastAsia"/>
                      <w:kern w:val="0"/>
                      <w:szCs w:val="21"/>
                    </w:rPr>
                    <w:t>月）</w:t>
                  </w:r>
                </w:p>
              </w:tc>
              <w:tc>
                <w:tcPr>
                  <w:tcW w:w="1686" w:type="dxa"/>
                  <w:shd w:val="clear" w:color="auto" w:fill="auto"/>
                  <w:vAlign w:val="center"/>
                </w:tcPr>
                <w:p>
                  <w:pPr>
                    <w:spacing w:line="360" w:lineRule="exact"/>
                    <w:jc w:val="center"/>
                    <w:rPr>
                      <w:kern w:val="0"/>
                      <w:szCs w:val="21"/>
                    </w:rPr>
                  </w:pPr>
                  <w:r>
                    <w:rPr>
                      <w:rFonts w:hint="eastAsia"/>
                      <w:kern w:val="0"/>
                      <w:szCs w:val="21"/>
                    </w:rPr>
                    <w:t>202</w:t>
                  </w:r>
                  <w:r>
                    <w:rPr>
                      <w:kern w:val="0"/>
                      <w:szCs w:val="21"/>
                    </w:rPr>
                    <w:t>3</w:t>
                  </w:r>
                  <w:r>
                    <w:rPr>
                      <w:rFonts w:hint="eastAsia"/>
                      <w:kern w:val="0"/>
                      <w:szCs w:val="21"/>
                    </w:rPr>
                    <w:t>年-</w:t>
                  </w:r>
                  <w:r>
                    <w:rPr>
                      <w:kern w:val="0"/>
                      <w:szCs w:val="21"/>
                    </w:rPr>
                    <w:t>2024</w:t>
                  </w:r>
                  <w:r>
                    <w:rPr>
                      <w:rFonts w:hint="eastAsia"/>
                      <w:kern w:val="0"/>
                      <w:szCs w:val="21"/>
                    </w:rPr>
                    <w:t>年</w:t>
                  </w:r>
                </w:p>
                <w:p>
                  <w:pPr>
                    <w:spacing w:line="360" w:lineRule="exact"/>
                    <w:jc w:val="center"/>
                    <w:rPr>
                      <w:kern w:val="0"/>
                      <w:szCs w:val="21"/>
                    </w:rPr>
                  </w:pPr>
                  <w:r>
                    <w:rPr>
                      <w:rFonts w:hint="eastAsia"/>
                      <w:kern w:val="0"/>
                      <w:szCs w:val="21"/>
                    </w:rPr>
                    <w:t>(</w:t>
                  </w:r>
                  <w:r>
                    <w:rPr>
                      <w:kern w:val="0"/>
                      <w:szCs w:val="21"/>
                    </w:rPr>
                    <w:t>2023</w:t>
                  </w:r>
                  <w:r>
                    <w:rPr>
                      <w:rFonts w:hint="eastAsia"/>
                      <w:kern w:val="0"/>
                      <w:szCs w:val="21"/>
                    </w:rPr>
                    <w:t>.1</w:t>
                  </w:r>
                  <w:r>
                    <w:rPr>
                      <w:kern w:val="0"/>
                      <w:szCs w:val="21"/>
                    </w:rPr>
                    <w:t>0-2024</w:t>
                  </w:r>
                  <w:r>
                    <w:rPr>
                      <w:rFonts w:hint="eastAsia"/>
                      <w:kern w:val="0"/>
                      <w:szCs w:val="21"/>
                    </w:rPr>
                    <w:t>.</w:t>
                  </w:r>
                  <w:r>
                    <w:rPr>
                      <w:kern w:val="0"/>
                      <w:szCs w:val="21"/>
                    </w:rPr>
                    <w:t>3</w:t>
                  </w:r>
                  <w:r>
                    <w:rPr>
                      <w:rFonts w:hint="eastAsia"/>
                      <w:kern w:val="0"/>
                      <w:szCs w:val="21"/>
                    </w:rPr>
                    <w:t>)</w:t>
                  </w:r>
                </w:p>
              </w:tc>
              <w:tc>
                <w:tcPr>
                  <w:tcW w:w="804" w:type="dxa"/>
                  <w:shd w:val="clear" w:color="auto" w:fill="auto"/>
                  <w:vAlign w:val="center"/>
                </w:tcPr>
                <w:p>
                  <w:pPr>
                    <w:spacing w:line="360" w:lineRule="exact"/>
                    <w:jc w:val="center"/>
                    <w:rPr>
                      <w:kern w:val="0"/>
                      <w:szCs w:val="21"/>
                    </w:rPr>
                  </w:pPr>
                  <w:r>
                    <w:rPr>
                      <w:rFonts w:hint="eastAsia"/>
                      <w:kern w:val="0"/>
                      <w:szCs w:val="21"/>
                    </w:rPr>
                    <w:t>202</w:t>
                  </w:r>
                  <w:r>
                    <w:rPr>
                      <w:kern w:val="0"/>
                      <w:szCs w:val="21"/>
                    </w:rPr>
                    <w:t>4</w:t>
                  </w:r>
                  <w:r>
                    <w:rPr>
                      <w:rFonts w:hint="eastAsia"/>
                      <w:kern w:val="0"/>
                      <w:szCs w:val="21"/>
                    </w:rPr>
                    <w:t>年</w:t>
                  </w:r>
                </w:p>
                <w:p>
                  <w:pPr>
                    <w:spacing w:line="360" w:lineRule="exact"/>
                    <w:jc w:val="center"/>
                    <w:rPr>
                      <w:kern w:val="0"/>
                      <w:szCs w:val="21"/>
                    </w:rPr>
                  </w:pPr>
                  <w:r>
                    <w:rPr>
                      <w:rFonts w:hint="eastAsia"/>
                      <w:kern w:val="0"/>
                      <w:szCs w:val="21"/>
                    </w:rPr>
                    <w:t>(</w:t>
                  </w:r>
                  <w:r>
                    <w:rPr>
                      <w:kern w:val="0"/>
                      <w:szCs w:val="21"/>
                    </w:rPr>
                    <w:t>4</w:t>
                  </w:r>
                  <w:r>
                    <w:rPr>
                      <w:rFonts w:hint="eastAsia"/>
                      <w:kern w:val="0"/>
                      <w:szCs w:val="21"/>
                    </w:rPr>
                    <w:t>-</w:t>
                  </w:r>
                  <w:r>
                    <w:rPr>
                      <w:kern w:val="0"/>
                      <w:szCs w:val="21"/>
                    </w:rPr>
                    <w:t>9</w:t>
                  </w:r>
                  <w:r>
                    <w:rPr>
                      <w:rFonts w:hint="eastAsia"/>
                      <w:kern w:val="0"/>
                      <w:szCs w:val="21"/>
                    </w:rPr>
                    <w:t>月)</w:t>
                  </w:r>
                </w:p>
              </w:tc>
              <w:tc>
                <w:tcPr>
                  <w:tcW w:w="1826" w:type="dxa"/>
                  <w:shd w:val="clear" w:color="auto" w:fill="auto"/>
                  <w:vAlign w:val="center"/>
                </w:tcPr>
                <w:p>
                  <w:pPr>
                    <w:spacing w:line="360" w:lineRule="exact"/>
                    <w:jc w:val="center"/>
                    <w:rPr>
                      <w:kern w:val="0"/>
                      <w:szCs w:val="21"/>
                    </w:rPr>
                  </w:pPr>
                  <w:r>
                    <w:rPr>
                      <w:rFonts w:hint="eastAsia"/>
                      <w:kern w:val="0"/>
                      <w:szCs w:val="21"/>
                    </w:rPr>
                    <w:t>202</w:t>
                  </w:r>
                  <w:r>
                    <w:rPr>
                      <w:kern w:val="0"/>
                      <w:szCs w:val="21"/>
                    </w:rPr>
                    <w:t>4</w:t>
                  </w:r>
                  <w:r>
                    <w:rPr>
                      <w:rFonts w:hint="eastAsia"/>
                      <w:kern w:val="0"/>
                      <w:szCs w:val="21"/>
                    </w:rPr>
                    <w:t>年-202</w:t>
                  </w:r>
                  <w:r>
                    <w:rPr>
                      <w:kern w:val="0"/>
                      <w:szCs w:val="21"/>
                    </w:rPr>
                    <w:t>5</w:t>
                  </w:r>
                  <w:r>
                    <w:rPr>
                      <w:rFonts w:hint="eastAsia"/>
                      <w:kern w:val="0"/>
                      <w:szCs w:val="21"/>
                    </w:rPr>
                    <w:t>年</w:t>
                  </w:r>
                </w:p>
                <w:p>
                  <w:pPr>
                    <w:spacing w:line="360" w:lineRule="exact"/>
                    <w:jc w:val="center"/>
                    <w:rPr>
                      <w:kern w:val="0"/>
                      <w:szCs w:val="21"/>
                    </w:rPr>
                  </w:pPr>
                  <w:r>
                    <w:rPr>
                      <w:rFonts w:hint="eastAsia"/>
                      <w:kern w:val="0"/>
                      <w:szCs w:val="21"/>
                    </w:rPr>
                    <w:t>(</w:t>
                  </w:r>
                  <w:r>
                    <w:rPr>
                      <w:kern w:val="0"/>
                      <w:szCs w:val="21"/>
                    </w:rPr>
                    <w:t>2024.10</w:t>
                  </w:r>
                  <w:r>
                    <w:rPr>
                      <w:rFonts w:hint="eastAsia"/>
                      <w:kern w:val="0"/>
                      <w:szCs w:val="21"/>
                    </w:rPr>
                    <w:t>-</w:t>
                  </w:r>
                  <w:r>
                    <w:rPr>
                      <w:kern w:val="0"/>
                      <w:szCs w:val="21"/>
                    </w:rPr>
                    <w:t>2025.3</w:t>
                  </w:r>
                  <w:r>
                    <w:rPr>
                      <w:rFonts w:hint="eastAsia"/>
                      <w:kern w:val="0"/>
                      <w:szCs w:val="21"/>
                    </w:rPr>
                    <w:t>）</w:t>
                  </w:r>
                </w:p>
              </w:tc>
              <w:tc>
                <w:tcPr>
                  <w:tcW w:w="636" w:type="dxa"/>
                  <w:shd w:val="clear" w:color="auto" w:fill="auto"/>
                  <w:vAlign w:val="center"/>
                </w:tcPr>
                <w:p>
                  <w:pPr>
                    <w:spacing w:line="360" w:lineRule="exact"/>
                    <w:jc w:val="center"/>
                    <w:rPr>
                      <w:kern w:val="0"/>
                      <w:szCs w:val="21"/>
                    </w:rPr>
                  </w:pPr>
                  <w:r>
                    <w:rPr>
                      <w:rFonts w:hint="eastAsia"/>
                      <w:kern w:val="0"/>
                      <w:szCs w:val="21"/>
                    </w:rPr>
                    <w:t>202</w:t>
                  </w:r>
                  <w:r>
                    <w:rPr>
                      <w:kern w:val="0"/>
                      <w:szCs w:val="21"/>
                    </w:rPr>
                    <w:t>5</w:t>
                  </w:r>
                  <w:r>
                    <w:rPr>
                      <w:rFonts w:hint="eastAsia"/>
                      <w:kern w:val="0"/>
                      <w:szCs w:val="21"/>
                    </w:rPr>
                    <w:t>年</w:t>
                  </w:r>
                </w:p>
                <w:p>
                  <w:pPr>
                    <w:spacing w:line="360" w:lineRule="exact"/>
                    <w:jc w:val="center"/>
                    <w:rPr>
                      <w:kern w:val="0"/>
                      <w:szCs w:val="21"/>
                    </w:rPr>
                  </w:pPr>
                  <w:r>
                    <w:rPr>
                      <w:rFonts w:hint="eastAsia"/>
                      <w:kern w:val="0"/>
                      <w:szCs w:val="21"/>
                    </w:rPr>
                    <w:t>(</w:t>
                  </w:r>
                  <w:r>
                    <w:rPr>
                      <w:kern w:val="0"/>
                      <w:szCs w:val="21"/>
                    </w:rPr>
                    <w:t>4</w:t>
                  </w:r>
                  <w:r>
                    <w:rPr>
                      <w:rFonts w:hint="eastAsia"/>
                      <w:kern w:val="0"/>
                      <w:szCs w:val="21"/>
                    </w:rPr>
                    <w:t>-</w:t>
                  </w:r>
                  <w:r>
                    <w:rPr>
                      <w:kern w:val="0"/>
                      <w:szCs w:val="21"/>
                    </w:rPr>
                    <w:t>9</w:t>
                  </w:r>
                  <w:r>
                    <w:rPr>
                      <w:rFonts w:hint="eastAsia"/>
                      <w:kern w:val="0"/>
                      <w:szCs w:val="21"/>
                    </w:rPr>
                    <w:t>月）</w:t>
                  </w:r>
                </w:p>
              </w:tc>
              <w:tc>
                <w:tcPr>
                  <w:tcW w:w="1686" w:type="dxa"/>
                  <w:shd w:val="clear" w:color="auto" w:fill="auto"/>
                  <w:vAlign w:val="center"/>
                </w:tcPr>
                <w:p>
                  <w:pPr>
                    <w:spacing w:line="360" w:lineRule="exact"/>
                    <w:jc w:val="center"/>
                    <w:rPr>
                      <w:kern w:val="0"/>
                      <w:szCs w:val="21"/>
                    </w:rPr>
                  </w:pPr>
                  <w:r>
                    <w:rPr>
                      <w:rFonts w:hint="eastAsia"/>
                      <w:kern w:val="0"/>
                      <w:szCs w:val="21"/>
                    </w:rPr>
                    <w:t>202</w:t>
                  </w:r>
                  <w:r>
                    <w:rPr>
                      <w:kern w:val="0"/>
                      <w:szCs w:val="21"/>
                    </w:rPr>
                    <w:t>5</w:t>
                  </w:r>
                  <w:r>
                    <w:rPr>
                      <w:rFonts w:hint="eastAsia"/>
                      <w:kern w:val="0"/>
                      <w:szCs w:val="21"/>
                    </w:rPr>
                    <w:t>年-</w:t>
                  </w:r>
                  <w:r>
                    <w:rPr>
                      <w:kern w:val="0"/>
                      <w:szCs w:val="21"/>
                    </w:rPr>
                    <w:t>2026</w:t>
                  </w:r>
                  <w:r>
                    <w:rPr>
                      <w:rFonts w:hint="eastAsia"/>
                      <w:kern w:val="0"/>
                      <w:szCs w:val="21"/>
                    </w:rPr>
                    <w:t>年</w:t>
                  </w:r>
                </w:p>
                <w:p>
                  <w:pPr>
                    <w:spacing w:line="360" w:lineRule="exact"/>
                    <w:jc w:val="center"/>
                    <w:rPr>
                      <w:kern w:val="0"/>
                      <w:szCs w:val="21"/>
                    </w:rPr>
                  </w:pPr>
                  <w:r>
                    <w:rPr>
                      <w:rFonts w:hint="eastAsia"/>
                      <w:kern w:val="0"/>
                      <w:szCs w:val="21"/>
                    </w:rPr>
                    <w:t>(</w:t>
                  </w:r>
                  <w:r>
                    <w:rPr>
                      <w:kern w:val="0"/>
                      <w:szCs w:val="21"/>
                    </w:rPr>
                    <w:t>2025.10</w:t>
                  </w:r>
                  <w:r>
                    <w:rPr>
                      <w:rFonts w:hint="eastAsia"/>
                      <w:kern w:val="0"/>
                      <w:szCs w:val="21"/>
                    </w:rPr>
                    <w:t>-</w:t>
                  </w:r>
                  <w:r>
                    <w:rPr>
                      <w:kern w:val="0"/>
                      <w:szCs w:val="21"/>
                    </w:rPr>
                    <w:t>2026.3</w:t>
                  </w: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26" w:type="dxa"/>
                  <w:shd w:val="clear" w:color="auto" w:fill="auto"/>
                  <w:vAlign w:val="center"/>
                </w:tcPr>
                <w:p>
                  <w:pPr>
                    <w:spacing w:line="360" w:lineRule="exact"/>
                    <w:jc w:val="center"/>
                    <w:rPr>
                      <w:kern w:val="0"/>
                      <w:szCs w:val="21"/>
                    </w:rPr>
                  </w:pPr>
                  <w:r>
                    <w:rPr>
                      <w:rFonts w:hint="eastAsia"/>
                      <w:kern w:val="0"/>
                      <w:szCs w:val="21"/>
                    </w:rPr>
                    <w:t>1</w:t>
                  </w:r>
                </w:p>
              </w:tc>
              <w:tc>
                <w:tcPr>
                  <w:tcW w:w="770" w:type="dxa"/>
                  <w:shd w:val="clear" w:color="auto" w:fill="auto"/>
                  <w:vAlign w:val="center"/>
                </w:tcPr>
                <w:p>
                  <w:pPr>
                    <w:spacing w:line="360" w:lineRule="exact"/>
                    <w:jc w:val="center"/>
                    <w:rPr>
                      <w:kern w:val="0"/>
                      <w:szCs w:val="21"/>
                    </w:rPr>
                  </w:pPr>
                  <w:r>
                    <w:rPr>
                      <w:rFonts w:hint="eastAsia"/>
                      <w:kern w:val="0"/>
                      <w:szCs w:val="21"/>
                    </w:rPr>
                    <w:t>初始上山道路工程</w:t>
                  </w:r>
                </w:p>
              </w:tc>
              <w:tc>
                <w:tcPr>
                  <w:tcW w:w="706" w:type="dxa"/>
                  <w:shd w:val="clear" w:color="auto" w:fill="auto"/>
                  <w:vAlign w:val="center"/>
                </w:tcPr>
                <w:p>
                  <w:pPr>
                    <w:spacing w:line="360" w:lineRule="exact"/>
                    <w:jc w:val="center"/>
                    <w:rPr>
                      <w:kern w:val="0"/>
                      <w:szCs w:val="21"/>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61595</wp:posOffset>
                            </wp:positionH>
                            <wp:positionV relativeFrom="paragraph">
                              <wp:posOffset>387350</wp:posOffset>
                            </wp:positionV>
                            <wp:extent cx="382270" cy="1905"/>
                            <wp:effectExtent l="0" t="0" r="17780" b="17145"/>
                            <wp:wrapNone/>
                            <wp:docPr id="83" name="直接箭头连接符 40"/>
                            <wp:cNvGraphicFramePr/>
                            <a:graphic xmlns:a="http://schemas.openxmlformats.org/drawingml/2006/main">
                              <a:graphicData uri="http://schemas.microsoft.com/office/word/2010/wordprocessingShape">
                                <wps:wsp>
                                  <wps:cNvCnPr>
                                    <a:cxnSpLocks noChangeShapeType="1"/>
                                  </wps:cNvCnPr>
                                  <wps:spPr bwMode="auto">
                                    <a:xfrm>
                                      <a:off x="0" y="0"/>
                                      <a:ext cx="382270" cy="1905"/>
                                    </a:xfrm>
                                    <a:prstGeom prst="straightConnector1">
                                      <a:avLst/>
                                    </a:prstGeom>
                                    <a:noFill/>
                                    <a:ln w="25400">
                                      <a:solidFill>
                                        <a:srgbClr val="000000"/>
                                      </a:solidFill>
                                      <a:round/>
                                    </a:ln>
                                    <a:effectLst/>
                                  </wps:spPr>
                                  <wps:bodyPr/>
                                </wps:wsp>
                              </a:graphicData>
                            </a:graphic>
                          </wp:anchor>
                        </w:drawing>
                      </mc:Choice>
                      <mc:Fallback>
                        <w:pict>
                          <v:shape id="直接箭头连接符 40" o:spid="_x0000_s1026" o:spt="32" type="#_x0000_t32" style="position:absolute;left:0pt;margin-left:4.85pt;margin-top:30.5pt;height:0.15pt;width:30.1pt;z-index:251670528;mso-width-relative:page;mso-height-relative:page;" filled="f" stroked="t" coordsize="21600,21600" o:gfxdata="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MMQQ0wAAAAYBAAAPAAAAAAAAAAEAIAAAACIAAABkcnMvZG93bnJldi54&#10;bWxQSwECFAAUAAAACACHTuJAuSVDAf8BAADRAwAADgAAAAAAAAABACAAAAAiAQAAZHJzL2Uyb0Rv&#10;Yy54bWxQSwUGAAAAAAYABgBZAQAAkwUAAAAA&#10;">
                            <v:fill on="f" focussize="0,0"/>
                            <v:stroke weight="2pt" color="#000000" joinstyle="round"/>
                            <v:imagedata o:title=""/>
                            <o:lock v:ext="edit" aspectratio="f"/>
                          </v:shape>
                        </w:pict>
                      </mc:Fallback>
                    </mc:AlternateContent>
                  </w:r>
                </w:p>
              </w:tc>
              <w:tc>
                <w:tcPr>
                  <w:tcW w:w="1686" w:type="dxa"/>
                  <w:shd w:val="clear" w:color="auto" w:fill="auto"/>
                  <w:vAlign w:val="center"/>
                </w:tcPr>
                <w:p>
                  <w:pPr>
                    <w:spacing w:line="360" w:lineRule="exact"/>
                    <w:jc w:val="center"/>
                    <w:rPr>
                      <w:kern w:val="0"/>
                      <w:szCs w:val="21"/>
                    </w:rPr>
                  </w:pPr>
                </w:p>
              </w:tc>
              <w:tc>
                <w:tcPr>
                  <w:tcW w:w="804" w:type="dxa"/>
                  <w:shd w:val="clear" w:color="auto" w:fill="auto"/>
                  <w:vAlign w:val="center"/>
                </w:tcPr>
                <w:p>
                  <w:pPr>
                    <w:spacing w:line="360" w:lineRule="exact"/>
                    <w:jc w:val="center"/>
                    <w:rPr>
                      <w:kern w:val="0"/>
                      <w:szCs w:val="21"/>
                    </w:rPr>
                  </w:pPr>
                </w:p>
              </w:tc>
              <w:tc>
                <w:tcPr>
                  <w:tcW w:w="1826" w:type="dxa"/>
                  <w:shd w:val="clear" w:color="auto" w:fill="auto"/>
                  <w:vAlign w:val="center"/>
                </w:tcPr>
                <w:p>
                  <w:pPr>
                    <w:spacing w:line="360" w:lineRule="exact"/>
                    <w:jc w:val="center"/>
                    <w:rPr>
                      <w:kern w:val="0"/>
                      <w:szCs w:val="21"/>
                    </w:rPr>
                  </w:pPr>
                </w:p>
              </w:tc>
              <w:tc>
                <w:tcPr>
                  <w:tcW w:w="636" w:type="dxa"/>
                  <w:shd w:val="clear" w:color="auto" w:fill="auto"/>
                  <w:vAlign w:val="center"/>
                </w:tcPr>
                <w:p>
                  <w:pPr>
                    <w:spacing w:line="360" w:lineRule="exact"/>
                    <w:jc w:val="center"/>
                    <w:rPr>
                      <w:kern w:val="0"/>
                      <w:szCs w:val="21"/>
                    </w:rPr>
                  </w:pPr>
                </w:p>
              </w:tc>
              <w:tc>
                <w:tcPr>
                  <w:tcW w:w="1686" w:type="dxa"/>
                  <w:shd w:val="clear" w:color="auto" w:fill="auto"/>
                  <w:vAlign w:val="center"/>
                </w:tcPr>
                <w:p>
                  <w:pPr>
                    <w:spacing w:line="36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26" w:type="dxa"/>
                  <w:shd w:val="clear" w:color="auto" w:fill="auto"/>
                  <w:vAlign w:val="center"/>
                </w:tcPr>
                <w:p>
                  <w:pPr>
                    <w:spacing w:line="360" w:lineRule="exact"/>
                    <w:jc w:val="center"/>
                    <w:rPr>
                      <w:kern w:val="0"/>
                      <w:szCs w:val="21"/>
                    </w:rPr>
                  </w:pPr>
                  <w:r>
                    <w:rPr>
                      <w:rFonts w:hint="eastAsia"/>
                      <w:kern w:val="0"/>
                      <w:szCs w:val="21"/>
                    </w:rPr>
                    <w:t>2</w:t>
                  </w:r>
                </w:p>
              </w:tc>
              <w:tc>
                <w:tcPr>
                  <w:tcW w:w="770" w:type="dxa"/>
                  <w:shd w:val="clear" w:color="auto" w:fill="auto"/>
                  <w:vAlign w:val="center"/>
                </w:tcPr>
                <w:p>
                  <w:pPr>
                    <w:spacing w:line="360" w:lineRule="exact"/>
                    <w:jc w:val="center"/>
                    <w:rPr>
                      <w:kern w:val="0"/>
                      <w:szCs w:val="21"/>
                    </w:rPr>
                  </w:pPr>
                  <w:r>
                    <w:rPr>
                      <w:rFonts w:hint="eastAsia"/>
                      <w:kern w:val="0"/>
                      <w:szCs w:val="21"/>
                    </w:rPr>
                    <w:t>基建剥离工程</w:t>
                  </w:r>
                </w:p>
              </w:tc>
              <w:tc>
                <w:tcPr>
                  <w:tcW w:w="706" w:type="dxa"/>
                  <w:shd w:val="clear" w:color="auto" w:fill="auto"/>
                  <w:vAlign w:val="center"/>
                </w:tcPr>
                <w:p>
                  <w:pPr>
                    <w:spacing w:line="360" w:lineRule="exact"/>
                    <w:jc w:val="center"/>
                    <w:rPr>
                      <w:kern w:val="0"/>
                      <w:szCs w:val="21"/>
                    </w:rPr>
                  </w:pPr>
                </w:p>
              </w:tc>
              <w:tc>
                <w:tcPr>
                  <w:tcW w:w="1686" w:type="dxa"/>
                  <w:shd w:val="clear" w:color="auto" w:fill="auto"/>
                  <w:vAlign w:val="center"/>
                </w:tcPr>
                <w:p>
                  <w:pPr>
                    <w:spacing w:line="360" w:lineRule="exact"/>
                    <w:jc w:val="center"/>
                    <w:rPr>
                      <w:kern w:val="0"/>
                      <w:szCs w:val="21"/>
                    </w:rPr>
                  </w:pPr>
                  <w:r>
                    <w:rPr>
                      <w:rFonts w:hint="eastAsia"/>
                    </w:rPr>
                    <mc:AlternateContent>
                      <mc:Choice Requires="wps">
                        <w:drawing>
                          <wp:anchor distT="0" distB="0" distL="114300" distR="114300" simplePos="0" relativeHeight="251666432" behindDoc="0" locked="0" layoutInCell="1" allowOverlap="1">
                            <wp:simplePos x="0" y="0"/>
                            <wp:positionH relativeFrom="column">
                              <wp:posOffset>-18415</wp:posOffset>
                            </wp:positionH>
                            <wp:positionV relativeFrom="paragraph">
                              <wp:posOffset>341630</wp:posOffset>
                            </wp:positionV>
                            <wp:extent cx="3235960" cy="0"/>
                            <wp:effectExtent l="0" t="0" r="0" b="0"/>
                            <wp:wrapNone/>
                            <wp:docPr id="82" name="直接箭头连接符 39"/>
                            <wp:cNvGraphicFramePr/>
                            <a:graphic xmlns:a="http://schemas.openxmlformats.org/drawingml/2006/main">
                              <a:graphicData uri="http://schemas.microsoft.com/office/word/2010/wordprocessingShape">
                                <wps:wsp>
                                  <wps:cNvCnPr>
                                    <a:cxnSpLocks noChangeShapeType="1"/>
                                  </wps:cNvCnPr>
                                  <wps:spPr bwMode="auto">
                                    <a:xfrm rot="10800000">
                                      <a:off x="0" y="0"/>
                                      <a:ext cx="3235960" cy="0"/>
                                    </a:xfrm>
                                    <a:prstGeom prst="straightConnector1">
                                      <a:avLst/>
                                    </a:prstGeom>
                                    <a:noFill/>
                                    <a:ln w="25400">
                                      <a:solidFill>
                                        <a:srgbClr val="000000"/>
                                      </a:solidFill>
                                      <a:round/>
                                    </a:ln>
                                    <a:effectLst/>
                                  </wps:spPr>
                                  <wps:bodyPr/>
                                </wps:wsp>
                              </a:graphicData>
                            </a:graphic>
                          </wp:anchor>
                        </w:drawing>
                      </mc:Choice>
                      <mc:Fallback>
                        <w:pict>
                          <v:shape id="直接箭头连接符 39" o:spid="_x0000_s1026" o:spt="32" type="#_x0000_t32" style="position:absolute;left:0pt;margin-left:-1.45pt;margin-top:26.9pt;height:0pt;width:254.8pt;rotation:11796480f;z-index:251666432;mso-width-relative:page;mso-height-relative:page;" filled="f" stroked="t" coordsize="21600,21600" o:gfxdata="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W9hmNgAAAAIAQAADwAAAAAAAAABACAAAAAiAAAAZHJz&#10;L2Rvd25yZXYueG1sUEsBAhQAFAAAAAgAh07iQHs5BzkEAgAA3gMAAA4AAAAAAAAAAQAgAAAAJwEA&#10;AGRycy9lMm9Eb2MueG1sUEsFBgAAAAAGAAYAWQEAAJ0FAAAAAA==&#10;">
                            <v:fill on="f" focussize="0,0"/>
                            <v:stroke weight="2pt" color="#000000" joinstyle="round"/>
                            <v:imagedata o:title=""/>
                            <o:lock v:ext="edit" aspectratio="f"/>
                          </v:shape>
                        </w:pict>
                      </mc:Fallback>
                    </mc:AlternateContent>
                  </w:r>
                </w:p>
              </w:tc>
              <w:tc>
                <w:tcPr>
                  <w:tcW w:w="804" w:type="dxa"/>
                  <w:shd w:val="clear" w:color="auto" w:fill="auto"/>
                  <w:vAlign w:val="center"/>
                </w:tcPr>
                <w:p>
                  <w:pPr>
                    <w:spacing w:line="360" w:lineRule="exact"/>
                    <w:jc w:val="center"/>
                    <w:rPr>
                      <w:kern w:val="0"/>
                      <w:szCs w:val="21"/>
                    </w:rPr>
                  </w:pPr>
                </w:p>
              </w:tc>
              <w:tc>
                <w:tcPr>
                  <w:tcW w:w="1826" w:type="dxa"/>
                  <w:shd w:val="clear" w:color="auto" w:fill="auto"/>
                  <w:vAlign w:val="center"/>
                </w:tcPr>
                <w:p>
                  <w:pPr>
                    <w:spacing w:line="360" w:lineRule="exact"/>
                    <w:jc w:val="center"/>
                    <w:rPr>
                      <w:kern w:val="0"/>
                      <w:szCs w:val="21"/>
                    </w:rPr>
                  </w:pPr>
                </w:p>
              </w:tc>
              <w:tc>
                <w:tcPr>
                  <w:tcW w:w="636" w:type="dxa"/>
                  <w:shd w:val="clear" w:color="auto" w:fill="auto"/>
                  <w:vAlign w:val="center"/>
                </w:tcPr>
                <w:p>
                  <w:pPr>
                    <w:spacing w:line="360" w:lineRule="exact"/>
                    <w:jc w:val="center"/>
                    <w:rPr>
                      <w:kern w:val="0"/>
                      <w:szCs w:val="21"/>
                    </w:rPr>
                  </w:pPr>
                </w:p>
              </w:tc>
              <w:tc>
                <w:tcPr>
                  <w:tcW w:w="1686" w:type="dxa"/>
                  <w:shd w:val="clear" w:color="auto" w:fill="auto"/>
                  <w:vAlign w:val="center"/>
                </w:tcPr>
                <w:p>
                  <w:pPr>
                    <w:spacing w:line="36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26" w:type="dxa"/>
                  <w:shd w:val="clear" w:color="auto" w:fill="auto"/>
                  <w:vAlign w:val="center"/>
                </w:tcPr>
                <w:p>
                  <w:pPr>
                    <w:spacing w:line="360" w:lineRule="exact"/>
                    <w:jc w:val="center"/>
                    <w:rPr>
                      <w:kern w:val="0"/>
                      <w:szCs w:val="21"/>
                    </w:rPr>
                  </w:pPr>
                  <w:r>
                    <w:rPr>
                      <w:rFonts w:hint="eastAsia"/>
                      <w:kern w:val="0"/>
                      <w:szCs w:val="21"/>
                    </w:rPr>
                    <w:t>3</w:t>
                  </w:r>
                </w:p>
              </w:tc>
              <w:tc>
                <w:tcPr>
                  <w:tcW w:w="770" w:type="dxa"/>
                  <w:shd w:val="clear" w:color="auto" w:fill="auto"/>
                  <w:vAlign w:val="center"/>
                </w:tcPr>
                <w:p>
                  <w:pPr>
                    <w:spacing w:line="360" w:lineRule="exact"/>
                    <w:jc w:val="center"/>
                    <w:rPr>
                      <w:kern w:val="0"/>
                      <w:szCs w:val="21"/>
                    </w:rPr>
                  </w:pPr>
                  <w:r>
                    <w:rPr>
                      <w:rFonts w:hint="eastAsia"/>
                      <w:kern w:val="0"/>
                      <w:szCs w:val="21"/>
                    </w:rPr>
                    <w:t>供配电工程</w:t>
                  </w:r>
                </w:p>
              </w:tc>
              <w:tc>
                <w:tcPr>
                  <w:tcW w:w="706" w:type="dxa"/>
                  <w:shd w:val="clear" w:color="auto" w:fill="auto"/>
                  <w:vAlign w:val="center"/>
                </w:tcPr>
                <w:p>
                  <w:pPr>
                    <w:spacing w:line="360" w:lineRule="exact"/>
                    <w:jc w:val="center"/>
                    <w:rPr>
                      <w:kern w:val="0"/>
                      <w:szCs w:val="21"/>
                    </w:rPr>
                  </w:pPr>
                  <w:r>
                    <w:rPr>
                      <w:rFonts w:hint="eastAsia"/>
                    </w:rPr>
                    <mc:AlternateContent>
                      <mc:Choice Requires="wps">
                        <w:drawing>
                          <wp:anchor distT="0" distB="0" distL="114300" distR="114300" simplePos="0" relativeHeight="251669504" behindDoc="0" locked="0" layoutInCell="1" allowOverlap="1">
                            <wp:simplePos x="0" y="0"/>
                            <wp:positionH relativeFrom="column">
                              <wp:posOffset>69850</wp:posOffset>
                            </wp:positionH>
                            <wp:positionV relativeFrom="paragraph">
                              <wp:posOffset>314325</wp:posOffset>
                            </wp:positionV>
                            <wp:extent cx="335915" cy="1905"/>
                            <wp:effectExtent l="0" t="0" r="6985" b="17145"/>
                            <wp:wrapNone/>
                            <wp:docPr id="81" name="直接箭头连接符 38"/>
                            <wp:cNvGraphicFramePr/>
                            <a:graphic xmlns:a="http://schemas.openxmlformats.org/drawingml/2006/main">
                              <a:graphicData uri="http://schemas.microsoft.com/office/word/2010/wordprocessingShape">
                                <wps:wsp>
                                  <wps:cNvCnPr>
                                    <a:cxnSpLocks noChangeShapeType="1"/>
                                  </wps:cNvCnPr>
                                  <wps:spPr bwMode="auto">
                                    <a:xfrm flipH="1" flipV="1">
                                      <a:off x="0" y="0"/>
                                      <a:ext cx="335915" cy="1905"/>
                                    </a:xfrm>
                                    <a:prstGeom prst="straightConnector1">
                                      <a:avLst/>
                                    </a:prstGeom>
                                    <a:noFill/>
                                    <a:ln w="25400">
                                      <a:solidFill>
                                        <a:srgbClr val="000000"/>
                                      </a:solidFill>
                                      <a:round/>
                                    </a:ln>
                                    <a:effectLst/>
                                  </wps:spPr>
                                  <wps:bodyPr/>
                                </wps:wsp>
                              </a:graphicData>
                            </a:graphic>
                          </wp:anchor>
                        </w:drawing>
                      </mc:Choice>
                      <mc:Fallback>
                        <w:pict>
                          <v:shape id="直接箭头连接符 38" o:spid="_x0000_s1026" o:spt="32" type="#_x0000_t32" style="position:absolute;left:0pt;flip:x y;margin-left:5.5pt;margin-top:24.75pt;height:0.15pt;width:26.45pt;z-index:251669504;mso-width-relative:page;mso-height-relative:page;" filled="f" stroked="t" coordsize="21600,21600" o:gfxdata="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6kGtQAAAAHAQAADwAAAAAAAAABACAAAAAiAAAAZHJz&#10;L2Rvd25yZXYueG1sUEsBAhQAFAAAAAgAh07iQHiQfVUIAgAA5QMAAA4AAAAAAAAAAQAgAAAAIwEA&#10;AGRycy9lMm9Eb2MueG1sUEsFBgAAAAAGAAYAWQEAAJ0FAAAAAA==&#10;">
                            <v:fill on="f" focussize="0,0"/>
                            <v:stroke weight="2pt" color="#000000" joinstyle="round"/>
                            <v:imagedata o:title=""/>
                            <o:lock v:ext="edit" aspectratio="f"/>
                          </v:shape>
                        </w:pict>
                      </mc:Fallback>
                    </mc:AlternateContent>
                  </w:r>
                </w:p>
              </w:tc>
              <w:tc>
                <w:tcPr>
                  <w:tcW w:w="1686" w:type="dxa"/>
                  <w:shd w:val="clear" w:color="auto" w:fill="auto"/>
                  <w:vAlign w:val="center"/>
                </w:tcPr>
                <w:p>
                  <w:pPr>
                    <w:spacing w:line="360" w:lineRule="exact"/>
                    <w:jc w:val="center"/>
                    <w:rPr>
                      <w:kern w:val="0"/>
                      <w:szCs w:val="21"/>
                    </w:rPr>
                  </w:pPr>
                </w:p>
              </w:tc>
              <w:tc>
                <w:tcPr>
                  <w:tcW w:w="804" w:type="dxa"/>
                  <w:shd w:val="clear" w:color="auto" w:fill="auto"/>
                  <w:vAlign w:val="center"/>
                </w:tcPr>
                <w:p>
                  <w:pPr>
                    <w:spacing w:line="360" w:lineRule="exact"/>
                    <w:jc w:val="center"/>
                    <w:rPr>
                      <w:kern w:val="0"/>
                      <w:szCs w:val="21"/>
                    </w:rPr>
                  </w:pPr>
                </w:p>
              </w:tc>
              <w:tc>
                <w:tcPr>
                  <w:tcW w:w="1826" w:type="dxa"/>
                  <w:shd w:val="clear" w:color="auto" w:fill="auto"/>
                  <w:vAlign w:val="center"/>
                </w:tcPr>
                <w:p>
                  <w:pPr>
                    <w:spacing w:line="360" w:lineRule="exact"/>
                    <w:jc w:val="center"/>
                    <w:rPr>
                      <w:kern w:val="0"/>
                      <w:szCs w:val="21"/>
                    </w:rPr>
                  </w:pPr>
                </w:p>
              </w:tc>
              <w:tc>
                <w:tcPr>
                  <w:tcW w:w="636" w:type="dxa"/>
                  <w:shd w:val="clear" w:color="auto" w:fill="auto"/>
                  <w:vAlign w:val="center"/>
                </w:tcPr>
                <w:p>
                  <w:pPr>
                    <w:spacing w:line="360" w:lineRule="exact"/>
                    <w:jc w:val="center"/>
                    <w:rPr>
                      <w:kern w:val="0"/>
                      <w:szCs w:val="21"/>
                    </w:rPr>
                  </w:pPr>
                </w:p>
              </w:tc>
              <w:tc>
                <w:tcPr>
                  <w:tcW w:w="1686" w:type="dxa"/>
                  <w:shd w:val="clear" w:color="auto" w:fill="auto"/>
                  <w:vAlign w:val="center"/>
                </w:tcPr>
                <w:p>
                  <w:pPr>
                    <w:spacing w:line="36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26" w:type="dxa"/>
                  <w:shd w:val="clear" w:color="auto" w:fill="auto"/>
                  <w:vAlign w:val="center"/>
                </w:tcPr>
                <w:p>
                  <w:pPr>
                    <w:spacing w:line="360" w:lineRule="exact"/>
                    <w:jc w:val="center"/>
                    <w:rPr>
                      <w:kern w:val="0"/>
                      <w:szCs w:val="21"/>
                    </w:rPr>
                  </w:pPr>
                  <w:r>
                    <w:rPr>
                      <w:rFonts w:hint="eastAsia"/>
                      <w:kern w:val="0"/>
                      <w:szCs w:val="21"/>
                    </w:rPr>
                    <w:t>4</w:t>
                  </w:r>
                </w:p>
              </w:tc>
              <w:tc>
                <w:tcPr>
                  <w:tcW w:w="770" w:type="dxa"/>
                  <w:shd w:val="clear" w:color="auto" w:fill="auto"/>
                  <w:vAlign w:val="center"/>
                </w:tcPr>
                <w:p>
                  <w:pPr>
                    <w:spacing w:line="360" w:lineRule="exact"/>
                    <w:jc w:val="center"/>
                    <w:rPr>
                      <w:kern w:val="0"/>
                      <w:szCs w:val="21"/>
                    </w:rPr>
                  </w:pPr>
                  <w:r>
                    <w:rPr>
                      <w:rFonts w:hint="eastAsia"/>
                      <w:kern w:val="0"/>
                      <w:szCs w:val="21"/>
                    </w:rPr>
                    <w:t>设备调试安装</w:t>
                  </w:r>
                </w:p>
              </w:tc>
              <w:tc>
                <w:tcPr>
                  <w:tcW w:w="706" w:type="dxa"/>
                  <w:shd w:val="clear" w:color="auto" w:fill="auto"/>
                  <w:vAlign w:val="center"/>
                </w:tcPr>
                <w:p>
                  <w:pPr>
                    <w:spacing w:line="360" w:lineRule="exact"/>
                    <w:jc w:val="center"/>
                    <w:rPr>
                      <w:kern w:val="0"/>
                      <w:szCs w:val="21"/>
                    </w:rPr>
                  </w:pPr>
                  <w:r>
                    <w:rPr>
                      <w:rFonts w:hint="eastAsia"/>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252095</wp:posOffset>
                            </wp:positionV>
                            <wp:extent cx="375920" cy="0"/>
                            <wp:effectExtent l="0" t="0" r="0" b="0"/>
                            <wp:wrapNone/>
                            <wp:docPr id="80" name="直接箭头连接符 15"/>
                            <wp:cNvGraphicFramePr/>
                            <a:graphic xmlns:a="http://schemas.openxmlformats.org/drawingml/2006/main">
                              <a:graphicData uri="http://schemas.microsoft.com/office/word/2010/wordprocessingShape">
                                <wps:wsp>
                                  <wps:cNvCnPr>
                                    <a:cxnSpLocks noChangeShapeType="1"/>
                                  </wps:cNvCnPr>
                                  <wps:spPr bwMode="auto">
                                    <a:xfrm flipH="1">
                                      <a:off x="0" y="0"/>
                                      <a:ext cx="375920" cy="0"/>
                                    </a:xfrm>
                                    <a:prstGeom prst="straightConnector1">
                                      <a:avLst/>
                                    </a:prstGeom>
                                    <a:noFill/>
                                    <a:ln w="25400">
                                      <a:solidFill>
                                        <a:srgbClr val="000000"/>
                                      </a:solidFill>
                                      <a:round/>
                                    </a:ln>
                                    <a:effectLst/>
                                  </wps:spPr>
                                  <wps:bodyPr/>
                                </wps:wsp>
                              </a:graphicData>
                            </a:graphic>
                          </wp:anchor>
                        </w:drawing>
                      </mc:Choice>
                      <mc:Fallback>
                        <w:pict>
                          <v:shape id="直接箭头连接符 15" o:spid="_x0000_s1026" o:spt="32" type="#_x0000_t32" style="position:absolute;left:0pt;flip:x;margin-left:4.2pt;margin-top:19.85pt;height:0pt;width:29.6pt;z-index:251668480;mso-width-relative:page;mso-height-relative:page;" filled="f" stroked="t" coordsize="21600,21600" o:gfxdata="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FvNk1QAAAAYBAAAPAAAAAAAAAAEAIAAAACIAAABkcnMvZG93bnJl&#10;di54bWxQSwECFAAUAAAACACHTuJAQ7f7AQACAADYAwAADgAAAAAAAAABACAAAAAkAQAAZHJzL2Uy&#10;b0RvYy54bWxQSwUGAAAAAAYABgBZAQAAlgUAAAAA&#10;">
                            <v:fill on="f" focussize="0,0"/>
                            <v:stroke weight="2pt" color="#000000" joinstyle="round"/>
                            <v:imagedata o:title=""/>
                            <o:lock v:ext="edit" aspectratio="f"/>
                          </v:shape>
                        </w:pict>
                      </mc:Fallback>
                    </mc:AlternateContent>
                  </w:r>
                </w:p>
              </w:tc>
              <w:tc>
                <w:tcPr>
                  <w:tcW w:w="1686" w:type="dxa"/>
                  <w:shd w:val="clear" w:color="auto" w:fill="auto"/>
                  <w:vAlign w:val="center"/>
                </w:tcPr>
                <w:p>
                  <w:pPr>
                    <w:spacing w:line="360" w:lineRule="exact"/>
                    <w:jc w:val="center"/>
                    <w:rPr>
                      <w:kern w:val="0"/>
                      <w:szCs w:val="21"/>
                    </w:rPr>
                  </w:pPr>
                </w:p>
              </w:tc>
              <w:tc>
                <w:tcPr>
                  <w:tcW w:w="804" w:type="dxa"/>
                  <w:shd w:val="clear" w:color="auto" w:fill="auto"/>
                  <w:vAlign w:val="center"/>
                </w:tcPr>
                <w:p>
                  <w:pPr>
                    <w:spacing w:line="360" w:lineRule="exact"/>
                    <w:jc w:val="center"/>
                    <w:rPr>
                      <w:kern w:val="0"/>
                      <w:szCs w:val="21"/>
                    </w:rPr>
                  </w:pPr>
                </w:p>
              </w:tc>
              <w:tc>
                <w:tcPr>
                  <w:tcW w:w="1826" w:type="dxa"/>
                  <w:shd w:val="clear" w:color="auto" w:fill="auto"/>
                  <w:vAlign w:val="center"/>
                </w:tcPr>
                <w:p>
                  <w:pPr>
                    <w:spacing w:line="360" w:lineRule="exact"/>
                    <w:jc w:val="center"/>
                    <w:rPr>
                      <w:kern w:val="0"/>
                      <w:szCs w:val="21"/>
                    </w:rPr>
                  </w:pPr>
                </w:p>
              </w:tc>
              <w:tc>
                <w:tcPr>
                  <w:tcW w:w="636" w:type="dxa"/>
                  <w:shd w:val="clear" w:color="auto" w:fill="auto"/>
                  <w:vAlign w:val="center"/>
                </w:tcPr>
                <w:p>
                  <w:pPr>
                    <w:spacing w:line="360" w:lineRule="exact"/>
                    <w:jc w:val="center"/>
                    <w:rPr>
                      <w:kern w:val="0"/>
                      <w:szCs w:val="21"/>
                    </w:rPr>
                  </w:pPr>
                </w:p>
              </w:tc>
              <w:tc>
                <w:tcPr>
                  <w:tcW w:w="1686" w:type="dxa"/>
                  <w:shd w:val="clear" w:color="auto" w:fill="auto"/>
                  <w:vAlign w:val="center"/>
                </w:tcPr>
                <w:p>
                  <w:pPr>
                    <w:spacing w:line="36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26" w:type="dxa"/>
                  <w:shd w:val="clear" w:color="auto" w:fill="auto"/>
                  <w:vAlign w:val="center"/>
                </w:tcPr>
                <w:p>
                  <w:pPr>
                    <w:spacing w:line="360" w:lineRule="exact"/>
                    <w:jc w:val="center"/>
                    <w:rPr>
                      <w:kern w:val="0"/>
                      <w:szCs w:val="21"/>
                    </w:rPr>
                  </w:pPr>
                  <w:r>
                    <w:rPr>
                      <w:rFonts w:hint="eastAsia"/>
                      <w:kern w:val="0"/>
                      <w:szCs w:val="21"/>
                    </w:rPr>
                    <w:t>5</w:t>
                  </w:r>
                </w:p>
              </w:tc>
              <w:tc>
                <w:tcPr>
                  <w:tcW w:w="770" w:type="dxa"/>
                  <w:shd w:val="clear" w:color="auto" w:fill="auto"/>
                  <w:vAlign w:val="center"/>
                </w:tcPr>
                <w:p>
                  <w:pPr>
                    <w:spacing w:line="360" w:lineRule="exact"/>
                    <w:jc w:val="center"/>
                    <w:rPr>
                      <w:kern w:val="0"/>
                      <w:szCs w:val="21"/>
                    </w:rPr>
                  </w:pPr>
                  <w:r>
                    <w:rPr>
                      <w:rFonts w:hint="eastAsia"/>
                      <w:kern w:val="0"/>
                      <w:szCs w:val="21"/>
                    </w:rPr>
                    <w:t>施工准备期</w:t>
                  </w:r>
                </w:p>
              </w:tc>
              <w:tc>
                <w:tcPr>
                  <w:tcW w:w="706" w:type="dxa"/>
                  <w:shd w:val="clear" w:color="auto" w:fill="auto"/>
                  <w:vAlign w:val="center"/>
                </w:tcPr>
                <w:p>
                  <w:pPr>
                    <w:spacing w:line="360" w:lineRule="exact"/>
                    <w:jc w:val="center"/>
                    <w:rPr>
                      <w:kern w:val="0"/>
                      <w:szCs w:val="21"/>
                    </w:rPr>
                  </w:pPr>
                  <w:r>
                    <w:rPr>
                      <w:rFonts w:hint="eastAsia"/>
                    </w:rPr>
                    <mc:AlternateContent>
                      <mc:Choice Requires="wps">
                        <w:drawing>
                          <wp:anchor distT="0" distB="0" distL="114300" distR="114300" simplePos="0" relativeHeight="251667456" behindDoc="0" locked="0" layoutInCell="1" allowOverlap="1">
                            <wp:simplePos x="0" y="0"/>
                            <wp:positionH relativeFrom="column">
                              <wp:posOffset>67945</wp:posOffset>
                            </wp:positionH>
                            <wp:positionV relativeFrom="paragraph">
                              <wp:posOffset>222250</wp:posOffset>
                            </wp:positionV>
                            <wp:extent cx="363220" cy="2540"/>
                            <wp:effectExtent l="0" t="0" r="0" b="16510"/>
                            <wp:wrapNone/>
                            <wp:docPr id="79" name="直接箭头连接符 14"/>
                            <wp:cNvGraphicFramePr/>
                            <a:graphic xmlns:a="http://schemas.openxmlformats.org/drawingml/2006/main">
                              <a:graphicData uri="http://schemas.microsoft.com/office/word/2010/wordprocessingShape">
                                <wps:wsp>
                                  <wps:cNvCnPr>
                                    <a:cxnSpLocks noChangeShapeType="1"/>
                                  </wps:cNvCnPr>
                                  <wps:spPr bwMode="auto">
                                    <a:xfrm flipH="1" flipV="1">
                                      <a:off x="0" y="0"/>
                                      <a:ext cx="363220" cy="2540"/>
                                    </a:xfrm>
                                    <a:prstGeom prst="straightConnector1">
                                      <a:avLst/>
                                    </a:prstGeom>
                                    <a:noFill/>
                                    <a:ln w="25400">
                                      <a:solidFill>
                                        <a:srgbClr val="000000"/>
                                      </a:solidFill>
                                      <a:round/>
                                    </a:ln>
                                    <a:effectLst/>
                                  </wps:spPr>
                                  <wps:bodyPr/>
                                </wps:wsp>
                              </a:graphicData>
                            </a:graphic>
                          </wp:anchor>
                        </w:drawing>
                      </mc:Choice>
                      <mc:Fallback>
                        <w:pict>
                          <v:shape id="直接箭头连接符 14" o:spid="_x0000_s1026" o:spt="32" type="#_x0000_t32" style="position:absolute;left:0pt;flip:x y;margin-left:5.35pt;margin-top:17.5pt;height:0.2pt;width:28.6pt;z-index:251667456;mso-width-relative:page;mso-height-relative:page;" filled="f" stroked="t" coordsize="21600,21600" o:gfxdata="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m49Z1AAAAAcBAAAPAAAAAAAAAAEAIAAAACIAAABkcnMv&#10;ZG93bnJldi54bWxQSwECFAAUAAAACACHTuJAjAvNOwcCAADlAwAADgAAAAAAAAABACAAAAAjAQAA&#10;ZHJzL2Uyb0RvYy54bWxQSwUGAAAAAAYABgBZAQAAnAUAAAAA&#10;">
                            <v:fill on="f" focussize="0,0"/>
                            <v:stroke weight="2pt" color="#000000" joinstyle="round"/>
                            <v:imagedata o:title=""/>
                            <o:lock v:ext="edit" aspectratio="f"/>
                          </v:shape>
                        </w:pict>
                      </mc:Fallback>
                    </mc:AlternateContent>
                  </w:r>
                </w:p>
              </w:tc>
              <w:tc>
                <w:tcPr>
                  <w:tcW w:w="1686" w:type="dxa"/>
                  <w:shd w:val="clear" w:color="auto" w:fill="auto"/>
                  <w:vAlign w:val="center"/>
                </w:tcPr>
                <w:p>
                  <w:pPr>
                    <w:spacing w:line="360" w:lineRule="exact"/>
                    <w:jc w:val="center"/>
                    <w:rPr>
                      <w:kern w:val="0"/>
                      <w:szCs w:val="21"/>
                    </w:rPr>
                  </w:pPr>
                </w:p>
              </w:tc>
              <w:tc>
                <w:tcPr>
                  <w:tcW w:w="804" w:type="dxa"/>
                  <w:shd w:val="clear" w:color="auto" w:fill="auto"/>
                  <w:vAlign w:val="center"/>
                </w:tcPr>
                <w:p>
                  <w:pPr>
                    <w:spacing w:line="360" w:lineRule="exact"/>
                    <w:jc w:val="center"/>
                    <w:rPr>
                      <w:kern w:val="0"/>
                      <w:szCs w:val="21"/>
                    </w:rPr>
                  </w:pPr>
                </w:p>
              </w:tc>
              <w:tc>
                <w:tcPr>
                  <w:tcW w:w="1826" w:type="dxa"/>
                  <w:shd w:val="clear" w:color="auto" w:fill="auto"/>
                  <w:vAlign w:val="center"/>
                </w:tcPr>
                <w:p>
                  <w:pPr>
                    <w:spacing w:line="360" w:lineRule="exact"/>
                    <w:jc w:val="center"/>
                    <w:rPr>
                      <w:kern w:val="0"/>
                      <w:szCs w:val="21"/>
                    </w:rPr>
                  </w:pPr>
                </w:p>
              </w:tc>
              <w:tc>
                <w:tcPr>
                  <w:tcW w:w="636" w:type="dxa"/>
                  <w:shd w:val="clear" w:color="auto" w:fill="auto"/>
                  <w:vAlign w:val="center"/>
                </w:tcPr>
                <w:p>
                  <w:pPr>
                    <w:spacing w:line="360" w:lineRule="exact"/>
                    <w:jc w:val="center"/>
                    <w:rPr>
                      <w:kern w:val="0"/>
                      <w:szCs w:val="21"/>
                    </w:rPr>
                  </w:pPr>
                </w:p>
              </w:tc>
              <w:tc>
                <w:tcPr>
                  <w:tcW w:w="1686" w:type="dxa"/>
                  <w:shd w:val="clear" w:color="auto" w:fill="auto"/>
                  <w:vAlign w:val="center"/>
                </w:tcPr>
                <w:p>
                  <w:pPr>
                    <w:spacing w:line="360" w:lineRule="exact"/>
                    <w:jc w:val="center"/>
                    <w:rPr>
                      <w:kern w:val="0"/>
                      <w:szCs w:val="21"/>
                    </w:rPr>
                  </w:pPr>
                </w:p>
              </w:tc>
            </w:tr>
          </w:tbl>
          <w:p>
            <w:pPr>
              <w:pStyle w:val="50"/>
              <w:ind w:left="482" w:firstLine="0" w:firstLineChars="0"/>
              <w:rPr>
                <w:b/>
                <w:bCs/>
              </w:rPr>
            </w:pPr>
            <w:r>
              <w:rPr>
                <w:rFonts w:hint="eastAsia"/>
                <w:b/>
                <w:bCs/>
              </w:rPr>
              <w:t>7、工业场地施工方案</w:t>
            </w:r>
          </w:p>
          <w:p>
            <w:pPr>
              <w:pStyle w:val="47"/>
              <w:ind w:firstLine="480"/>
              <w:rPr>
                <w:color w:val="auto"/>
              </w:rPr>
            </w:pPr>
            <w:r>
              <w:rPr>
                <w:rFonts w:hint="eastAsia"/>
                <w:color w:val="auto"/>
              </w:rPr>
              <w:t>工业场地位于半山腰的缓坡地段，场地中部原为一冲沟，因场地需要，需对冲沟进行回填。为保证泄洪通畅，在场地西侧围墙处重新开挖一条排洪沟，新建排洪沟断面底宽1m，深2m，顶宽4m。</w:t>
            </w:r>
          </w:p>
          <w:p>
            <w:pPr>
              <w:pStyle w:val="47"/>
              <w:ind w:firstLine="480"/>
              <w:rPr>
                <w:color w:val="auto"/>
              </w:rPr>
            </w:pPr>
            <w:r>
              <w:rPr>
                <w:rFonts w:hint="eastAsia"/>
                <w:color w:val="auto"/>
              </w:rPr>
              <w:t>工业场地采用“高挖低填”的方式进行平整，先用露天采场的挖方用于冲沟的回填和地基填筑，采用机械化大开挖，反铲挖掘机为主、机械汽车运土及推土机配合联合平整，人工配合机械对零星场地或边角区进行修整。</w:t>
            </w:r>
          </w:p>
          <w:p>
            <w:pPr>
              <w:pStyle w:val="47"/>
              <w:ind w:firstLine="480"/>
              <w:rPr>
                <w:color w:val="auto"/>
              </w:rPr>
            </w:pPr>
            <w:r>
              <w:rPr>
                <w:rFonts w:hint="eastAsia"/>
                <w:color w:val="auto"/>
              </w:rPr>
              <w:t>八、开采进度计划</w:t>
            </w:r>
          </w:p>
          <w:p>
            <w:pPr>
              <w:pStyle w:val="47"/>
              <w:ind w:firstLine="480"/>
              <w:rPr>
                <w:color w:val="auto"/>
              </w:rPr>
            </w:pPr>
            <w:r>
              <w:rPr>
                <w:rFonts w:hint="eastAsia"/>
                <w:color w:val="auto"/>
              </w:rPr>
              <w:t>本矿剥离总量1887.29万m³（其中：岩石量1872.51 万m³、表土量14.78万m³），扣除基建剥离量370.14万m³（其中：表土量5.31万m³、岩石量 364.83万m³），生产时期剥离总量1517.15万m³（其中：岩石量1507.68万m</w:t>
            </w:r>
            <w:r>
              <w:rPr>
                <w:rFonts w:hint="eastAsia"/>
                <w:color w:val="auto"/>
                <w:vertAlign w:val="superscript"/>
              </w:rPr>
              <w:t>3</w:t>
            </w:r>
            <w:r>
              <w:rPr>
                <w:rFonts w:hint="eastAsia"/>
                <w:color w:val="auto"/>
              </w:rPr>
              <w:t>，表土量9.47万m³），采矿总量260.11万t。开采进度计划详见下表。</w:t>
            </w:r>
          </w:p>
          <w:p>
            <w:pPr>
              <w:pStyle w:val="50"/>
              <w:numPr>
                <w:ilvl w:val="0"/>
                <w:numId w:val="2"/>
              </w:numPr>
              <w:snapToGrid w:val="0"/>
              <w:spacing w:line="240" w:lineRule="auto"/>
              <w:ind w:firstLineChars="0"/>
              <w:jc w:val="center"/>
              <w:rPr>
                <w:b/>
                <w:bCs/>
              </w:rPr>
            </w:pPr>
            <w:r>
              <w:rPr>
                <w:rFonts w:hint="eastAsia"/>
                <w:b/>
                <w:bCs/>
              </w:rPr>
              <w:t>杜家圈南白云岩矿露天开采进度计划表</w:t>
            </w:r>
          </w:p>
          <w:tbl>
            <w:tblPr>
              <w:tblStyle w:val="22"/>
              <w:tblW w:w="85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47"/>
              <w:gridCol w:w="1421"/>
              <w:gridCol w:w="876"/>
              <w:gridCol w:w="1044"/>
              <w:gridCol w:w="1122"/>
              <w:gridCol w:w="1117"/>
              <w:gridCol w:w="1039"/>
              <w:gridCol w:w="117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3" w:hRule="atLeast"/>
                <w:jc w:val="center"/>
              </w:trPr>
              <w:tc>
                <w:tcPr>
                  <w:tcW w:w="2168" w:type="dxa"/>
                  <w:gridSpan w:val="2"/>
                  <w:shd w:val="clear" w:color="auto" w:fill="auto"/>
                  <w:vAlign w:val="center"/>
                </w:tcPr>
                <w:p>
                  <w:pPr>
                    <w:pStyle w:val="33"/>
                    <w:spacing w:line="360" w:lineRule="exact"/>
                    <w:jc w:val="center"/>
                    <w:rPr>
                      <w:szCs w:val="21"/>
                    </w:rPr>
                  </w:pPr>
                  <w:r>
                    <w:rPr>
                      <w:rFonts w:hint="eastAsia"/>
                      <w:szCs w:val="21"/>
                    </w:rPr>
                    <w:t>年</w:t>
                  </w:r>
                  <w:r>
                    <w:rPr>
                      <w:rFonts w:hint="eastAsia"/>
                      <w:szCs w:val="21"/>
                    </w:rPr>
                    <w:tab/>
                  </w:r>
                  <w:r>
                    <w:rPr>
                      <w:rFonts w:hint="eastAsia"/>
                      <w:szCs w:val="21"/>
                    </w:rPr>
                    <w:t>度</w:t>
                  </w:r>
                </w:p>
              </w:tc>
              <w:tc>
                <w:tcPr>
                  <w:tcW w:w="876" w:type="dxa"/>
                  <w:shd w:val="clear" w:color="auto" w:fill="auto"/>
                  <w:vAlign w:val="center"/>
                </w:tcPr>
                <w:p>
                  <w:pPr>
                    <w:pStyle w:val="33"/>
                    <w:spacing w:line="360" w:lineRule="exact"/>
                    <w:jc w:val="center"/>
                    <w:rPr>
                      <w:szCs w:val="21"/>
                    </w:rPr>
                  </w:pPr>
                  <w:r>
                    <w:rPr>
                      <w:rFonts w:hint="eastAsia"/>
                      <w:szCs w:val="21"/>
                    </w:rPr>
                    <w:t>生产第一年</w:t>
                  </w:r>
                </w:p>
              </w:tc>
              <w:tc>
                <w:tcPr>
                  <w:tcW w:w="1044" w:type="dxa"/>
                  <w:shd w:val="clear" w:color="auto" w:fill="auto"/>
                  <w:vAlign w:val="center"/>
                </w:tcPr>
                <w:p>
                  <w:pPr>
                    <w:pStyle w:val="33"/>
                    <w:spacing w:line="360" w:lineRule="exact"/>
                    <w:jc w:val="center"/>
                    <w:rPr>
                      <w:szCs w:val="21"/>
                    </w:rPr>
                  </w:pPr>
                  <w:r>
                    <w:rPr>
                      <w:rFonts w:hint="eastAsia"/>
                      <w:szCs w:val="21"/>
                    </w:rPr>
                    <w:t>生产第二年</w:t>
                  </w:r>
                </w:p>
              </w:tc>
              <w:tc>
                <w:tcPr>
                  <w:tcW w:w="1122" w:type="dxa"/>
                  <w:shd w:val="clear" w:color="auto" w:fill="auto"/>
                  <w:vAlign w:val="center"/>
                </w:tcPr>
                <w:p>
                  <w:pPr>
                    <w:pStyle w:val="33"/>
                    <w:spacing w:line="360" w:lineRule="exact"/>
                    <w:jc w:val="center"/>
                    <w:rPr>
                      <w:szCs w:val="21"/>
                    </w:rPr>
                  </w:pPr>
                  <w:r>
                    <w:rPr>
                      <w:rFonts w:hint="eastAsia"/>
                      <w:szCs w:val="21"/>
                    </w:rPr>
                    <w:t>生产第三年</w:t>
                  </w:r>
                </w:p>
              </w:tc>
              <w:tc>
                <w:tcPr>
                  <w:tcW w:w="1117" w:type="dxa"/>
                  <w:shd w:val="clear" w:color="auto" w:fill="auto"/>
                  <w:vAlign w:val="center"/>
                </w:tcPr>
                <w:p>
                  <w:pPr>
                    <w:pStyle w:val="33"/>
                    <w:spacing w:line="360" w:lineRule="exact"/>
                    <w:jc w:val="center"/>
                    <w:rPr>
                      <w:szCs w:val="21"/>
                    </w:rPr>
                  </w:pPr>
                  <w:r>
                    <w:rPr>
                      <w:rFonts w:hint="eastAsia"/>
                      <w:szCs w:val="21"/>
                    </w:rPr>
                    <w:t>生产第四年</w:t>
                  </w:r>
                </w:p>
              </w:tc>
              <w:tc>
                <w:tcPr>
                  <w:tcW w:w="1039" w:type="dxa"/>
                  <w:shd w:val="clear" w:color="auto" w:fill="auto"/>
                  <w:vAlign w:val="center"/>
                </w:tcPr>
                <w:p>
                  <w:pPr>
                    <w:pStyle w:val="33"/>
                    <w:spacing w:line="360" w:lineRule="exact"/>
                    <w:jc w:val="center"/>
                    <w:rPr>
                      <w:szCs w:val="21"/>
                    </w:rPr>
                  </w:pPr>
                  <w:r>
                    <w:rPr>
                      <w:rFonts w:hint="eastAsia"/>
                      <w:szCs w:val="21"/>
                    </w:rPr>
                    <w:t>生产第五年</w:t>
                  </w:r>
                </w:p>
              </w:tc>
              <w:tc>
                <w:tcPr>
                  <w:tcW w:w="1174" w:type="dxa"/>
                  <w:shd w:val="clear" w:color="auto" w:fill="auto"/>
                  <w:vAlign w:val="center"/>
                </w:tcPr>
                <w:p>
                  <w:pPr>
                    <w:pStyle w:val="33"/>
                    <w:spacing w:line="360" w:lineRule="exact"/>
                    <w:jc w:val="center"/>
                    <w:rPr>
                      <w:szCs w:val="21"/>
                    </w:rPr>
                  </w:pPr>
                  <w:r>
                    <w:rPr>
                      <w:rFonts w:hint="eastAsia"/>
                      <w:szCs w:val="21"/>
                    </w:rPr>
                    <w:t>生产第六年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747" w:type="dxa"/>
                  <w:vMerge w:val="restart"/>
                  <w:shd w:val="clear" w:color="auto" w:fill="auto"/>
                  <w:vAlign w:val="center"/>
                </w:tcPr>
                <w:p>
                  <w:pPr>
                    <w:pStyle w:val="33"/>
                    <w:spacing w:line="360" w:lineRule="exact"/>
                    <w:jc w:val="center"/>
                    <w:rPr>
                      <w:szCs w:val="21"/>
                    </w:rPr>
                  </w:pPr>
                  <w:r>
                    <w:rPr>
                      <w:rFonts w:hint="eastAsia"/>
                      <w:szCs w:val="21"/>
                    </w:rPr>
                    <w:t>剥离</w:t>
                  </w:r>
                </w:p>
              </w:tc>
              <w:tc>
                <w:tcPr>
                  <w:tcW w:w="1421" w:type="dxa"/>
                  <w:shd w:val="clear" w:color="auto" w:fill="auto"/>
                  <w:vAlign w:val="center"/>
                </w:tcPr>
                <w:p>
                  <w:pPr>
                    <w:pStyle w:val="33"/>
                    <w:spacing w:line="360" w:lineRule="exact"/>
                    <w:jc w:val="center"/>
                    <w:rPr>
                      <w:szCs w:val="21"/>
                    </w:rPr>
                  </w:pPr>
                  <w:r>
                    <w:rPr>
                      <w:rFonts w:hint="eastAsia"/>
                      <w:szCs w:val="21"/>
                    </w:rPr>
                    <w:t>剥离量</w:t>
                  </w:r>
                </w:p>
                <w:p>
                  <w:pPr>
                    <w:pStyle w:val="33"/>
                    <w:spacing w:line="360" w:lineRule="exact"/>
                    <w:jc w:val="center"/>
                    <w:rPr>
                      <w:szCs w:val="21"/>
                    </w:rPr>
                  </w:pPr>
                  <w:r>
                    <w:rPr>
                      <w:rFonts w:hint="eastAsia"/>
                      <w:szCs w:val="21"/>
                    </w:rPr>
                    <w:t>（</w:t>
                  </w:r>
                  <w:r>
                    <w:rPr>
                      <w:rFonts w:hint="eastAsia"/>
                      <w:spacing w:val="-27"/>
                      <w:szCs w:val="21"/>
                    </w:rPr>
                    <w:t xml:space="preserve">万 </w:t>
                  </w:r>
                  <w:r>
                    <w:rPr>
                      <w:rFonts w:hint="eastAsia"/>
                    </w:rPr>
                    <w:t>m</w:t>
                  </w:r>
                  <w:r>
                    <w:rPr>
                      <w:rFonts w:hint="eastAsia"/>
                      <w:vertAlign w:val="superscript"/>
                    </w:rPr>
                    <w:t>3</w:t>
                  </w:r>
                  <w:r>
                    <w:rPr>
                      <w:rFonts w:hint="eastAsia"/>
                      <w:szCs w:val="21"/>
                    </w:rPr>
                    <w:t>)</w:t>
                  </w:r>
                </w:p>
              </w:tc>
              <w:tc>
                <w:tcPr>
                  <w:tcW w:w="876" w:type="dxa"/>
                  <w:shd w:val="clear" w:color="auto" w:fill="auto"/>
                  <w:vAlign w:val="center"/>
                </w:tcPr>
                <w:p>
                  <w:pPr>
                    <w:pStyle w:val="33"/>
                    <w:spacing w:line="360" w:lineRule="exact"/>
                    <w:jc w:val="center"/>
                    <w:rPr>
                      <w:szCs w:val="21"/>
                    </w:rPr>
                  </w:pPr>
                  <w:r>
                    <w:rPr>
                      <w:rFonts w:hint="eastAsia"/>
                      <w:szCs w:val="21"/>
                    </w:rPr>
                    <w:t>260</w:t>
                  </w:r>
                </w:p>
              </w:tc>
              <w:tc>
                <w:tcPr>
                  <w:tcW w:w="1044" w:type="dxa"/>
                  <w:shd w:val="clear" w:color="auto" w:fill="auto"/>
                  <w:vAlign w:val="center"/>
                </w:tcPr>
                <w:p>
                  <w:pPr>
                    <w:pStyle w:val="33"/>
                    <w:spacing w:line="360" w:lineRule="exact"/>
                    <w:jc w:val="center"/>
                    <w:rPr>
                      <w:szCs w:val="21"/>
                    </w:rPr>
                  </w:pPr>
                  <w:r>
                    <w:rPr>
                      <w:rFonts w:hint="eastAsia"/>
                      <w:szCs w:val="21"/>
                    </w:rPr>
                    <w:t>260</w:t>
                  </w:r>
                </w:p>
              </w:tc>
              <w:tc>
                <w:tcPr>
                  <w:tcW w:w="1122" w:type="dxa"/>
                  <w:shd w:val="clear" w:color="auto" w:fill="auto"/>
                  <w:vAlign w:val="center"/>
                </w:tcPr>
                <w:p>
                  <w:pPr>
                    <w:pStyle w:val="33"/>
                    <w:spacing w:line="360" w:lineRule="exact"/>
                    <w:jc w:val="center"/>
                    <w:rPr>
                      <w:szCs w:val="21"/>
                    </w:rPr>
                  </w:pPr>
                  <w:r>
                    <w:rPr>
                      <w:rFonts w:hint="eastAsia"/>
                      <w:szCs w:val="21"/>
                    </w:rPr>
                    <w:t>260</w:t>
                  </w:r>
                </w:p>
              </w:tc>
              <w:tc>
                <w:tcPr>
                  <w:tcW w:w="1117" w:type="dxa"/>
                  <w:shd w:val="clear" w:color="auto" w:fill="auto"/>
                  <w:vAlign w:val="center"/>
                </w:tcPr>
                <w:p>
                  <w:pPr>
                    <w:pStyle w:val="33"/>
                    <w:spacing w:line="360" w:lineRule="exact"/>
                    <w:jc w:val="center"/>
                    <w:rPr>
                      <w:szCs w:val="21"/>
                    </w:rPr>
                  </w:pPr>
                  <w:r>
                    <w:rPr>
                      <w:rFonts w:hint="eastAsia"/>
                      <w:szCs w:val="21"/>
                    </w:rPr>
                    <w:t>260</w:t>
                  </w:r>
                </w:p>
              </w:tc>
              <w:tc>
                <w:tcPr>
                  <w:tcW w:w="1039" w:type="dxa"/>
                  <w:shd w:val="clear" w:color="auto" w:fill="auto"/>
                  <w:vAlign w:val="center"/>
                </w:tcPr>
                <w:p>
                  <w:pPr>
                    <w:pStyle w:val="33"/>
                    <w:spacing w:line="360" w:lineRule="exact"/>
                    <w:jc w:val="center"/>
                    <w:rPr>
                      <w:szCs w:val="21"/>
                    </w:rPr>
                  </w:pPr>
                  <w:r>
                    <w:rPr>
                      <w:rFonts w:hint="eastAsia"/>
                      <w:szCs w:val="21"/>
                    </w:rPr>
                    <w:t>260</w:t>
                  </w:r>
                </w:p>
              </w:tc>
              <w:tc>
                <w:tcPr>
                  <w:tcW w:w="1174" w:type="dxa"/>
                  <w:shd w:val="clear" w:color="auto" w:fill="auto"/>
                  <w:vAlign w:val="center"/>
                </w:tcPr>
                <w:p>
                  <w:pPr>
                    <w:pStyle w:val="33"/>
                    <w:spacing w:line="360" w:lineRule="exact"/>
                    <w:jc w:val="center"/>
                    <w:rPr>
                      <w:szCs w:val="21"/>
                    </w:rPr>
                  </w:pPr>
                  <w:r>
                    <w:rPr>
                      <w:rFonts w:hint="eastAsia"/>
                      <w:szCs w:val="21"/>
                    </w:rPr>
                    <w:t>217.15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4" w:hRule="atLeast"/>
                <w:jc w:val="center"/>
              </w:trPr>
              <w:tc>
                <w:tcPr>
                  <w:tcW w:w="747" w:type="dxa"/>
                  <w:vMerge w:val="continue"/>
                  <w:shd w:val="clear" w:color="auto" w:fill="auto"/>
                  <w:vAlign w:val="center"/>
                </w:tcPr>
                <w:p>
                  <w:pPr>
                    <w:widowControl/>
                    <w:spacing w:line="360" w:lineRule="exact"/>
                    <w:jc w:val="center"/>
                    <w:rPr>
                      <w:szCs w:val="21"/>
                    </w:rPr>
                  </w:pPr>
                </w:p>
              </w:tc>
              <w:tc>
                <w:tcPr>
                  <w:tcW w:w="1421" w:type="dxa"/>
                  <w:shd w:val="clear" w:color="auto" w:fill="auto"/>
                  <w:vAlign w:val="center"/>
                </w:tcPr>
                <w:p>
                  <w:pPr>
                    <w:pStyle w:val="33"/>
                    <w:spacing w:line="360" w:lineRule="exact"/>
                    <w:jc w:val="center"/>
                    <w:rPr>
                      <w:szCs w:val="21"/>
                    </w:rPr>
                  </w:pPr>
                  <w:r>
                    <w:rPr>
                      <w:rFonts w:hint="eastAsia"/>
                      <w:szCs w:val="21"/>
                    </w:rPr>
                    <w:t>土（</w:t>
                  </w:r>
                  <w:r>
                    <w:rPr>
                      <w:rFonts w:hint="eastAsia"/>
                      <w:spacing w:val="-27"/>
                      <w:szCs w:val="21"/>
                    </w:rPr>
                    <w:t xml:space="preserve">万 </w:t>
                  </w:r>
                  <w:r>
                    <w:rPr>
                      <w:rFonts w:hint="eastAsia"/>
                    </w:rPr>
                    <w:t>m</w:t>
                  </w:r>
                  <w:r>
                    <w:rPr>
                      <w:rFonts w:hint="eastAsia"/>
                      <w:vertAlign w:val="superscript"/>
                    </w:rPr>
                    <w:t>3</w:t>
                  </w:r>
                  <w:r>
                    <w:rPr>
                      <w:rFonts w:hint="eastAsia"/>
                      <w:szCs w:val="21"/>
                    </w:rPr>
                    <w:t>)</w:t>
                  </w:r>
                </w:p>
              </w:tc>
              <w:tc>
                <w:tcPr>
                  <w:tcW w:w="876" w:type="dxa"/>
                  <w:shd w:val="clear" w:color="auto" w:fill="auto"/>
                  <w:vAlign w:val="center"/>
                </w:tcPr>
                <w:p>
                  <w:pPr>
                    <w:pStyle w:val="33"/>
                    <w:spacing w:line="360" w:lineRule="exact"/>
                    <w:jc w:val="center"/>
                    <w:rPr>
                      <w:rFonts w:cs="宋体"/>
                      <w:szCs w:val="22"/>
                    </w:rPr>
                  </w:pPr>
                </w:p>
              </w:tc>
              <w:tc>
                <w:tcPr>
                  <w:tcW w:w="1044" w:type="dxa"/>
                  <w:shd w:val="clear" w:color="auto" w:fill="auto"/>
                  <w:vAlign w:val="center"/>
                </w:tcPr>
                <w:p>
                  <w:pPr>
                    <w:pStyle w:val="33"/>
                    <w:spacing w:line="360" w:lineRule="exact"/>
                    <w:jc w:val="center"/>
                  </w:pPr>
                </w:p>
              </w:tc>
              <w:tc>
                <w:tcPr>
                  <w:tcW w:w="1122" w:type="dxa"/>
                  <w:shd w:val="clear" w:color="auto" w:fill="auto"/>
                  <w:vAlign w:val="center"/>
                </w:tcPr>
                <w:p>
                  <w:pPr>
                    <w:pStyle w:val="33"/>
                    <w:spacing w:line="360" w:lineRule="exact"/>
                    <w:jc w:val="center"/>
                    <w:rPr>
                      <w:szCs w:val="21"/>
                    </w:rPr>
                  </w:pPr>
                  <w:r>
                    <w:rPr>
                      <w:rFonts w:hint="eastAsia"/>
                      <w:szCs w:val="21"/>
                    </w:rPr>
                    <w:t>9.47</w:t>
                  </w:r>
                </w:p>
              </w:tc>
              <w:tc>
                <w:tcPr>
                  <w:tcW w:w="1117" w:type="dxa"/>
                  <w:shd w:val="clear" w:color="auto" w:fill="auto"/>
                  <w:vAlign w:val="center"/>
                </w:tcPr>
                <w:p>
                  <w:pPr>
                    <w:pStyle w:val="33"/>
                    <w:spacing w:line="360" w:lineRule="exact"/>
                    <w:jc w:val="center"/>
                    <w:rPr>
                      <w:rFonts w:cs="宋体"/>
                      <w:szCs w:val="22"/>
                    </w:rPr>
                  </w:pPr>
                </w:p>
              </w:tc>
              <w:tc>
                <w:tcPr>
                  <w:tcW w:w="1039" w:type="dxa"/>
                  <w:shd w:val="clear" w:color="auto" w:fill="auto"/>
                  <w:vAlign w:val="center"/>
                </w:tcPr>
                <w:p>
                  <w:pPr>
                    <w:pStyle w:val="33"/>
                    <w:spacing w:line="360" w:lineRule="exact"/>
                    <w:jc w:val="center"/>
                  </w:pPr>
                </w:p>
              </w:tc>
              <w:tc>
                <w:tcPr>
                  <w:tcW w:w="1174" w:type="dxa"/>
                  <w:shd w:val="clear" w:color="auto" w:fill="auto"/>
                  <w:vAlign w:val="center"/>
                </w:tcPr>
                <w:p>
                  <w:pPr>
                    <w:pStyle w:val="33"/>
                    <w:spacing w:line="360" w:lineRule="exact"/>
                    <w:jc w:val="cente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747" w:type="dxa"/>
                  <w:vMerge w:val="continue"/>
                  <w:shd w:val="clear" w:color="auto" w:fill="auto"/>
                  <w:vAlign w:val="center"/>
                </w:tcPr>
                <w:p>
                  <w:pPr>
                    <w:widowControl/>
                    <w:spacing w:line="360" w:lineRule="exact"/>
                    <w:jc w:val="center"/>
                    <w:rPr>
                      <w:szCs w:val="21"/>
                    </w:rPr>
                  </w:pPr>
                </w:p>
              </w:tc>
              <w:tc>
                <w:tcPr>
                  <w:tcW w:w="1421" w:type="dxa"/>
                  <w:shd w:val="clear" w:color="auto" w:fill="auto"/>
                  <w:vAlign w:val="center"/>
                </w:tcPr>
                <w:p>
                  <w:pPr>
                    <w:pStyle w:val="33"/>
                    <w:spacing w:line="360" w:lineRule="exact"/>
                    <w:jc w:val="center"/>
                    <w:rPr>
                      <w:szCs w:val="21"/>
                    </w:rPr>
                  </w:pPr>
                  <w:r>
                    <w:rPr>
                      <w:rFonts w:hint="eastAsia"/>
                      <w:szCs w:val="21"/>
                    </w:rPr>
                    <w:t>岩（</w:t>
                  </w:r>
                  <w:r>
                    <w:rPr>
                      <w:rFonts w:hint="eastAsia"/>
                      <w:spacing w:val="-27"/>
                      <w:szCs w:val="21"/>
                    </w:rPr>
                    <w:t xml:space="preserve">万 </w:t>
                  </w:r>
                  <w:r>
                    <w:rPr>
                      <w:rFonts w:hint="eastAsia"/>
                    </w:rPr>
                    <w:t>m</w:t>
                  </w:r>
                  <w:r>
                    <w:rPr>
                      <w:rFonts w:hint="eastAsia"/>
                      <w:vertAlign w:val="superscript"/>
                    </w:rPr>
                    <w:t>3</w:t>
                  </w:r>
                  <w:r>
                    <w:rPr>
                      <w:rFonts w:hint="eastAsia"/>
                      <w:szCs w:val="21"/>
                    </w:rPr>
                    <w:t>)</w:t>
                  </w:r>
                </w:p>
              </w:tc>
              <w:tc>
                <w:tcPr>
                  <w:tcW w:w="876" w:type="dxa"/>
                  <w:shd w:val="clear" w:color="auto" w:fill="auto"/>
                  <w:vAlign w:val="center"/>
                </w:tcPr>
                <w:p>
                  <w:pPr>
                    <w:pStyle w:val="33"/>
                    <w:spacing w:line="360" w:lineRule="exact"/>
                    <w:jc w:val="center"/>
                    <w:rPr>
                      <w:szCs w:val="21"/>
                    </w:rPr>
                  </w:pPr>
                  <w:r>
                    <w:rPr>
                      <w:rFonts w:hint="eastAsia"/>
                      <w:szCs w:val="21"/>
                    </w:rPr>
                    <w:t>260</w:t>
                  </w:r>
                </w:p>
              </w:tc>
              <w:tc>
                <w:tcPr>
                  <w:tcW w:w="1044" w:type="dxa"/>
                  <w:shd w:val="clear" w:color="auto" w:fill="auto"/>
                  <w:vAlign w:val="center"/>
                </w:tcPr>
                <w:p>
                  <w:pPr>
                    <w:pStyle w:val="33"/>
                    <w:spacing w:line="360" w:lineRule="exact"/>
                    <w:jc w:val="center"/>
                    <w:rPr>
                      <w:szCs w:val="21"/>
                    </w:rPr>
                  </w:pPr>
                  <w:r>
                    <w:rPr>
                      <w:rFonts w:hint="eastAsia"/>
                      <w:szCs w:val="21"/>
                    </w:rPr>
                    <w:t>260</w:t>
                  </w:r>
                </w:p>
              </w:tc>
              <w:tc>
                <w:tcPr>
                  <w:tcW w:w="1122" w:type="dxa"/>
                  <w:shd w:val="clear" w:color="auto" w:fill="auto"/>
                  <w:vAlign w:val="center"/>
                </w:tcPr>
                <w:p>
                  <w:pPr>
                    <w:pStyle w:val="33"/>
                    <w:spacing w:line="360" w:lineRule="exact"/>
                    <w:jc w:val="center"/>
                    <w:rPr>
                      <w:szCs w:val="21"/>
                    </w:rPr>
                  </w:pPr>
                  <w:r>
                    <w:rPr>
                      <w:rFonts w:hint="eastAsia"/>
                      <w:szCs w:val="21"/>
                    </w:rPr>
                    <w:t>250.53</w:t>
                  </w:r>
                </w:p>
              </w:tc>
              <w:tc>
                <w:tcPr>
                  <w:tcW w:w="1117" w:type="dxa"/>
                  <w:shd w:val="clear" w:color="auto" w:fill="auto"/>
                  <w:vAlign w:val="center"/>
                </w:tcPr>
                <w:p>
                  <w:pPr>
                    <w:pStyle w:val="33"/>
                    <w:spacing w:line="360" w:lineRule="exact"/>
                    <w:jc w:val="center"/>
                    <w:rPr>
                      <w:szCs w:val="21"/>
                    </w:rPr>
                  </w:pPr>
                  <w:r>
                    <w:rPr>
                      <w:rFonts w:hint="eastAsia"/>
                      <w:szCs w:val="21"/>
                    </w:rPr>
                    <w:t>260</w:t>
                  </w:r>
                </w:p>
              </w:tc>
              <w:tc>
                <w:tcPr>
                  <w:tcW w:w="1039" w:type="dxa"/>
                  <w:shd w:val="clear" w:color="auto" w:fill="auto"/>
                  <w:vAlign w:val="center"/>
                </w:tcPr>
                <w:p>
                  <w:pPr>
                    <w:pStyle w:val="33"/>
                    <w:spacing w:line="360" w:lineRule="exact"/>
                    <w:jc w:val="center"/>
                    <w:rPr>
                      <w:szCs w:val="21"/>
                    </w:rPr>
                  </w:pPr>
                  <w:r>
                    <w:rPr>
                      <w:rFonts w:hint="eastAsia"/>
                      <w:szCs w:val="21"/>
                    </w:rPr>
                    <w:t>260</w:t>
                  </w:r>
                </w:p>
              </w:tc>
              <w:tc>
                <w:tcPr>
                  <w:tcW w:w="1174" w:type="dxa"/>
                  <w:shd w:val="clear" w:color="auto" w:fill="auto"/>
                  <w:vAlign w:val="center"/>
                </w:tcPr>
                <w:p>
                  <w:pPr>
                    <w:pStyle w:val="33"/>
                    <w:spacing w:line="360" w:lineRule="exact"/>
                    <w:jc w:val="center"/>
                    <w:rPr>
                      <w:szCs w:val="21"/>
                    </w:rPr>
                  </w:pPr>
                  <w:r>
                    <w:rPr>
                      <w:rFonts w:hint="eastAsia"/>
                      <w:szCs w:val="21"/>
                    </w:rPr>
                    <w:t>217.15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3" w:hRule="atLeast"/>
                <w:jc w:val="center"/>
              </w:trPr>
              <w:tc>
                <w:tcPr>
                  <w:tcW w:w="747" w:type="dxa"/>
                  <w:vMerge w:val="continue"/>
                  <w:shd w:val="clear" w:color="auto" w:fill="auto"/>
                  <w:vAlign w:val="center"/>
                </w:tcPr>
                <w:p>
                  <w:pPr>
                    <w:widowControl/>
                    <w:spacing w:line="360" w:lineRule="exact"/>
                    <w:jc w:val="center"/>
                    <w:rPr>
                      <w:szCs w:val="21"/>
                    </w:rPr>
                  </w:pPr>
                </w:p>
              </w:tc>
              <w:tc>
                <w:tcPr>
                  <w:tcW w:w="1421" w:type="dxa"/>
                  <w:shd w:val="clear" w:color="auto" w:fill="auto"/>
                  <w:vAlign w:val="center"/>
                </w:tcPr>
                <w:p>
                  <w:pPr>
                    <w:pStyle w:val="33"/>
                    <w:spacing w:line="360" w:lineRule="exact"/>
                    <w:jc w:val="center"/>
                    <w:rPr>
                      <w:szCs w:val="21"/>
                    </w:rPr>
                  </w:pPr>
                  <w:r>
                    <w:rPr>
                      <w:rFonts w:hint="eastAsia"/>
                      <w:szCs w:val="21"/>
                    </w:rPr>
                    <w:t>剥离量累计（</w:t>
                  </w:r>
                  <w:r>
                    <w:rPr>
                      <w:rFonts w:hint="eastAsia"/>
                      <w:spacing w:val="-27"/>
                      <w:szCs w:val="21"/>
                    </w:rPr>
                    <w:t xml:space="preserve">万 </w:t>
                  </w:r>
                  <w:r>
                    <w:rPr>
                      <w:rFonts w:hint="eastAsia"/>
                    </w:rPr>
                    <w:t>m</w:t>
                  </w:r>
                  <w:r>
                    <w:rPr>
                      <w:rFonts w:hint="eastAsia"/>
                      <w:vertAlign w:val="superscript"/>
                    </w:rPr>
                    <w:t>3</w:t>
                  </w:r>
                  <w:r>
                    <w:rPr>
                      <w:rFonts w:hint="eastAsia"/>
                      <w:szCs w:val="21"/>
                    </w:rPr>
                    <w:t>)</w:t>
                  </w:r>
                </w:p>
              </w:tc>
              <w:tc>
                <w:tcPr>
                  <w:tcW w:w="876" w:type="dxa"/>
                  <w:shd w:val="clear" w:color="auto" w:fill="auto"/>
                  <w:vAlign w:val="center"/>
                </w:tcPr>
                <w:p>
                  <w:pPr>
                    <w:pStyle w:val="33"/>
                    <w:spacing w:line="360" w:lineRule="exact"/>
                    <w:jc w:val="center"/>
                    <w:rPr>
                      <w:szCs w:val="21"/>
                    </w:rPr>
                  </w:pPr>
                  <w:r>
                    <w:rPr>
                      <w:rFonts w:hint="eastAsia"/>
                      <w:szCs w:val="21"/>
                    </w:rPr>
                    <w:t>260</w:t>
                  </w:r>
                </w:p>
              </w:tc>
              <w:tc>
                <w:tcPr>
                  <w:tcW w:w="1044" w:type="dxa"/>
                  <w:shd w:val="clear" w:color="auto" w:fill="auto"/>
                  <w:vAlign w:val="center"/>
                </w:tcPr>
                <w:p>
                  <w:pPr>
                    <w:pStyle w:val="33"/>
                    <w:spacing w:line="360" w:lineRule="exact"/>
                    <w:jc w:val="center"/>
                    <w:rPr>
                      <w:szCs w:val="21"/>
                    </w:rPr>
                  </w:pPr>
                  <w:r>
                    <w:rPr>
                      <w:rFonts w:hint="eastAsia"/>
                      <w:szCs w:val="21"/>
                    </w:rPr>
                    <w:t>520</w:t>
                  </w:r>
                </w:p>
              </w:tc>
              <w:tc>
                <w:tcPr>
                  <w:tcW w:w="1122" w:type="dxa"/>
                  <w:shd w:val="clear" w:color="auto" w:fill="auto"/>
                  <w:vAlign w:val="center"/>
                </w:tcPr>
                <w:p>
                  <w:pPr>
                    <w:pStyle w:val="33"/>
                    <w:spacing w:line="360" w:lineRule="exact"/>
                    <w:jc w:val="center"/>
                    <w:rPr>
                      <w:szCs w:val="21"/>
                    </w:rPr>
                  </w:pPr>
                  <w:r>
                    <w:rPr>
                      <w:rFonts w:hint="eastAsia"/>
                      <w:szCs w:val="21"/>
                    </w:rPr>
                    <w:t>780</w:t>
                  </w:r>
                </w:p>
              </w:tc>
              <w:tc>
                <w:tcPr>
                  <w:tcW w:w="1117" w:type="dxa"/>
                  <w:shd w:val="clear" w:color="auto" w:fill="auto"/>
                  <w:vAlign w:val="center"/>
                </w:tcPr>
                <w:p>
                  <w:pPr>
                    <w:pStyle w:val="33"/>
                    <w:spacing w:line="360" w:lineRule="exact"/>
                    <w:jc w:val="center"/>
                    <w:rPr>
                      <w:szCs w:val="21"/>
                    </w:rPr>
                  </w:pPr>
                  <w:r>
                    <w:rPr>
                      <w:rFonts w:hint="eastAsia"/>
                      <w:szCs w:val="21"/>
                    </w:rPr>
                    <w:t>1040</w:t>
                  </w:r>
                </w:p>
              </w:tc>
              <w:tc>
                <w:tcPr>
                  <w:tcW w:w="1039" w:type="dxa"/>
                  <w:shd w:val="clear" w:color="auto" w:fill="auto"/>
                  <w:vAlign w:val="center"/>
                </w:tcPr>
                <w:p>
                  <w:pPr>
                    <w:pStyle w:val="33"/>
                    <w:spacing w:line="360" w:lineRule="exact"/>
                    <w:jc w:val="center"/>
                    <w:rPr>
                      <w:szCs w:val="21"/>
                    </w:rPr>
                  </w:pPr>
                  <w:r>
                    <w:rPr>
                      <w:rFonts w:hint="eastAsia"/>
                      <w:szCs w:val="21"/>
                    </w:rPr>
                    <w:t>1300</w:t>
                  </w:r>
                </w:p>
              </w:tc>
              <w:tc>
                <w:tcPr>
                  <w:tcW w:w="1174" w:type="dxa"/>
                  <w:shd w:val="clear" w:color="auto" w:fill="auto"/>
                  <w:vAlign w:val="center"/>
                </w:tcPr>
                <w:p>
                  <w:pPr>
                    <w:pStyle w:val="33"/>
                    <w:spacing w:line="360" w:lineRule="exact"/>
                    <w:jc w:val="center"/>
                    <w:rPr>
                      <w:szCs w:val="21"/>
                    </w:rPr>
                  </w:pPr>
                  <w:r>
                    <w:rPr>
                      <w:rFonts w:hint="eastAsia"/>
                      <w:szCs w:val="21"/>
                    </w:rPr>
                    <w:t>1517.15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4" w:hRule="atLeast"/>
                <w:jc w:val="center"/>
              </w:trPr>
              <w:tc>
                <w:tcPr>
                  <w:tcW w:w="747" w:type="dxa"/>
                  <w:vMerge w:val="restart"/>
                  <w:shd w:val="clear" w:color="auto" w:fill="auto"/>
                  <w:vAlign w:val="center"/>
                </w:tcPr>
                <w:p>
                  <w:pPr>
                    <w:pStyle w:val="33"/>
                    <w:spacing w:line="360" w:lineRule="exact"/>
                    <w:jc w:val="center"/>
                    <w:rPr>
                      <w:szCs w:val="21"/>
                    </w:rPr>
                  </w:pPr>
                  <w:r>
                    <w:rPr>
                      <w:rFonts w:hint="eastAsia"/>
                      <w:szCs w:val="21"/>
                    </w:rPr>
                    <w:t>石料</w:t>
                  </w:r>
                </w:p>
              </w:tc>
              <w:tc>
                <w:tcPr>
                  <w:tcW w:w="1421" w:type="dxa"/>
                  <w:shd w:val="clear" w:color="auto" w:fill="auto"/>
                  <w:vAlign w:val="center"/>
                </w:tcPr>
                <w:p>
                  <w:pPr>
                    <w:pStyle w:val="33"/>
                    <w:spacing w:line="360" w:lineRule="exact"/>
                    <w:jc w:val="center"/>
                    <w:rPr>
                      <w:szCs w:val="21"/>
                    </w:rPr>
                  </w:pPr>
                  <w:r>
                    <w:rPr>
                      <w:rFonts w:hint="eastAsia"/>
                      <w:szCs w:val="21"/>
                    </w:rPr>
                    <w:t>建筑石料</w:t>
                  </w:r>
                </w:p>
                <w:p>
                  <w:pPr>
                    <w:pStyle w:val="33"/>
                    <w:spacing w:line="360" w:lineRule="exact"/>
                    <w:jc w:val="center"/>
                    <w:rPr>
                      <w:szCs w:val="21"/>
                    </w:rPr>
                  </w:pPr>
                  <w:r>
                    <w:rPr>
                      <w:rFonts w:hint="eastAsia"/>
                      <w:szCs w:val="21"/>
                    </w:rPr>
                    <w:t>（</w:t>
                  </w:r>
                  <w:r>
                    <w:rPr>
                      <w:rFonts w:hint="eastAsia"/>
                      <w:spacing w:val="-27"/>
                      <w:szCs w:val="21"/>
                    </w:rPr>
                    <w:t xml:space="preserve">万 </w:t>
                  </w:r>
                  <w:r>
                    <w:rPr>
                      <w:rFonts w:hint="eastAsia"/>
                      <w:szCs w:val="21"/>
                    </w:rPr>
                    <w:t>t)</w:t>
                  </w:r>
                </w:p>
              </w:tc>
              <w:tc>
                <w:tcPr>
                  <w:tcW w:w="876" w:type="dxa"/>
                  <w:shd w:val="clear" w:color="auto" w:fill="auto"/>
                  <w:vAlign w:val="center"/>
                </w:tcPr>
                <w:p>
                  <w:pPr>
                    <w:pStyle w:val="33"/>
                    <w:spacing w:line="360" w:lineRule="exact"/>
                    <w:jc w:val="center"/>
                    <w:rPr>
                      <w:szCs w:val="21"/>
                    </w:rPr>
                  </w:pPr>
                  <w:r>
                    <w:rPr>
                      <w:rFonts w:hint="eastAsia"/>
                      <w:szCs w:val="21"/>
                    </w:rPr>
                    <w:t>500</w:t>
                  </w:r>
                </w:p>
              </w:tc>
              <w:tc>
                <w:tcPr>
                  <w:tcW w:w="1044" w:type="dxa"/>
                  <w:shd w:val="clear" w:color="auto" w:fill="auto"/>
                  <w:vAlign w:val="center"/>
                </w:tcPr>
                <w:p>
                  <w:pPr>
                    <w:pStyle w:val="33"/>
                    <w:spacing w:line="360" w:lineRule="exact"/>
                    <w:jc w:val="center"/>
                    <w:rPr>
                      <w:szCs w:val="21"/>
                    </w:rPr>
                  </w:pPr>
                  <w:r>
                    <w:rPr>
                      <w:rFonts w:hint="eastAsia"/>
                      <w:szCs w:val="21"/>
                    </w:rPr>
                    <w:t>500</w:t>
                  </w:r>
                </w:p>
              </w:tc>
              <w:tc>
                <w:tcPr>
                  <w:tcW w:w="1122" w:type="dxa"/>
                  <w:shd w:val="clear" w:color="auto" w:fill="auto"/>
                  <w:vAlign w:val="center"/>
                </w:tcPr>
                <w:p>
                  <w:pPr>
                    <w:pStyle w:val="33"/>
                    <w:spacing w:line="360" w:lineRule="exact"/>
                    <w:jc w:val="center"/>
                    <w:rPr>
                      <w:szCs w:val="21"/>
                    </w:rPr>
                  </w:pPr>
                  <w:r>
                    <w:rPr>
                      <w:rFonts w:hint="eastAsia"/>
                      <w:szCs w:val="21"/>
                    </w:rPr>
                    <w:t>500</w:t>
                  </w:r>
                </w:p>
              </w:tc>
              <w:tc>
                <w:tcPr>
                  <w:tcW w:w="1117" w:type="dxa"/>
                  <w:shd w:val="clear" w:color="auto" w:fill="auto"/>
                  <w:vAlign w:val="center"/>
                </w:tcPr>
                <w:p>
                  <w:pPr>
                    <w:pStyle w:val="33"/>
                    <w:spacing w:line="360" w:lineRule="exact"/>
                    <w:jc w:val="center"/>
                    <w:rPr>
                      <w:szCs w:val="21"/>
                    </w:rPr>
                  </w:pPr>
                  <w:r>
                    <w:rPr>
                      <w:rFonts w:hint="eastAsia"/>
                      <w:szCs w:val="21"/>
                    </w:rPr>
                    <w:t>500</w:t>
                  </w:r>
                </w:p>
              </w:tc>
              <w:tc>
                <w:tcPr>
                  <w:tcW w:w="1039" w:type="dxa"/>
                  <w:shd w:val="clear" w:color="auto" w:fill="auto"/>
                  <w:vAlign w:val="center"/>
                </w:tcPr>
                <w:p>
                  <w:pPr>
                    <w:pStyle w:val="33"/>
                    <w:spacing w:line="360" w:lineRule="exact"/>
                    <w:jc w:val="center"/>
                    <w:rPr>
                      <w:szCs w:val="21"/>
                    </w:rPr>
                  </w:pPr>
                  <w:r>
                    <w:rPr>
                      <w:rFonts w:hint="eastAsia"/>
                      <w:szCs w:val="21"/>
                    </w:rPr>
                    <w:t>500</w:t>
                  </w:r>
                </w:p>
              </w:tc>
              <w:tc>
                <w:tcPr>
                  <w:tcW w:w="1174" w:type="dxa"/>
                  <w:shd w:val="clear" w:color="auto" w:fill="auto"/>
                  <w:vAlign w:val="center"/>
                </w:tcPr>
                <w:p>
                  <w:pPr>
                    <w:pStyle w:val="33"/>
                    <w:spacing w:line="360" w:lineRule="exact"/>
                    <w:jc w:val="center"/>
                    <w:rPr>
                      <w:szCs w:val="21"/>
                    </w:rPr>
                  </w:pPr>
                  <w:r>
                    <w:rPr>
                      <w:rFonts w:hint="eastAsia"/>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atLeast"/>
                <w:jc w:val="center"/>
              </w:trPr>
              <w:tc>
                <w:tcPr>
                  <w:tcW w:w="747" w:type="dxa"/>
                  <w:vMerge w:val="continue"/>
                  <w:shd w:val="clear" w:color="auto" w:fill="auto"/>
                  <w:vAlign w:val="center"/>
                </w:tcPr>
                <w:p>
                  <w:pPr>
                    <w:widowControl/>
                    <w:spacing w:line="360" w:lineRule="exact"/>
                    <w:jc w:val="center"/>
                    <w:rPr>
                      <w:szCs w:val="21"/>
                    </w:rPr>
                  </w:pPr>
                </w:p>
              </w:tc>
              <w:tc>
                <w:tcPr>
                  <w:tcW w:w="1421" w:type="dxa"/>
                  <w:shd w:val="clear" w:color="auto" w:fill="auto"/>
                  <w:vAlign w:val="center"/>
                </w:tcPr>
                <w:p>
                  <w:pPr>
                    <w:pStyle w:val="33"/>
                    <w:spacing w:line="360" w:lineRule="exact"/>
                    <w:jc w:val="center"/>
                    <w:rPr>
                      <w:szCs w:val="21"/>
                    </w:rPr>
                  </w:pPr>
                  <w:r>
                    <w:rPr>
                      <w:rFonts w:hint="eastAsia"/>
                      <w:szCs w:val="21"/>
                    </w:rPr>
                    <w:t>建筑石料累计</w:t>
                  </w:r>
                </w:p>
                <w:p>
                  <w:pPr>
                    <w:pStyle w:val="33"/>
                    <w:spacing w:line="360" w:lineRule="exact"/>
                    <w:jc w:val="center"/>
                    <w:rPr>
                      <w:szCs w:val="21"/>
                    </w:rPr>
                  </w:pPr>
                  <w:r>
                    <w:rPr>
                      <w:rFonts w:hint="eastAsia"/>
                      <w:szCs w:val="21"/>
                    </w:rPr>
                    <w:t>（万t)</w:t>
                  </w:r>
                </w:p>
              </w:tc>
              <w:tc>
                <w:tcPr>
                  <w:tcW w:w="876" w:type="dxa"/>
                  <w:shd w:val="clear" w:color="auto" w:fill="auto"/>
                  <w:vAlign w:val="center"/>
                </w:tcPr>
                <w:p>
                  <w:pPr>
                    <w:pStyle w:val="33"/>
                    <w:spacing w:line="360" w:lineRule="exact"/>
                    <w:jc w:val="center"/>
                    <w:rPr>
                      <w:szCs w:val="21"/>
                    </w:rPr>
                  </w:pPr>
                  <w:r>
                    <w:rPr>
                      <w:rFonts w:hint="eastAsia"/>
                      <w:szCs w:val="21"/>
                    </w:rPr>
                    <w:t>500</w:t>
                  </w:r>
                </w:p>
              </w:tc>
              <w:tc>
                <w:tcPr>
                  <w:tcW w:w="1044" w:type="dxa"/>
                  <w:shd w:val="clear" w:color="auto" w:fill="auto"/>
                  <w:vAlign w:val="center"/>
                </w:tcPr>
                <w:p>
                  <w:pPr>
                    <w:pStyle w:val="33"/>
                    <w:spacing w:line="360" w:lineRule="exact"/>
                    <w:jc w:val="center"/>
                    <w:rPr>
                      <w:szCs w:val="21"/>
                    </w:rPr>
                  </w:pPr>
                  <w:r>
                    <w:rPr>
                      <w:rFonts w:hint="eastAsia"/>
                      <w:szCs w:val="21"/>
                    </w:rPr>
                    <w:t>1000</w:t>
                  </w:r>
                </w:p>
              </w:tc>
              <w:tc>
                <w:tcPr>
                  <w:tcW w:w="1122" w:type="dxa"/>
                  <w:shd w:val="clear" w:color="auto" w:fill="auto"/>
                  <w:vAlign w:val="center"/>
                </w:tcPr>
                <w:p>
                  <w:pPr>
                    <w:pStyle w:val="33"/>
                    <w:spacing w:line="360" w:lineRule="exact"/>
                    <w:jc w:val="center"/>
                    <w:rPr>
                      <w:szCs w:val="21"/>
                    </w:rPr>
                  </w:pPr>
                  <w:r>
                    <w:rPr>
                      <w:rFonts w:hint="eastAsia"/>
                      <w:szCs w:val="21"/>
                    </w:rPr>
                    <w:t>1500</w:t>
                  </w:r>
                </w:p>
              </w:tc>
              <w:tc>
                <w:tcPr>
                  <w:tcW w:w="1117" w:type="dxa"/>
                  <w:shd w:val="clear" w:color="auto" w:fill="auto"/>
                  <w:vAlign w:val="center"/>
                </w:tcPr>
                <w:p>
                  <w:pPr>
                    <w:pStyle w:val="33"/>
                    <w:spacing w:line="360" w:lineRule="exact"/>
                    <w:jc w:val="center"/>
                    <w:rPr>
                      <w:szCs w:val="21"/>
                    </w:rPr>
                  </w:pPr>
                  <w:r>
                    <w:rPr>
                      <w:rFonts w:hint="eastAsia"/>
                      <w:szCs w:val="21"/>
                    </w:rPr>
                    <w:t>2000</w:t>
                  </w:r>
                </w:p>
              </w:tc>
              <w:tc>
                <w:tcPr>
                  <w:tcW w:w="1039" w:type="dxa"/>
                  <w:shd w:val="clear" w:color="auto" w:fill="auto"/>
                  <w:vAlign w:val="center"/>
                </w:tcPr>
                <w:p>
                  <w:pPr>
                    <w:pStyle w:val="33"/>
                    <w:spacing w:line="360" w:lineRule="exact"/>
                    <w:jc w:val="center"/>
                    <w:rPr>
                      <w:szCs w:val="21"/>
                    </w:rPr>
                  </w:pPr>
                  <w:r>
                    <w:rPr>
                      <w:rFonts w:hint="eastAsia"/>
                      <w:szCs w:val="21"/>
                    </w:rPr>
                    <w:t>2500</w:t>
                  </w:r>
                </w:p>
              </w:tc>
              <w:tc>
                <w:tcPr>
                  <w:tcW w:w="1174" w:type="dxa"/>
                  <w:shd w:val="clear" w:color="auto" w:fill="auto"/>
                  <w:vAlign w:val="center"/>
                </w:tcPr>
                <w:p>
                  <w:pPr>
                    <w:pStyle w:val="33"/>
                    <w:spacing w:line="360" w:lineRule="exact"/>
                    <w:jc w:val="center"/>
                    <w:rPr>
                      <w:szCs w:val="21"/>
                    </w:rPr>
                  </w:pPr>
                  <w:r>
                    <w:rPr>
                      <w:rFonts w:hint="eastAsia"/>
                      <w:szCs w:val="21"/>
                    </w:rPr>
                    <w:t>3000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4" w:hRule="atLeast"/>
                <w:jc w:val="center"/>
              </w:trPr>
              <w:tc>
                <w:tcPr>
                  <w:tcW w:w="747" w:type="dxa"/>
                  <w:vMerge w:val="restart"/>
                  <w:shd w:val="clear" w:color="auto" w:fill="auto"/>
                  <w:vAlign w:val="center"/>
                </w:tcPr>
                <w:p>
                  <w:pPr>
                    <w:pStyle w:val="33"/>
                    <w:spacing w:line="360" w:lineRule="exact"/>
                    <w:jc w:val="center"/>
                    <w:rPr>
                      <w:szCs w:val="21"/>
                    </w:rPr>
                  </w:pPr>
                  <w:r>
                    <w:rPr>
                      <w:rFonts w:hint="eastAsia"/>
                      <w:szCs w:val="21"/>
                    </w:rPr>
                    <w:t>采矿</w:t>
                  </w:r>
                </w:p>
              </w:tc>
              <w:tc>
                <w:tcPr>
                  <w:tcW w:w="1421" w:type="dxa"/>
                  <w:shd w:val="clear" w:color="auto" w:fill="auto"/>
                  <w:vAlign w:val="center"/>
                </w:tcPr>
                <w:p>
                  <w:pPr>
                    <w:pStyle w:val="33"/>
                    <w:spacing w:line="360" w:lineRule="exact"/>
                    <w:jc w:val="center"/>
                    <w:rPr>
                      <w:szCs w:val="21"/>
                    </w:rPr>
                  </w:pPr>
                  <w:r>
                    <w:rPr>
                      <w:rFonts w:hint="eastAsia"/>
                      <w:szCs w:val="21"/>
                    </w:rPr>
                    <w:t>矿石量</w:t>
                  </w:r>
                  <w:r>
                    <w:rPr>
                      <w:rFonts w:hint="eastAsia"/>
                      <w:spacing w:val="-18"/>
                      <w:szCs w:val="21"/>
                    </w:rPr>
                    <w:t xml:space="preserve">(万 </w:t>
                  </w:r>
                  <w:r>
                    <w:rPr>
                      <w:rFonts w:hint="eastAsia"/>
                      <w:spacing w:val="-9"/>
                      <w:szCs w:val="21"/>
                    </w:rPr>
                    <w:t>t)</w:t>
                  </w:r>
                </w:p>
              </w:tc>
              <w:tc>
                <w:tcPr>
                  <w:tcW w:w="876" w:type="dxa"/>
                  <w:shd w:val="clear" w:color="auto" w:fill="auto"/>
                  <w:vAlign w:val="center"/>
                </w:tcPr>
                <w:p>
                  <w:pPr>
                    <w:pStyle w:val="33"/>
                    <w:spacing w:line="360" w:lineRule="exact"/>
                    <w:jc w:val="center"/>
                    <w:rPr>
                      <w:szCs w:val="21"/>
                    </w:rPr>
                  </w:pPr>
                  <w:r>
                    <w:rPr>
                      <w:rFonts w:hint="eastAsia"/>
                      <w:szCs w:val="21"/>
                    </w:rPr>
                    <w:t>50</w:t>
                  </w:r>
                </w:p>
              </w:tc>
              <w:tc>
                <w:tcPr>
                  <w:tcW w:w="1044" w:type="dxa"/>
                  <w:shd w:val="clear" w:color="auto" w:fill="auto"/>
                  <w:vAlign w:val="center"/>
                </w:tcPr>
                <w:p>
                  <w:pPr>
                    <w:pStyle w:val="33"/>
                    <w:spacing w:line="360" w:lineRule="exact"/>
                    <w:jc w:val="center"/>
                    <w:rPr>
                      <w:szCs w:val="21"/>
                    </w:rPr>
                  </w:pPr>
                  <w:r>
                    <w:rPr>
                      <w:rFonts w:hint="eastAsia"/>
                      <w:szCs w:val="21"/>
                    </w:rPr>
                    <w:t>50</w:t>
                  </w:r>
                </w:p>
              </w:tc>
              <w:tc>
                <w:tcPr>
                  <w:tcW w:w="1122" w:type="dxa"/>
                  <w:shd w:val="clear" w:color="auto" w:fill="auto"/>
                  <w:vAlign w:val="center"/>
                </w:tcPr>
                <w:p>
                  <w:pPr>
                    <w:pStyle w:val="33"/>
                    <w:spacing w:line="360" w:lineRule="exact"/>
                    <w:jc w:val="center"/>
                    <w:rPr>
                      <w:szCs w:val="21"/>
                    </w:rPr>
                  </w:pPr>
                  <w:r>
                    <w:rPr>
                      <w:rFonts w:hint="eastAsia"/>
                      <w:szCs w:val="21"/>
                    </w:rPr>
                    <w:t>50</w:t>
                  </w:r>
                </w:p>
              </w:tc>
              <w:tc>
                <w:tcPr>
                  <w:tcW w:w="1117" w:type="dxa"/>
                  <w:shd w:val="clear" w:color="auto" w:fill="auto"/>
                  <w:vAlign w:val="center"/>
                </w:tcPr>
                <w:p>
                  <w:pPr>
                    <w:pStyle w:val="33"/>
                    <w:spacing w:line="360" w:lineRule="exact"/>
                    <w:jc w:val="center"/>
                    <w:rPr>
                      <w:szCs w:val="21"/>
                    </w:rPr>
                  </w:pPr>
                  <w:r>
                    <w:rPr>
                      <w:rFonts w:hint="eastAsia"/>
                      <w:szCs w:val="21"/>
                    </w:rPr>
                    <w:t>50</w:t>
                  </w:r>
                </w:p>
              </w:tc>
              <w:tc>
                <w:tcPr>
                  <w:tcW w:w="1039" w:type="dxa"/>
                  <w:shd w:val="clear" w:color="auto" w:fill="auto"/>
                  <w:vAlign w:val="center"/>
                </w:tcPr>
                <w:p>
                  <w:pPr>
                    <w:pStyle w:val="33"/>
                    <w:spacing w:line="360" w:lineRule="exact"/>
                    <w:jc w:val="center"/>
                    <w:rPr>
                      <w:szCs w:val="21"/>
                    </w:rPr>
                  </w:pPr>
                  <w:r>
                    <w:rPr>
                      <w:rFonts w:hint="eastAsia"/>
                      <w:szCs w:val="21"/>
                    </w:rPr>
                    <w:t>50</w:t>
                  </w:r>
                </w:p>
              </w:tc>
              <w:tc>
                <w:tcPr>
                  <w:tcW w:w="1174" w:type="dxa"/>
                  <w:shd w:val="clear" w:color="auto" w:fill="auto"/>
                  <w:vAlign w:val="center"/>
                </w:tcPr>
                <w:p>
                  <w:pPr>
                    <w:pStyle w:val="33"/>
                    <w:spacing w:line="360" w:lineRule="exact"/>
                    <w:jc w:val="center"/>
                    <w:rPr>
                      <w:szCs w:val="21"/>
                    </w:rPr>
                  </w:pPr>
                  <w:r>
                    <w:rPr>
                      <w:rFonts w:hint="eastAsia"/>
                      <w:szCs w:val="21"/>
                    </w:rPr>
                    <w:t>10.11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3" w:hRule="atLeast"/>
                <w:jc w:val="center"/>
              </w:trPr>
              <w:tc>
                <w:tcPr>
                  <w:tcW w:w="747" w:type="dxa"/>
                  <w:vMerge w:val="continue"/>
                  <w:shd w:val="clear" w:color="auto" w:fill="auto"/>
                  <w:vAlign w:val="center"/>
                </w:tcPr>
                <w:p>
                  <w:pPr>
                    <w:widowControl/>
                    <w:spacing w:line="360" w:lineRule="exact"/>
                    <w:jc w:val="center"/>
                    <w:rPr>
                      <w:szCs w:val="21"/>
                    </w:rPr>
                  </w:pPr>
                </w:p>
              </w:tc>
              <w:tc>
                <w:tcPr>
                  <w:tcW w:w="1421" w:type="dxa"/>
                  <w:shd w:val="clear" w:color="auto" w:fill="auto"/>
                  <w:vAlign w:val="center"/>
                </w:tcPr>
                <w:p>
                  <w:pPr>
                    <w:pStyle w:val="33"/>
                    <w:spacing w:line="360" w:lineRule="exact"/>
                    <w:jc w:val="center"/>
                    <w:rPr>
                      <w:szCs w:val="21"/>
                    </w:rPr>
                  </w:pPr>
                  <w:r>
                    <w:rPr>
                      <w:rFonts w:hint="eastAsia"/>
                      <w:szCs w:val="21"/>
                    </w:rPr>
                    <w:t>矿石量累计(万 t)</w:t>
                  </w:r>
                </w:p>
              </w:tc>
              <w:tc>
                <w:tcPr>
                  <w:tcW w:w="876" w:type="dxa"/>
                  <w:shd w:val="clear" w:color="auto" w:fill="auto"/>
                  <w:vAlign w:val="center"/>
                </w:tcPr>
                <w:p>
                  <w:pPr>
                    <w:pStyle w:val="33"/>
                    <w:spacing w:line="360" w:lineRule="exact"/>
                    <w:jc w:val="center"/>
                    <w:rPr>
                      <w:szCs w:val="21"/>
                    </w:rPr>
                  </w:pPr>
                  <w:r>
                    <w:rPr>
                      <w:rFonts w:hint="eastAsia"/>
                      <w:szCs w:val="21"/>
                    </w:rPr>
                    <w:t>50</w:t>
                  </w:r>
                </w:p>
              </w:tc>
              <w:tc>
                <w:tcPr>
                  <w:tcW w:w="1044" w:type="dxa"/>
                  <w:shd w:val="clear" w:color="auto" w:fill="auto"/>
                  <w:vAlign w:val="center"/>
                </w:tcPr>
                <w:p>
                  <w:pPr>
                    <w:pStyle w:val="33"/>
                    <w:spacing w:line="360" w:lineRule="exact"/>
                    <w:jc w:val="center"/>
                    <w:rPr>
                      <w:szCs w:val="21"/>
                    </w:rPr>
                  </w:pPr>
                  <w:r>
                    <w:rPr>
                      <w:rFonts w:hint="eastAsia"/>
                      <w:szCs w:val="21"/>
                    </w:rPr>
                    <w:t>100</w:t>
                  </w:r>
                </w:p>
              </w:tc>
              <w:tc>
                <w:tcPr>
                  <w:tcW w:w="1122" w:type="dxa"/>
                  <w:shd w:val="clear" w:color="auto" w:fill="auto"/>
                  <w:vAlign w:val="center"/>
                </w:tcPr>
                <w:p>
                  <w:pPr>
                    <w:pStyle w:val="33"/>
                    <w:spacing w:line="360" w:lineRule="exact"/>
                    <w:jc w:val="center"/>
                    <w:rPr>
                      <w:szCs w:val="21"/>
                    </w:rPr>
                  </w:pPr>
                  <w:r>
                    <w:rPr>
                      <w:rFonts w:hint="eastAsia"/>
                      <w:szCs w:val="21"/>
                    </w:rPr>
                    <w:t>150</w:t>
                  </w:r>
                </w:p>
              </w:tc>
              <w:tc>
                <w:tcPr>
                  <w:tcW w:w="1117" w:type="dxa"/>
                  <w:shd w:val="clear" w:color="auto" w:fill="auto"/>
                  <w:vAlign w:val="center"/>
                </w:tcPr>
                <w:p>
                  <w:pPr>
                    <w:pStyle w:val="33"/>
                    <w:spacing w:line="360" w:lineRule="exact"/>
                    <w:jc w:val="center"/>
                    <w:rPr>
                      <w:szCs w:val="21"/>
                    </w:rPr>
                  </w:pPr>
                  <w:r>
                    <w:rPr>
                      <w:rFonts w:hint="eastAsia"/>
                      <w:szCs w:val="21"/>
                    </w:rPr>
                    <w:t>200</w:t>
                  </w:r>
                </w:p>
              </w:tc>
              <w:tc>
                <w:tcPr>
                  <w:tcW w:w="1039" w:type="dxa"/>
                  <w:shd w:val="clear" w:color="auto" w:fill="auto"/>
                  <w:vAlign w:val="center"/>
                </w:tcPr>
                <w:p>
                  <w:pPr>
                    <w:pStyle w:val="33"/>
                    <w:spacing w:line="360" w:lineRule="exact"/>
                    <w:jc w:val="center"/>
                    <w:rPr>
                      <w:szCs w:val="21"/>
                    </w:rPr>
                  </w:pPr>
                  <w:r>
                    <w:rPr>
                      <w:rFonts w:hint="eastAsia"/>
                      <w:szCs w:val="21"/>
                    </w:rPr>
                    <w:t>250</w:t>
                  </w:r>
                </w:p>
              </w:tc>
              <w:tc>
                <w:tcPr>
                  <w:tcW w:w="1174" w:type="dxa"/>
                  <w:shd w:val="clear" w:color="auto" w:fill="auto"/>
                  <w:vAlign w:val="center"/>
                </w:tcPr>
                <w:p>
                  <w:pPr>
                    <w:pStyle w:val="33"/>
                    <w:spacing w:line="360" w:lineRule="exact"/>
                    <w:jc w:val="center"/>
                    <w:rPr>
                      <w:szCs w:val="21"/>
                    </w:rPr>
                  </w:pPr>
                  <w:r>
                    <w:rPr>
                      <w:rFonts w:hint="eastAsia"/>
                      <w:szCs w:val="21"/>
                    </w:rPr>
                    <w:t>260.11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1" w:hRule="atLeast"/>
                <w:jc w:val="center"/>
              </w:trPr>
              <w:tc>
                <w:tcPr>
                  <w:tcW w:w="2168" w:type="dxa"/>
                  <w:gridSpan w:val="2"/>
                  <w:shd w:val="clear" w:color="auto" w:fill="auto"/>
                  <w:vAlign w:val="center"/>
                </w:tcPr>
                <w:p>
                  <w:pPr>
                    <w:pStyle w:val="33"/>
                    <w:spacing w:line="360" w:lineRule="exact"/>
                    <w:jc w:val="center"/>
                    <w:rPr>
                      <w:szCs w:val="21"/>
                    </w:rPr>
                  </w:pPr>
                  <w:r>
                    <w:rPr>
                      <w:rFonts w:hint="eastAsia"/>
                      <w:szCs w:val="21"/>
                    </w:rPr>
                    <w:t>均衡生产剥比(</w:t>
                  </w:r>
                  <w:r>
                    <w:rPr>
                      <w:rFonts w:hint="eastAsia"/>
                    </w:rPr>
                    <w:t>m</w:t>
                  </w:r>
                  <w:r>
                    <w:rPr>
                      <w:rFonts w:hint="eastAsia"/>
                      <w:vertAlign w:val="superscript"/>
                    </w:rPr>
                    <w:t>3</w:t>
                  </w:r>
                  <w:r>
                    <w:rPr>
                      <w:rFonts w:hint="eastAsia"/>
                      <w:szCs w:val="21"/>
                    </w:rPr>
                    <w:t>/t)</w:t>
                  </w:r>
                </w:p>
              </w:tc>
              <w:tc>
                <w:tcPr>
                  <w:tcW w:w="876" w:type="dxa"/>
                  <w:shd w:val="clear" w:color="auto" w:fill="auto"/>
                  <w:vAlign w:val="center"/>
                </w:tcPr>
                <w:p>
                  <w:pPr>
                    <w:pStyle w:val="33"/>
                    <w:spacing w:line="360" w:lineRule="exact"/>
                    <w:jc w:val="center"/>
                    <w:rPr>
                      <w:szCs w:val="21"/>
                    </w:rPr>
                  </w:pPr>
                  <w:r>
                    <w:rPr>
                      <w:rFonts w:hint="eastAsia"/>
                      <w:szCs w:val="21"/>
                    </w:rPr>
                    <w:t>5.2</w:t>
                  </w:r>
                </w:p>
              </w:tc>
              <w:tc>
                <w:tcPr>
                  <w:tcW w:w="1044" w:type="dxa"/>
                  <w:shd w:val="clear" w:color="auto" w:fill="auto"/>
                  <w:vAlign w:val="center"/>
                </w:tcPr>
                <w:p>
                  <w:pPr>
                    <w:pStyle w:val="33"/>
                    <w:spacing w:line="360" w:lineRule="exact"/>
                    <w:jc w:val="center"/>
                    <w:rPr>
                      <w:szCs w:val="21"/>
                    </w:rPr>
                  </w:pPr>
                  <w:r>
                    <w:rPr>
                      <w:rFonts w:hint="eastAsia"/>
                      <w:szCs w:val="21"/>
                    </w:rPr>
                    <w:t>5.2</w:t>
                  </w:r>
                </w:p>
              </w:tc>
              <w:tc>
                <w:tcPr>
                  <w:tcW w:w="1122" w:type="dxa"/>
                  <w:shd w:val="clear" w:color="auto" w:fill="auto"/>
                  <w:vAlign w:val="center"/>
                </w:tcPr>
                <w:p>
                  <w:pPr>
                    <w:pStyle w:val="33"/>
                    <w:spacing w:line="360" w:lineRule="exact"/>
                    <w:jc w:val="center"/>
                    <w:rPr>
                      <w:szCs w:val="21"/>
                    </w:rPr>
                  </w:pPr>
                  <w:r>
                    <w:rPr>
                      <w:rFonts w:hint="eastAsia"/>
                      <w:szCs w:val="21"/>
                    </w:rPr>
                    <w:t>5.2</w:t>
                  </w:r>
                </w:p>
              </w:tc>
              <w:tc>
                <w:tcPr>
                  <w:tcW w:w="1117" w:type="dxa"/>
                  <w:shd w:val="clear" w:color="auto" w:fill="auto"/>
                  <w:vAlign w:val="center"/>
                </w:tcPr>
                <w:p>
                  <w:pPr>
                    <w:pStyle w:val="33"/>
                    <w:spacing w:line="360" w:lineRule="exact"/>
                    <w:jc w:val="center"/>
                    <w:rPr>
                      <w:szCs w:val="21"/>
                    </w:rPr>
                  </w:pPr>
                  <w:r>
                    <w:rPr>
                      <w:rFonts w:hint="eastAsia"/>
                      <w:szCs w:val="21"/>
                    </w:rPr>
                    <w:t>5.2</w:t>
                  </w:r>
                </w:p>
              </w:tc>
              <w:tc>
                <w:tcPr>
                  <w:tcW w:w="1039" w:type="dxa"/>
                  <w:shd w:val="clear" w:color="auto" w:fill="auto"/>
                  <w:vAlign w:val="center"/>
                </w:tcPr>
                <w:p>
                  <w:pPr>
                    <w:pStyle w:val="33"/>
                    <w:spacing w:line="360" w:lineRule="exact"/>
                    <w:jc w:val="center"/>
                    <w:rPr>
                      <w:szCs w:val="21"/>
                    </w:rPr>
                  </w:pPr>
                  <w:r>
                    <w:rPr>
                      <w:rFonts w:hint="eastAsia"/>
                      <w:szCs w:val="21"/>
                    </w:rPr>
                    <w:t>5.2</w:t>
                  </w:r>
                </w:p>
              </w:tc>
              <w:tc>
                <w:tcPr>
                  <w:tcW w:w="1174" w:type="dxa"/>
                  <w:shd w:val="clear" w:color="auto" w:fill="auto"/>
                  <w:vAlign w:val="center"/>
                </w:tcPr>
                <w:p>
                  <w:pPr>
                    <w:pStyle w:val="33"/>
                    <w:spacing w:line="360" w:lineRule="exact"/>
                    <w:jc w:val="center"/>
                    <w:rPr>
                      <w:rFonts w:cs="宋体"/>
                      <w:szCs w:val="22"/>
                    </w:rPr>
                  </w:pPr>
                </w:p>
              </w:tc>
            </w:tr>
          </w:tbl>
          <w:p>
            <w:pPr>
              <w:pStyle w:val="47"/>
              <w:ind w:firstLine="480"/>
              <w:rPr>
                <w:color w:val="auto"/>
              </w:rPr>
            </w:pPr>
            <w:r>
              <w:rPr>
                <w:rFonts w:hint="eastAsia"/>
                <w:color w:val="auto"/>
              </w:rPr>
              <w:t>九、闭矿期土地复垦内容</w:t>
            </w:r>
          </w:p>
          <w:p>
            <w:pPr>
              <w:pStyle w:val="47"/>
              <w:ind w:firstLine="480"/>
              <w:rPr>
                <w:color w:val="auto"/>
              </w:rPr>
            </w:pPr>
            <w:r>
              <w:rPr>
                <w:rFonts w:hint="eastAsia"/>
                <w:color w:val="auto"/>
              </w:rPr>
              <w:t>矿区开采活动结束后，应采取相应的土地复垦措施，以尽快恢复矿区生态环境，使矿山及其周围的生态环境影响降到最低。可采取以下几点防治措施：</w:t>
            </w:r>
          </w:p>
          <w:p>
            <w:pPr>
              <w:pStyle w:val="47"/>
              <w:ind w:firstLine="480"/>
              <w:rPr>
                <w:color w:val="auto"/>
              </w:rPr>
            </w:pPr>
            <w:r>
              <w:rPr>
                <w:rFonts w:hint="eastAsia"/>
                <w:color w:val="auto"/>
              </w:rPr>
              <w:t>1）开采终了后，对场地进行清理，拆除基础设施。</w:t>
            </w:r>
          </w:p>
          <w:p>
            <w:pPr>
              <w:pStyle w:val="47"/>
              <w:ind w:firstLine="480"/>
              <w:rPr>
                <w:color w:val="auto"/>
              </w:rPr>
            </w:pPr>
            <w:r>
              <w:rPr>
                <w:rFonts w:hint="eastAsia"/>
                <w:color w:val="auto"/>
              </w:rPr>
              <w:t>2）回填覆土，设置相应的水保措施，撒播草种及种植相应的绿化植被等。</w:t>
            </w:r>
          </w:p>
          <w:p>
            <w:pPr>
              <w:pStyle w:val="47"/>
              <w:ind w:firstLine="0" w:firstLineChars="0"/>
              <w:rPr>
                <w:color w:val="auto"/>
              </w:rPr>
            </w:pPr>
            <w:r>
              <w:rPr>
                <w:rFonts w:hint="eastAsia"/>
                <w:color w:val="auto"/>
              </w:rPr>
              <w:t>3）临时占地设施按土地复垦方案恢复相应地类。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244" w:hRule="atLeast"/>
          <w:jc w:val="center"/>
        </w:trPr>
        <w:tc>
          <w:tcPr>
            <w:tcW w:w="456" w:type="dxa"/>
            <w:shd w:val="clear" w:color="auto" w:fill="auto"/>
            <w:vAlign w:val="center"/>
          </w:tcPr>
          <w:p>
            <w:pPr>
              <w:adjustRightInd w:val="0"/>
              <w:snapToGrid w:val="0"/>
              <w:jc w:val="center"/>
              <w:rPr>
                <w:kern w:val="0"/>
                <w:szCs w:val="21"/>
              </w:rPr>
            </w:pPr>
            <w:r>
              <w:rPr>
                <w:rFonts w:hint="eastAsia"/>
                <w:kern w:val="0"/>
                <w:szCs w:val="21"/>
              </w:rPr>
              <w:t>其他</w:t>
            </w:r>
          </w:p>
        </w:tc>
        <w:tc>
          <w:tcPr>
            <w:tcW w:w="8786" w:type="dxa"/>
            <w:shd w:val="clear" w:color="auto" w:fill="auto"/>
            <w:vAlign w:val="center"/>
          </w:tcPr>
          <w:p>
            <w:pPr>
              <w:pStyle w:val="50"/>
              <w:ind w:left="857" w:firstLine="0" w:firstLineChars="0"/>
              <w:rPr>
                <w:b/>
                <w:bCs/>
              </w:rPr>
            </w:pPr>
            <w:r>
              <w:rPr>
                <w:rFonts w:hint="eastAsia"/>
                <w:b/>
                <w:bCs/>
              </w:rPr>
              <w:t>1、开采工艺选择</w:t>
            </w:r>
          </w:p>
          <w:p>
            <w:pPr>
              <w:pStyle w:val="47"/>
              <w:ind w:firstLine="480"/>
              <w:rPr>
                <w:color w:val="auto"/>
              </w:rPr>
            </w:pPr>
            <w:r>
              <w:rPr>
                <w:rFonts w:hint="eastAsia"/>
                <w:color w:val="auto"/>
              </w:rPr>
              <w:t>本露天矿的开采工艺，从矿层的赋存条件、剥离物岩性等考虑，可能的工艺有：单斗——卡车间断工艺、半连续工艺以及上述工艺组合的联合开采工艺。各工艺特点分述如下：</w:t>
            </w:r>
          </w:p>
          <w:p>
            <w:pPr>
              <w:pStyle w:val="47"/>
              <w:ind w:firstLine="480"/>
              <w:rPr>
                <w:color w:val="auto"/>
              </w:rPr>
            </w:pPr>
            <w:r>
              <w:rPr>
                <w:rFonts w:hint="eastAsia"/>
                <w:color w:val="auto"/>
              </w:rPr>
              <w:t>（1）单斗——卡车工艺</w:t>
            </w:r>
          </w:p>
          <w:p>
            <w:pPr>
              <w:pStyle w:val="47"/>
              <w:ind w:firstLine="480"/>
              <w:rPr>
                <w:color w:val="auto"/>
              </w:rPr>
            </w:pPr>
            <w:r>
              <w:rPr>
                <w:rFonts w:hint="eastAsia"/>
                <w:color w:val="auto"/>
              </w:rPr>
              <w:t>单斗——卡车工艺在我国已有多年的历史，应用该工艺已经具有了成熟的管理经验，该工艺具有如下特点：</w:t>
            </w:r>
          </w:p>
          <w:p>
            <w:pPr>
              <w:pStyle w:val="47"/>
              <w:ind w:firstLine="480"/>
              <w:rPr>
                <w:color w:val="auto"/>
              </w:rPr>
            </w:pPr>
            <w:r>
              <w:rPr>
                <w:rFonts w:hint="eastAsia"/>
                <w:color w:val="auto"/>
              </w:rPr>
              <w:t>1）拉沟长度短，基建工程量小，建设速度快；</w:t>
            </w:r>
          </w:p>
          <w:p>
            <w:pPr>
              <w:pStyle w:val="47"/>
              <w:ind w:firstLine="480"/>
              <w:rPr>
                <w:color w:val="auto"/>
              </w:rPr>
            </w:pPr>
            <w:r>
              <w:rPr>
                <w:rFonts w:hint="eastAsia"/>
                <w:color w:val="auto"/>
              </w:rPr>
              <w:t>2）工作线长度短，初期生产剥采比小，矿山前期经济效益好；</w:t>
            </w:r>
          </w:p>
          <w:p>
            <w:pPr>
              <w:pStyle w:val="47"/>
              <w:ind w:firstLine="480"/>
              <w:rPr>
                <w:color w:val="auto"/>
              </w:rPr>
            </w:pPr>
            <w:r>
              <w:rPr>
                <w:rFonts w:hint="eastAsia"/>
                <w:color w:val="auto"/>
              </w:rPr>
              <w:t>3）运输设备爬坡能力大，机动灵活，矿山生产系统简单；</w:t>
            </w:r>
          </w:p>
          <w:p>
            <w:pPr>
              <w:pStyle w:val="47"/>
              <w:ind w:firstLine="480"/>
              <w:rPr>
                <w:color w:val="auto"/>
              </w:rPr>
            </w:pPr>
            <w:r>
              <w:rPr>
                <w:rFonts w:hint="eastAsia"/>
                <w:color w:val="auto"/>
              </w:rPr>
              <w:t>4）生产设备性能可靠，可全部国产，设备投资少，备件供应可靠具有成熟的矿山管理经验；</w:t>
            </w:r>
          </w:p>
          <w:p>
            <w:pPr>
              <w:pStyle w:val="47"/>
              <w:ind w:firstLine="480"/>
              <w:rPr>
                <w:color w:val="auto"/>
              </w:rPr>
            </w:pPr>
            <w:r>
              <w:rPr>
                <w:rFonts w:hint="eastAsia"/>
                <w:color w:val="auto"/>
              </w:rPr>
              <w:t>5）容易向其它工艺过渡和发展，可以随时增加投入设备而扩大规模；</w:t>
            </w:r>
          </w:p>
          <w:p>
            <w:pPr>
              <w:pStyle w:val="47"/>
              <w:ind w:firstLine="480"/>
              <w:rPr>
                <w:color w:val="auto"/>
              </w:rPr>
            </w:pPr>
            <w:r>
              <w:rPr>
                <w:rFonts w:hint="eastAsia"/>
                <w:color w:val="auto"/>
              </w:rPr>
              <w:t>6）能尽早实现内排，实现复土绿化，恢复矿区生态环境；</w:t>
            </w:r>
          </w:p>
          <w:p>
            <w:pPr>
              <w:pStyle w:val="47"/>
              <w:ind w:firstLine="480"/>
              <w:rPr>
                <w:color w:val="auto"/>
              </w:rPr>
            </w:pPr>
            <w:r>
              <w:rPr>
                <w:rFonts w:hint="eastAsia"/>
                <w:color w:val="auto"/>
              </w:rPr>
              <w:t>7）与其它开采工艺相比，生产成本较高。</w:t>
            </w:r>
          </w:p>
          <w:p>
            <w:pPr>
              <w:pStyle w:val="47"/>
              <w:ind w:firstLine="480"/>
              <w:rPr>
                <w:color w:val="auto"/>
              </w:rPr>
            </w:pPr>
            <w:r>
              <w:rPr>
                <w:rFonts w:hint="eastAsia"/>
                <w:color w:val="auto"/>
              </w:rPr>
              <w:t>（2）半连续开采工艺</w:t>
            </w:r>
          </w:p>
          <w:p>
            <w:pPr>
              <w:pStyle w:val="47"/>
              <w:ind w:firstLine="480"/>
              <w:rPr>
                <w:color w:val="auto"/>
              </w:rPr>
            </w:pPr>
            <w:r>
              <w:rPr>
                <w:rFonts w:hint="eastAsia"/>
                <w:color w:val="auto"/>
              </w:rPr>
              <w:t>半连续工艺兼具连续工艺和间断工艺的优势，其主要优点有：</w:t>
            </w:r>
          </w:p>
          <w:p>
            <w:pPr>
              <w:pStyle w:val="47"/>
              <w:ind w:firstLine="480"/>
              <w:rPr>
                <w:color w:val="auto"/>
              </w:rPr>
            </w:pPr>
            <w:r>
              <w:rPr>
                <w:rFonts w:hint="eastAsia"/>
                <w:color w:val="auto"/>
              </w:rPr>
              <w:t>1）可采用连续运输，从而可提高挖掘机效率；</w:t>
            </w:r>
          </w:p>
          <w:p>
            <w:pPr>
              <w:pStyle w:val="47"/>
              <w:ind w:firstLine="480"/>
              <w:rPr>
                <w:color w:val="auto"/>
              </w:rPr>
            </w:pPr>
            <w:r>
              <w:rPr>
                <w:rFonts w:hint="eastAsia"/>
                <w:color w:val="auto"/>
              </w:rPr>
              <w:t>2）由于采用大型单斗挖掘机匹配胶带输送机，可扩大开采规模；</w:t>
            </w:r>
          </w:p>
          <w:p>
            <w:pPr>
              <w:pStyle w:val="47"/>
              <w:ind w:firstLine="480"/>
              <w:rPr>
                <w:color w:val="auto"/>
              </w:rPr>
            </w:pPr>
            <w:r>
              <w:rPr>
                <w:rFonts w:hint="eastAsia"/>
                <w:color w:val="auto"/>
              </w:rPr>
              <w:t>3）利用胶带输送机爬坡能力强的特点，可缩短运距，减少沟道工程量；</w:t>
            </w:r>
          </w:p>
          <w:p>
            <w:pPr>
              <w:pStyle w:val="47"/>
              <w:ind w:firstLine="480"/>
              <w:rPr>
                <w:color w:val="auto"/>
              </w:rPr>
            </w:pPr>
            <w:r>
              <w:rPr>
                <w:rFonts w:hint="eastAsia"/>
                <w:color w:val="auto"/>
              </w:rPr>
              <w:t>4）以胶带运输代替汽车运输，实现以电代油，在油价持续上涨的情况下，可以大大降低运输成本。</w:t>
            </w:r>
          </w:p>
          <w:p>
            <w:pPr>
              <w:pStyle w:val="47"/>
              <w:ind w:firstLine="480"/>
              <w:rPr>
                <w:color w:val="auto"/>
              </w:rPr>
            </w:pPr>
            <w:r>
              <w:rPr>
                <w:rFonts w:hint="eastAsia"/>
                <w:color w:val="auto"/>
              </w:rPr>
              <w:t>但是，半连续工艺也有如下缺点：</w:t>
            </w:r>
          </w:p>
          <w:p>
            <w:pPr>
              <w:pStyle w:val="47"/>
              <w:ind w:firstLine="480"/>
              <w:rPr>
                <w:color w:val="auto"/>
              </w:rPr>
            </w:pPr>
            <w:r>
              <w:rPr>
                <w:rFonts w:hint="eastAsia"/>
                <w:color w:val="auto"/>
              </w:rPr>
              <w:t>1）胶带运输矿岩，对块度有较严格的限制，为保证块度符合要求，须设破碎装置，增加了生产环节，使生产系统复杂化；</w:t>
            </w:r>
          </w:p>
          <w:p>
            <w:pPr>
              <w:pStyle w:val="47"/>
              <w:ind w:firstLine="480"/>
              <w:rPr>
                <w:color w:val="auto"/>
              </w:rPr>
            </w:pPr>
            <w:r>
              <w:rPr>
                <w:rFonts w:hint="eastAsia"/>
                <w:color w:val="auto"/>
              </w:rPr>
              <w:t>2）系统灵活性差，工程接续较复杂，生产组织难度大；</w:t>
            </w:r>
          </w:p>
          <w:p>
            <w:pPr>
              <w:pStyle w:val="47"/>
              <w:ind w:firstLine="480"/>
              <w:rPr>
                <w:color w:val="auto"/>
              </w:rPr>
            </w:pPr>
            <w:r>
              <w:rPr>
                <w:rFonts w:hint="eastAsia"/>
                <w:color w:val="auto"/>
              </w:rPr>
              <w:t>3）系统初期投资较大；</w:t>
            </w:r>
          </w:p>
          <w:p>
            <w:pPr>
              <w:pStyle w:val="47"/>
              <w:ind w:firstLine="480"/>
              <w:rPr>
                <w:color w:val="auto"/>
              </w:rPr>
            </w:pPr>
            <w:r>
              <w:rPr>
                <w:rFonts w:hint="eastAsia"/>
                <w:color w:val="auto"/>
              </w:rPr>
              <w:t>4）粘性物料冬季冻粘设备问题。</w:t>
            </w:r>
          </w:p>
          <w:p>
            <w:pPr>
              <w:pStyle w:val="47"/>
              <w:ind w:firstLine="480"/>
              <w:rPr>
                <w:color w:val="auto"/>
              </w:rPr>
            </w:pPr>
            <w:r>
              <w:rPr>
                <w:rFonts w:hint="eastAsia"/>
                <w:color w:val="auto"/>
              </w:rPr>
              <w:t>综上所述，该露天矿年采剥总量不大，且运距在3km以内。对于半连续开采工艺而言，初期投资较大，且需要较高的技术条件支持，不适宜该矿现状，故本工程予考虑。单斗——卡车工艺在露天矿山生产中已得到广泛应用，有着成功的使用及管理经验，因此，本工程用单斗——卡车工艺作为该矿露天开采工艺。</w:t>
            </w: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p>
            <w:pPr>
              <w:pStyle w:val="50"/>
              <w:ind w:left="857" w:firstLine="0" w:firstLineChars="0"/>
            </w:pPr>
          </w:p>
        </w:tc>
      </w:tr>
    </w:tbl>
    <w:p>
      <w:pPr>
        <w:pStyle w:val="18"/>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仿宋_GB2312"/>
          <w:b/>
          <w:bCs/>
        </w:rPr>
        <w:br w:type="page"/>
      </w:r>
      <w:r>
        <w:rPr>
          <w:rFonts w:ascii="Times New Roman" w:hAnsi="Times New Roman" w:eastAsia="黑体"/>
          <w:snapToGrid w:val="0"/>
          <w:sz w:val="30"/>
          <w:szCs w:val="30"/>
        </w:rPr>
        <w:t>三、生态环境现状、保护目标及评价标准</w:t>
      </w:r>
    </w:p>
    <w:tbl>
      <w:tblPr>
        <w:tblStyle w:val="22"/>
        <w:tblW w:w="910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77"/>
        <w:gridCol w:w="85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8" w:hRule="atLeast"/>
          <w:jc w:val="center"/>
        </w:trPr>
        <w:tc>
          <w:tcPr>
            <w:tcW w:w="577" w:type="dxa"/>
            <w:vAlign w:val="center"/>
          </w:tcPr>
          <w:p>
            <w:pPr>
              <w:adjustRightInd w:val="0"/>
              <w:snapToGrid w:val="0"/>
              <w:jc w:val="center"/>
              <w:rPr>
                <w:kern w:val="0"/>
                <w:szCs w:val="21"/>
              </w:rPr>
            </w:pPr>
            <w:r>
              <w:rPr>
                <w:rFonts w:hint="eastAsia"/>
                <w:kern w:val="0"/>
                <w:sz w:val="24"/>
              </w:rPr>
              <w:t>生态环境现状</w:t>
            </w:r>
          </w:p>
        </w:tc>
        <w:tc>
          <w:tcPr>
            <w:tcW w:w="8529" w:type="dxa"/>
            <w:vAlign w:val="center"/>
          </w:tcPr>
          <w:p>
            <w:pPr>
              <w:pStyle w:val="50"/>
              <w:ind w:firstLine="480"/>
            </w:pPr>
            <w:r>
              <w:rPr>
                <w:rFonts w:hint="eastAsia"/>
              </w:rPr>
              <w:t>按《建设项目环境影响报告表编制技术指南（生态影响类）》（试行）要求，开展专项评价的环境要素，应按照环境影响评价相关技术导则要求进行现状调查，并填写其现状调查和评价结果概要。不开展专项评价的环境要素，引用与项目距离近的有效数据和调查资料，包括符合时限要求的规划环境影响评价监测数据和调查资料，国家、地方环境质量监测网数据或生态环境主管部门公开发布的生态环境质量数据等；无相关数据的，大气、固定声源环境质量现状监测参照《建设项目环境影响报告表编制技术指南（污染影响类）》（试行）相关规定开展补充监测，水、生态、土壤等其他环境要素参照环境影响评价相关技术导则开展补充监测和调查。</w:t>
            </w:r>
          </w:p>
          <w:p>
            <w:pPr>
              <w:pStyle w:val="50"/>
              <w:ind w:firstLine="480"/>
            </w:pPr>
            <w:r>
              <w:rPr>
                <w:rFonts w:hint="eastAsia"/>
              </w:rPr>
              <w:t>本项目不开展专项评价，生态按各要素导则要求开展调查，大气、地表水引用生态环境主管部门公开发布的数据，噪声质量现状监测参照《建设项目环境影响报告表编制技术指南（污染影响类）》（试行）相关规定不开展补充监测，地下水、土壤参照环境影响评价相关技术导则不开展补充监测和调查。具体各要素环境现状如下：</w:t>
            </w:r>
          </w:p>
          <w:p>
            <w:pPr>
              <w:pStyle w:val="50"/>
              <w:numPr>
                <w:ilvl w:val="0"/>
                <w:numId w:val="3"/>
              </w:numPr>
              <w:ind w:firstLineChars="0"/>
              <w:rPr>
                <w:b/>
                <w:bCs/>
              </w:rPr>
            </w:pPr>
            <w:r>
              <w:rPr>
                <w:rFonts w:hint="eastAsia"/>
                <w:b/>
                <w:bCs/>
              </w:rPr>
              <w:t>生态环境状况</w:t>
            </w:r>
          </w:p>
          <w:p>
            <w:pPr>
              <w:pStyle w:val="50"/>
              <w:ind w:firstLine="480"/>
            </w:pPr>
            <w:r>
              <w:rPr>
                <w:rFonts w:hint="eastAsia"/>
              </w:rPr>
              <w:t>根据建设项目环境影响报告表编制技术指南（生态影响类）（试行）的相关规定，本项目不需开展生态环境专项评价，按照指南要求生态环境现状调查内容为：说明主体功能区规划和生态功能区划情况，以及项目用地及周边与项目生态环境影响相关的生态环境现状。其中，陆生生态现状应说明项目影响区域的土地利用类型、植被类型等。根据本项目实际情况，本次调查主要通过基础资料收集、现场实地踏勘、调查走访等方式进行区域内的生态环境现状的调查工作，具体如下：</w:t>
            </w:r>
          </w:p>
          <w:p>
            <w:pPr>
              <w:pStyle w:val="50"/>
              <w:ind w:firstLine="482"/>
              <w:rPr>
                <w:b/>
                <w:bCs/>
              </w:rPr>
            </w:pPr>
            <w:r>
              <w:rPr>
                <w:rFonts w:hint="eastAsia"/>
                <w:b/>
                <w:bCs/>
              </w:rPr>
              <w:t>1.1主体功能区划</w:t>
            </w:r>
          </w:p>
          <w:p>
            <w:pPr>
              <w:pStyle w:val="50"/>
              <w:ind w:firstLine="480"/>
            </w:pPr>
            <w:r>
              <w:rPr>
                <w:rFonts w:hint="eastAsia"/>
              </w:rPr>
              <w:t>根据《全国主体功能区划》中“国家层面重点开发区域—重点进行工业化城镇化开发的城市化地区。‘十七、宁夏沿黄经济区—以银川—吴忠为核心，石嘴山中卫为两翼，以主要交通通道为轴线的空间开发格局。’”本项目位于吴忠市韦州镇境内，属于国家层面重点开发区域。</w:t>
            </w:r>
          </w:p>
          <w:p>
            <w:pPr>
              <w:pStyle w:val="50"/>
              <w:ind w:firstLine="480"/>
            </w:pPr>
            <w:r>
              <w:rPr>
                <w:rFonts w:hint="eastAsia"/>
              </w:rPr>
              <w:t>本项目对照宁夏回族自治区主体功能区划图可知（详见附图七），项目所处位置在国家重点生态功能区。根据《自治区人民政府关于印发宁夏回族自治区主体功能区规划的通知》（宁政发[2014]53号）可知，重点生态功能区是以提供生态产品为主体功能的地区，也提供一定的农产品、服务产品和工业品。对重点生态功能区，要限制大规模高强度的工业化、城镇化开发，但仍允许一定程度的能源和矿产资源开发。将一些区域确定为限制开发区域，并不是限制发展，而是为了更好地保护这类区域的农业生产力和生态产品生产力，实现科学发展。</w:t>
            </w:r>
          </w:p>
          <w:p>
            <w:pPr>
              <w:pStyle w:val="50"/>
              <w:ind w:firstLine="480"/>
            </w:pPr>
            <w:r>
              <w:rPr>
                <w:rFonts w:hint="eastAsia"/>
                <w:kern w:val="1"/>
              </w:rPr>
              <w:t>本项目为白云岩矿开采项目，属于土砂石开采，本次评价仅包括露天开采部分</w:t>
            </w:r>
            <w:r>
              <w:rPr>
                <w:rFonts w:hint="eastAsia"/>
              </w:rPr>
              <w:t>，通过采取相关生态保护措施、水土流失治理措施和复垦计划，本项目建设不会对周边生态环境造成较大影响，其建设符合“全国主体功能区划”和“宁夏回族自治区主体功能区规划”。</w:t>
            </w:r>
          </w:p>
          <w:p>
            <w:pPr>
              <w:pStyle w:val="50"/>
              <w:ind w:firstLine="482"/>
              <w:rPr>
                <w:b/>
                <w:bCs/>
              </w:rPr>
            </w:pPr>
            <w:r>
              <w:rPr>
                <w:rFonts w:hint="eastAsia"/>
                <w:b/>
                <w:bCs/>
              </w:rPr>
              <w:t>1.2生态功能区划</w:t>
            </w:r>
          </w:p>
          <w:p>
            <w:pPr>
              <w:pStyle w:val="50"/>
              <w:ind w:firstLine="480"/>
            </w:pPr>
            <w:r>
              <w:rPr>
                <w:rFonts w:hint="eastAsia"/>
              </w:rPr>
              <w:t>根据《宁夏生态功能区划》（2003.10），宁夏生态功能区划共划分3个一级区，10个二级区，37个三级区。对照宁夏生态功能区划图可知，本项目位于生态功能一级分区内，所属区域属于</w:t>
            </w: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t>4-1盐同南部丘陵强度水土流失治理生态功能区，项目与宁夏生态功能区划位置关系图详见附图八。</w:t>
            </w:r>
          </w:p>
          <w:p>
            <w:pPr>
              <w:pStyle w:val="50"/>
              <w:ind w:firstLine="482"/>
              <w:rPr>
                <w:b/>
                <w:bCs/>
              </w:rPr>
            </w:pPr>
            <w:r>
              <w:rPr>
                <w:rFonts w:hint="eastAsia"/>
                <w:b/>
                <w:bCs/>
              </w:rPr>
              <w:t>1.3生态环境现状</w:t>
            </w:r>
          </w:p>
          <w:p>
            <w:pPr>
              <w:pStyle w:val="50"/>
              <w:ind w:firstLine="482"/>
              <w:rPr>
                <w:b/>
                <w:bCs/>
              </w:rPr>
            </w:pPr>
            <w:r>
              <w:rPr>
                <w:rFonts w:hint="eastAsia"/>
                <w:b/>
                <w:bCs/>
              </w:rPr>
              <w:t>1.3.1土地利用现状</w:t>
            </w:r>
          </w:p>
          <w:p>
            <w:pPr>
              <w:pStyle w:val="47"/>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矿界范围土地利用现状</w:t>
            </w:r>
          </w:p>
          <w:p>
            <w:pPr>
              <w:pStyle w:val="47"/>
              <w:ind w:firstLine="480"/>
              <w:rPr>
                <w:rFonts w:ascii="宋体"/>
                <w:color w:val="auto"/>
              </w:rPr>
            </w:pPr>
            <w:r>
              <w:rPr>
                <w:rFonts w:hint="eastAsia"/>
                <w:color w:val="auto"/>
              </w:rPr>
              <w:t>宁夏吴忠市青龙山北段杜家圈南冶镁白云岩矿</w:t>
            </w:r>
            <w:r>
              <w:rPr>
                <w:rFonts w:hint="eastAsia" w:ascii="宋体"/>
                <w:color w:val="auto"/>
                <w:spacing w:val="-7"/>
              </w:rPr>
              <w:t>采矿权面积为</w:t>
            </w:r>
            <w:r>
              <w:rPr>
                <w:rFonts w:hint="eastAsia"/>
                <w:color w:val="auto"/>
              </w:rPr>
              <w:t>0.9356km</w:t>
            </w:r>
            <w:r>
              <w:rPr>
                <w:rFonts w:hint="eastAsia"/>
                <w:color w:val="auto"/>
                <w:vertAlign w:val="superscript"/>
              </w:rPr>
              <w:t>2</w:t>
            </w:r>
            <w:r>
              <w:rPr>
                <w:rFonts w:hint="eastAsia" w:ascii="宋体"/>
                <w:color w:val="auto"/>
              </w:rPr>
              <w:t>（</w:t>
            </w:r>
            <w:r>
              <w:rPr>
                <w:rFonts w:hint="eastAsia" w:ascii="宋体"/>
                <w:color w:val="auto"/>
                <w:spacing w:val="-31"/>
              </w:rPr>
              <w:t>合</w:t>
            </w:r>
            <w:r>
              <w:rPr>
                <w:rFonts w:hint="eastAsia"/>
                <w:color w:val="auto"/>
                <w:spacing w:val="-31"/>
              </w:rPr>
              <w:t xml:space="preserve"> </w:t>
            </w:r>
            <w:r>
              <w:rPr>
                <w:rFonts w:hint="eastAsia"/>
                <w:color w:val="auto"/>
                <w:spacing w:val="-3"/>
              </w:rPr>
              <w:t>93.56hm</w:t>
            </w:r>
            <w:r>
              <w:rPr>
                <w:rFonts w:hint="eastAsia"/>
                <w:color w:val="auto"/>
                <w:spacing w:val="-3"/>
                <w:vertAlign w:val="superscript"/>
              </w:rPr>
              <w:t>2</w:t>
            </w:r>
            <w:r>
              <w:rPr>
                <w:rFonts w:hint="eastAsia" w:ascii="宋体"/>
                <w:color w:val="auto"/>
                <w:spacing w:val="-3"/>
              </w:rPr>
              <w:t>），</w:t>
            </w:r>
            <w:r>
              <w:rPr>
                <w:rFonts w:hint="eastAsia"/>
                <w:color w:val="auto"/>
              </w:rPr>
              <w:t>按照《土地利用现状分类》（GB/21010-2017）划分标准及同心县 2018年土地变更调查成果，</w:t>
            </w:r>
            <w:r>
              <w:rPr>
                <w:rFonts w:hint="eastAsia" w:ascii="宋体"/>
                <w:color w:val="auto"/>
                <w:spacing w:val="-7"/>
              </w:rPr>
              <w:t>矿区范围内土地利用类型主要为林地、草地、工矿仓储用地、交通运输用地</w:t>
            </w:r>
            <w:r>
              <w:rPr>
                <w:rFonts w:hint="eastAsia" w:ascii="宋体"/>
                <w:color w:val="auto"/>
                <w:spacing w:val="-11"/>
              </w:rPr>
              <w:t>和其他土地</w:t>
            </w:r>
            <w:r>
              <w:rPr>
                <w:rFonts w:hint="eastAsia"/>
                <w:color w:val="auto"/>
              </w:rPr>
              <w:t>5</w:t>
            </w:r>
            <w:r>
              <w:rPr>
                <w:rFonts w:hint="eastAsia" w:ascii="宋体"/>
                <w:color w:val="auto"/>
                <w:spacing w:val="-5"/>
              </w:rPr>
              <w:t>个一级地类，二级地类共</w:t>
            </w:r>
            <w:r>
              <w:rPr>
                <w:rFonts w:hint="eastAsia"/>
                <w:color w:val="auto"/>
              </w:rPr>
              <w:t>7</w:t>
            </w:r>
            <w:r>
              <w:rPr>
                <w:rFonts w:hint="eastAsia" w:ascii="宋体"/>
                <w:color w:val="auto"/>
                <w:spacing w:val="-6"/>
              </w:rPr>
              <w:t>个。具体为灌木林地</w:t>
            </w:r>
            <w:r>
              <w:rPr>
                <w:color w:val="auto"/>
              </w:rPr>
              <w:t>1.6841</w:t>
            </w:r>
            <w:r>
              <w:rPr>
                <w:rFonts w:hint="eastAsia"/>
                <w:color w:val="auto"/>
              </w:rPr>
              <w:t>hm</w:t>
            </w:r>
            <w:r>
              <w:rPr>
                <w:rFonts w:hint="eastAsia"/>
                <w:color w:val="auto"/>
                <w:vertAlign w:val="superscript"/>
              </w:rPr>
              <w:t>2</w:t>
            </w:r>
            <w:r>
              <w:rPr>
                <w:rFonts w:hint="eastAsia"/>
                <w:color w:val="auto"/>
              </w:rPr>
              <w:t>（位于二期地下开采中西侧，见附图十三）</w:t>
            </w:r>
            <w:r>
              <w:rPr>
                <w:rFonts w:hint="eastAsia" w:ascii="宋体"/>
                <w:color w:val="auto"/>
                <w:spacing w:val="-4"/>
              </w:rPr>
              <w:t>，天然牧</w:t>
            </w:r>
            <w:r>
              <w:rPr>
                <w:rFonts w:hint="eastAsia" w:ascii="宋体"/>
                <w:color w:val="auto"/>
                <w:spacing w:val="-19"/>
              </w:rPr>
              <w:t>草地</w:t>
            </w:r>
            <w:r>
              <w:rPr>
                <w:rFonts w:hint="eastAsia"/>
                <w:color w:val="auto"/>
              </w:rPr>
              <w:t>42.04hm</w:t>
            </w:r>
            <w:r>
              <w:rPr>
                <w:rFonts w:hint="eastAsia"/>
                <w:color w:val="auto"/>
                <w:vertAlign w:val="superscript"/>
              </w:rPr>
              <w:t>2</w:t>
            </w:r>
            <w:r>
              <w:rPr>
                <w:rFonts w:hint="eastAsia" w:ascii="宋体"/>
                <w:color w:val="auto"/>
                <w:spacing w:val="-9"/>
              </w:rPr>
              <w:t>，其他草地</w:t>
            </w:r>
            <w:r>
              <w:rPr>
                <w:color w:val="auto"/>
              </w:rPr>
              <w:t>45.7559</w:t>
            </w:r>
            <w:r>
              <w:rPr>
                <w:rFonts w:hint="eastAsia"/>
                <w:color w:val="auto"/>
              </w:rPr>
              <w:t>hm</w:t>
            </w:r>
            <w:r>
              <w:rPr>
                <w:rFonts w:hint="eastAsia"/>
                <w:color w:val="auto"/>
                <w:vertAlign w:val="superscript"/>
              </w:rPr>
              <w:t>2</w:t>
            </w:r>
            <w:r>
              <w:rPr>
                <w:rFonts w:hint="eastAsia" w:ascii="宋体"/>
                <w:color w:val="auto"/>
                <w:spacing w:val="-9"/>
              </w:rPr>
              <w:t>，采矿用地</w:t>
            </w:r>
            <w:r>
              <w:rPr>
                <w:rFonts w:hint="eastAsia"/>
                <w:color w:val="auto"/>
              </w:rPr>
              <w:t>1.81hm</w:t>
            </w:r>
            <w:r>
              <w:rPr>
                <w:rFonts w:hint="eastAsia"/>
                <w:color w:val="auto"/>
                <w:vertAlign w:val="superscript"/>
              </w:rPr>
              <w:t>2</w:t>
            </w:r>
            <w:r>
              <w:rPr>
                <w:rFonts w:hint="eastAsia" w:ascii="宋体"/>
                <w:color w:val="auto"/>
                <w:spacing w:val="-10"/>
              </w:rPr>
              <w:t>，公路用地</w:t>
            </w:r>
            <w:r>
              <w:rPr>
                <w:rFonts w:hint="eastAsia"/>
                <w:color w:val="auto"/>
              </w:rPr>
              <w:t>0.47hm</w:t>
            </w:r>
            <w:r>
              <w:rPr>
                <w:rFonts w:hint="eastAsia"/>
                <w:color w:val="auto"/>
                <w:vertAlign w:val="superscript"/>
              </w:rPr>
              <w:t>2</w:t>
            </w:r>
            <w:r>
              <w:rPr>
                <w:rFonts w:hint="eastAsia" w:ascii="宋体"/>
                <w:color w:val="auto"/>
              </w:rPr>
              <w:t>，农</w:t>
            </w:r>
            <w:r>
              <w:rPr>
                <w:rFonts w:hint="eastAsia" w:ascii="宋体"/>
                <w:color w:val="auto"/>
                <w:spacing w:val="-16"/>
              </w:rPr>
              <w:t xml:space="preserve">村道路 </w:t>
            </w:r>
            <w:r>
              <w:rPr>
                <w:rFonts w:hint="eastAsia"/>
                <w:color w:val="auto"/>
              </w:rPr>
              <w:t>1.41hm</w:t>
            </w:r>
            <w:r>
              <w:rPr>
                <w:rFonts w:hint="eastAsia"/>
                <w:color w:val="auto"/>
                <w:vertAlign w:val="superscript"/>
              </w:rPr>
              <w:t>2</w:t>
            </w:r>
            <w:r>
              <w:rPr>
                <w:rFonts w:hint="eastAsia" w:ascii="宋体"/>
                <w:color w:val="auto"/>
                <w:spacing w:val="-9"/>
              </w:rPr>
              <w:t>，裸岩石砾地</w:t>
            </w:r>
            <w:r>
              <w:rPr>
                <w:rFonts w:hint="eastAsia"/>
                <w:color w:val="auto"/>
              </w:rPr>
              <w:t>0.39hm</w:t>
            </w:r>
            <w:r>
              <w:rPr>
                <w:rFonts w:hint="eastAsia"/>
                <w:color w:val="auto"/>
                <w:vertAlign w:val="superscript"/>
              </w:rPr>
              <w:t>2</w:t>
            </w:r>
            <w:r>
              <w:rPr>
                <w:rFonts w:hint="eastAsia" w:ascii="宋体"/>
                <w:color w:val="auto"/>
              </w:rPr>
              <w:t>。</w:t>
            </w:r>
          </w:p>
          <w:p>
            <w:pPr>
              <w:pStyle w:val="47"/>
              <w:ind w:firstLine="480"/>
              <w:rPr>
                <w:rFonts w:hint="eastAsia"/>
                <w:color w:val="auto"/>
              </w:rPr>
            </w:pPr>
            <w:r>
              <w:rPr>
                <w:rFonts w:hint="eastAsia"/>
                <w:color w:val="auto"/>
              </w:rPr>
              <w:t>本项目所在区域土地利用现状统计详见下表，项目所在区域土地利用现状图详见附图十三。</w:t>
            </w:r>
          </w:p>
          <w:p>
            <w:pPr>
              <w:pStyle w:val="50"/>
              <w:numPr>
                <w:ilvl w:val="0"/>
                <w:numId w:val="2"/>
              </w:numPr>
              <w:snapToGrid w:val="0"/>
              <w:spacing w:line="240" w:lineRule="auto"/>
              <w:ind w:left="420" w:firstLineChars="0"/>
              <w:jc w:val="center"/>
              <w:rPr>
                <w:b/>
                <w:bCs/>
              </w:rPr>
            </w:pPr>
            <w:r>
              <w:rPr>
                <w:rFonts w:hint="eastAsia"/>
                <w:b/>
                <w:bCs/>
              </w:rPr>
              <w:t>项目所在区域吴忠市同心县韦州镇土地利用类型现状统计一览表</w:t>
            </w:r>
          </w:p>
          <w:tbl>
            <w:tblPr>
              <w:tblStyle w:val="22"/>
              <w:tblW w:w="8283"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70"/>
              <w:gridCol w:w="1529"/>
              <w:gridCol w:w="1373"/>
              <w:gridCol w:w="1292"/>
              <w:gridCol w:w="1083"/>
              <w:gridCol w:w="909"/>
              <w:gridCol w:w="8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2799" w:type="dxa"/>
                  <w:gridSpan w:val="2"/>
                  <w:shd w:val="clear" w:color="auto" w:fill="auto"/>
                  <w:vAlign w:val="center"/>
                </w:tcPr>
                <w:p>
                  <w:pPr>
                    <w:pStyle w:val="33"/>
                    <w:spacing w:line="360" w:lineRule="exact"/>
                    <w:jc w:val="center"/>
                    <w:rPr>
                      <w:szCs w:val="21"/>
                    </w:rPr>
                  </w:pPr>
                  <w:r>
                    <w:rPr>
                      <w:rFonts w:hint="eastAsia"/>
                      <w:szCs w:val="21"/>
                    </w:rPr>
                    <w:t>一级地类</w:t>
                  </w:r>
                </w:p>
              </w:tc>
              <w:tc>
                <w:tcPr>
                  <w:tcW w:w="2665" w:type="dxa"/>
                  <w:gridSpan w:val="2"/>
                  <w:shd w:val="clear" w:color="auto" w:fill="auto"/>
                  <w:vAlign w:val="center"/>
                </w:tcPr>
                <w:p>
                  <w:pPr>
                    <w:pStyle w:val="33"/>
                    <w:spacing w:line="360" w:lineRule="exact"/>
                    <w:jc w:val="center"/>
                    <w:rPr>
                      <w:szCs w:val="21"/>
                    </w:rPr>
                  </w:pPr>
                  <w:r>
                    <w:rPr>
                      <w:rFonts w:hint="eastAsia"/>
                      <w:szCs w:val="21"/>
                    </w:rPr>
                    <w:t>二级地类</w:t>
                  </w:r>
                </w:p>
              </w:tc>
              <w:tc>
                <w:tcPr>
                  <w:tcW w:w="1083" w:type="dxa"/>
                  <w:vMerge w:val="restart"/>
                  <w:shd w:val="clear" w:color="auto" w:fill="auto"/>
                  <w:vAlign w:val="center"/>
                </w:tcPr>
                <w:p>
                  <w:pPr>
                    <w:pStyle w:val="33"/>
                    <w:spacing w:line="360" w:lineRule="exact"/>
                    <w:jc w:val="center"/>
                    <w:rPr>
                      <w:szCs w:val="21"/>
                    </w:rPr>
                  </w:pPr>
                  <w:r>
                    <w:rPr>
                      <w:rFonts w:hint="eastAsia"/>
                      <w:szCs w:val="21"/>
                    </w:rPr>
                    <w:t>面积</w:t>
                  </w:r>
                </w:p>
                <w:p>
                  <w:pPr>
                    <w:pStyle w:val="33"/>
                    <w:spacing w:line="360" w:lineRule="exact"/>
                    <w:jc w:val="center"/>
                    <w:rPr>
                      <w:szCs w:val="21"/>
                    </w:rPr>
                  </w:pPr>
                  <w:r>
                    <w:rPr>
                      <w:rFonts w:hint="eastAsia"/>
                      <w:szCs w:val="21"/>
                    </w:rPr>
                    <w:t>（hm</w:t>
                  </w:r>
                  <w:r>
                    <w:rPr>
                      <w:rFonts w:hint="eastAsia"/>
                      <w:szCs w:val="21"/>
                      <w:vertAlign w:val="superscript"/>
                    </w:rPr>
                    <w:t>2</w:t>
                  </w:r>
                  <w:r>
                    <w:rPr>
                      <w:rFonts w:hint="eastAsia"/>
                      <w:szCs w:val="21"/>
                    </w:rPr>
                    <w:t>)</w:t>
                  </w:r>
                </w:p>
              </w:tc>
              <w:tc>
                <w:tcPr>
                  <w:tcW w:w="1736" w:type="dxa"/>
                  <w:gridSpan w:val="2"/>
                  <w:vMerge w:val="restart"/>
                  <w:shd w:val="clear" w:color="auto" w:fill="auto"/>
                  <w:vAlign w:val="center"/>
                </w:tcPr>
                <w:p>
                  <w:pPr>
                    <w:pStyle w:val="33"/>
                    <w:spacing w:line="360" w:lineRule="exact"/>
                    <w:jc w:val="center"/>
                    <w:rPr>
                      <w:szCs w:val="21"/>
                    </w:rPr>
                  </w:pPr>
                  <w:r>
                    <w:rPr>
                      <w:rFonts w:hint="eastAsia"/>
                      <w:szCs w:val="21"/>
                    </w:rPr>
                    <w:t>占总面积比例</w:t>
                  </w:r>
                </w:p>
                <w:p>
                  <w:pPr>
                    <w:pStyle w:val="33"/>
                    <w:spacing w:line="360" w:lineRule="exact"/>
                    <w:jc w:val="center"/>
                    <w:rPr>
                      <w:szCs w:val="21"/>
                    </w:rPr>
                  </w:pPr>
                  <w:r>
                    <w:rPr>
                      <w:rFonts w:hint="eastAsia"/>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270" w:type="dxa"/>
                  <w:shd w:val="clear" w:color="auto" w:fill="auto"/>
                  <w:vAlign w:val="center"/>
                </w:tcPr>
                <w:p>
                  <w:pPr>
                    <w:pStyle w:val="33"/>
                    <w:spacing w:line="360" w:lineRule="exact"/>
                    <w:jc w:val="center"/>
                    <w:rPr>
                      <w:szCs w:val="21"/>
                    </w:rPr>
                  </w:pPr>
                  <w:r>
                    <w:rPr>
                      <w:rFonts w:hint="eastAsia"/>
                      <w:szCs w:val="21"/>
                    </w:rPr>
                    <w:t>地类编码</w:t>
                  </w:r>
                </w:p>
              </w:tc>
              <w:tc>
                <w:tcPr>
                  <w:tcW w:w="1529" w:type="dxa"/>
                  <w:shd w:val="clear" w:color="auto" w:fill="auto"/>
                  <w:vAlign w:val="center"/>
                </w:tcPr>
                <w:p>
                  <w:pPr>
                    <w:pStyle w:val="33"/>
                    <w:spacing w:line="360" w:lineRule="exact"/>
                    <w:jc w:val="center"/>
                    <w:rPr>
                      <w:szCs w:val="21"/>
                    </w:rPr>
                  </w:pPr>
                  <w:r>
                    <w:rPr>
                      <w:rFonts w:hint="eastAsia"/>
                      <w:szCs w:val="21"/>
                    </w:rPr>
                    <w:t>地类名称</w:t>
                  </w:r>
                </w:p>
              </w:tc>
              <w:tc>
                <w:tcPr>
                  <w:tcW w:w="1373" w:type="dxa"/>
                  <w:shd w:val="clear" w:color="auto" w:fill="auto"/>
                  <w:vAlign w:val="center"/>
                </w:tcPr>
                <w:p>
                  <w:pPr>
                    <w:pStyle w:val="33"/>
                    <w:spacing w:line="360" w:lineRule="exact"/>
                    <w:jc w:val="center"/>
                    <w:rPr>
                      <w:szCs w:val="21"/>
                    </w:rPr>
                  </w:pPr>
                  <w:r>
                    <w:rPr>
                      <w:rFonts w:hint="eastAsia"/>
                      <w:szCs w:val="21"/>
                    </w:rPr>
                    <w:t>地类编码</w:t>
                  </w:r>
                </w:p>
              </w:tc>
              <w:tc>
                <w:tcPr>
                  <w:tcW w:w="1292" w:type="dxa"/>
                  <w:shd w:val="clear" w:color="auto" w:fill="auto"/>
                  <w:vAlign w:val="center"/>
                </w:tcPr>
                <w:p>
                  <w:pPr>
                    <w:pStyle w:val="33"/>
                    <w:spacing w:line="360" w:lineRule="exact"/>
                    <w:jc w:val="center"/>
                    <w:rPr>
                      <w:szCs w:val="21"/>
                    </w:rPr>
                  </w:pPr>
                  <w:r>
                    <w:rPr>
                      <w:rFonts w:hint="eastAsia"/>
                      <w:szCs w:val="21"/>
                    </w:rPr>
                    <w:t>地类名称</w:t>
                  </w:r>
                </w:p>
              </w:tc>
              <w:tc>
                <w:tcPr>
                  <w:tcW w:w="1083" w:type="dxa"/>
                  <w:vMerge w:val="continue"/>
                  <w:shd w:val="clear" w:color="auto" w:fill="auto"/>
                  <w:vAlign w:val="center"/>
                </w:tcPr>
                <w:p>
                  <w:pPr>
                    <w:widowControl/>
                    <w:spacing w:line="360" w:lineRule="exact"/>
                    <w:jc w:val="center"/>
                    <w:rPr>
                      <w:szCs w:val="21"/>
                    </w:rPr>
                  </w:pPr>
                </w:p>
              </w:tc>
              <w:tc>
                <w:tcPr>
                  <w:tcW w:w="1736" w:type="dxa"/>
                  <w:gridSpan w:val="2"/>
                  <w:vMerge w:val="continue"/>
                  <w:shd w:val="clear" w:color="auto" w:fill="auto"/>
                  <w:vAlign w:val="center"/>
                </w:tcPr>
                <w:p>
                  <w:pPr>
                    <w:widowControl/>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70" w:type="dxa"/>
                  <w:shd w:val="clear" w:color="auto" w:fill="auto"/>
                  <w:vAlign w:val="center"/>
                </w:tcPr>
                <w:p>
                  <w:pPr>
                    <w:pStyle w:val="33"/>
                    <w:spacing w:line="360" w:lineRule="exact"/>
                    <w:jc w:val="center"/>
                    <w:rPr>
                      <w:szCs w:val="21"/>
                    </w:rPr>
                  </w:pPr>
                  <w:r>
                    <w:rPr>
                      <w:rFonts w:hint="eastAsia"/>
                      <w:szCs w:val="21"/>
                    </w:rPr>
                    <w:t>03</w:t>
                  </w:r>
                </w:p>
              </w:tc>
              <w:tc>
                <w:tcPr>
                  <w:tcW w:w="1529" w:type="dxa"/>
                  <w:shd w:val="clear" w:color="auto" w:fill="auto"/>
                  <w:vAlign w:val="center"/>
                </w:tcPr>
                <w:p>
                  <w:pPr>
                    <w:pStyle w:val="33"/>
                    <w:spacing w:line="360" w:lineRule="exact"/>
                    <w:jc w:val="center"/>
                    <w:rPr>
                      <w:szCs w:val="21"/>
                    </w:rPr>
                  </w:pPr>
                  <w:r>
                    <w:rPr>
                      <w:rFonts w:hint="eastAsia"/>
                      <w:szCs w:val="21"/>
                    </w:rPr>
                    <w:t>林地</w:t>
                  </w:r>
                </w:p>
              </w:tc>
              <w:tc>
                <w:tcPr>
                  <w:tcW w:w="1373" w:type="dxa"/>
                  <w:shd w:val="clear" w:color="auto" w:fill="auto"/>
                  <w:vAlign w:val="center"/>
                </w:tcPr>
                <w:p>
                  <w:pPr>
                    <w:pStyle w:val="33"/>
                    <w:spacing w:line="360" w:lineRule="exact"/>
                    <w:jc w:val="center"/>
                    <w:rPr>
                      <w:szCs w:val="21"/>
                    </w:rPr>
                  </w:pPr>
                  <w:r>
                    <w:rPr>
                      <w:rFonts w:hint="eastAsia"/>
                      <w:szCs w:val="21"/>
                    </w:rPr>
                    <w:t>0305</w:t>
                  </w:r>
                </w:p>
              </w:tc>
              <w:tc>
                <w:tcPr>
                  <w:tcW w:w="1292" w:type="dxa"/>
                  <w:shd w:val="clear" w:color="auto" w:fill="auto"/>
                  <w:vAlign w:val="center"/>
                </w:tcPr>
                <w:p>
                  <w:pPr>
                    <w:pStyle w:val="33"/>
                    <w:spacing w:line="360" w:lineRule="exact"/>
                    <w:jc w:val="center"/>
                    <w:rPr>
                      <w:szCs w:val="21"/>
                    </w:rPr>
                  </w:pPr>
                  <w:r>
                    <w:rPr>
                      <w:rFonts w:hint="eastAsia"/>
                      <w:szCs w:val="21"/>
                    </w:rPr>
                    <w:t>灌木林地</w:t>
                  </w:r>
                </w:p>
              </w:tc>
              <w:tc>
                <w:tcPr>
                  <w:tcW w:w="1083" w:type="dxa"/>
                  <w:shd w:val="clear" w:color="auto" w:fill="auto"/>
                  <w:vAlign w:val="center"/>
                </w:tcPr>
                <w:p>
                  <w:pPr>
                    <w:pStyle w:val="33"/>
                    <w:spacing w:line="360" w:lineRule="exact"/>
                    <w:jc w:val="center"/>
                    <w:rPr>
                      <w:szCs w:val="21"/>
                    </w:rPr>
                  </w:pPr>
                  <w:r>
                    <w:rPr>
                      <w:szCs w:val="21"/>
                    </w:rPr>
                    <w:t>1.6841</w:t>
                  </w:r>
                </w:p>
              </w:tc>
              <w:tc>
                <w:tcPr>
                  <w:tcW w:w="909" w:type="dxa"/>
                  <w:shd w:val="clear" w:color="auto" w:fill="auto"/>
                  <w:vAlign w:val="center"/>
                </w:tcPr>
                <w:p>
                  <w:pPr>
                    <w:pStyle w:val="33"/>
                    <w:spacing w:line="360" w:lineRule="exact"/>
                    <w:jc w:val="center"/>
                    <w:rPr>
                      <w:szCs w:val="21"/>
                    </w:rPr>
                  </w:pPr>
                  <w:r>
                    <w:rPr>
                      <w:szCs w:val="21"/>
                    </w:rPr>
                    <w:t>1.8</w:t>
                  </w:r>
                </w:p>
              </w:tc>
              <w:tc>
                <w:tcPr>
                  <w:tcW w:w="827" w:type="dxa"/>
                  <w:shd w:val="clear" w:color="auto" w:fill="auto"/>
                  <w:vAlign w:val="center"/>
                </w:tcPr>
                <w:p>
                  <w:pPr>
                    <w:pStyle w:val="33"/>
                    <w:spacing w:line="360" w:lineRule="exact"/>
                    <w:jc w:val="center"/>
                    <w:rPr>
                      <w:szCs w:val="21"/>
                    </w:rPr>
                  </w:pPr>
                  <w:r>
                    <w:rPr>
                      <w:szCs w:val="21"/>
                    </w:rPr>
                    <w:t>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70" w:type="dxa"/>
                  <w:vMerge w:val="restart"/>
                  <w:shd w:val="clear" w:color="auto" w:fill="auto"/>
                  <w:vAlign w:val="center"/>
                </w:tcPr>
                <w:p>
                  <w:pPr>
                    <w:pStyle w:val="33"/>
                    <w:spacing w:line="360" w:lineRule="exact"/>
                    <w:jc w:val="center"/>
                    <w:rPr>
                      <w:szCs w:val="21"/>
                    </w:rPr>
                  </w:pPr>
                  <w:r>
                    <w:rPr>
                      <w:rFonts w:hint="eastAsia"/>
                      <w:szCs w:val="21"/>
                    </w:rPr>
                    <w:t>04</w:t>
                  </w:r>
                </w:p>
              </w:tc>
              <w:tc>
                <w:tcPr>
                  <w:tcW w:w="1529" w:type="dxa"/>
                  <w:vMerge w:val="restart"/>
                  <w:shd w:val="clear" w:color="auto" w:fill="auto"/>
                  <w:vAlign w:val="center"/>
                </w:tcPr>
                <w:p>
                  <w:pPr>
                    <w:pStyle w:val="33"/>
                    <w:spacing w:line="360" w:lineRule="exact"/>
                    <w:jc w:val="center"/>
                    <w:rPr>
                      <w:szCs w:val="21"/>
                    </w:rPr>
                  </w:pPr>
                  <w:r>
                    <w:rPr>
                      <w:rFonts w:hint="eastAsia"/>
                      <w:szCs w:val="21"/>
                    </w:rPr>
                    <w:t>草地</w:t>
                  </w:r>
                </w:p>
              </w:tc>
              <w:tc>
                <w:tcPr>
                  <w:tcW w:w="1373" w:type="dxa"/>
                  <w:shd w:val="clear" w:color="auto" w:fill="auto"/>
                  <w:vAlign w:val="center"/>
                </w:tcPr>
                <w:p>
                  <w:pPr>
                    <w:pStyle w:val="33"/>
                    <w:spacing w:line="360" w:lineRule="exact"/>
                    <w:jc w:val="center"/>
                    <w:rPr>
                      <w:szCs w:val="21"/>
                    </w:rPr>
                  </w:pPr>
                  <w:r>
                    <w:rPr>
                      <w:rFonts w:hint="eastAsia"/>
                      <w:szCs w:val="21"/>
                    </w:rPr>
                    <w:t>0401</w:t>
                  </w:r>
                </w:p>
              </w:tc>
              <w:tc>
                <w:tcPr>
                  <w:tcW w:w="1292" w:type="dxa"/>
                  <w:shd w:val="clear" w:color="auto" w:fill="auto"/>
                  <w:vAlign w:val="center"/>
                </w:tcPr>
                <w:p>
                  <w:pPr>
                    <w:pStyle w:val="33"/>
                    <w:spacing w:line="360" w:lineRule="exact"/>
                    <w:jc w:val="center"/>
                    <w:rPr>
                      <w:szCs w:val="21"/>
                    </w:rPr>
                  </w:pPr>
                  <w:r>
                    <w:rPr>
                      <w:rFonts w:hint="eastAsia"/>
                      <w:szCs w:val="21"/>
                    </w:rPr>
                    <w:t>天然牧草地</w:t>
                  </w:r>
                </w:p>
              </w:tc>
              <w:tc>
                <w:tcPr>
                  <w:tcW w:w="1083" w:type="dxa"/>
                  <w:shd w:val="clear" w:color="auto" w:fill="auto"/>
                  <w:vAlign w:val="center"/>
                </w:tcPr>
                <w:p>
                  <w:pPr>
                    <w:pStyle w:val="33"/>
                    <w:spacing w:line="360" w:lineRule="exact"/>
                    <w:jc w:val="center"/>
                    <w:rPr>
                      <w:szCs w:val="21"/>
                    </w:rPr>
                  </w:pPr>
                  <w:r>
                    <w:rPr>
                      <w:rFonts w:hint="eastAsia"/>
                      <w:szCs w:val="21"/>
                    </w:rPr>
                    <w:t>42.04</w:t>
                  </w:r>
                </w:p>
              </w:tc>
              <w:tc>
                <w:tcPr>
                  <w:tcW w:w="909" w:type="dxa"/>
                  <w:shd w:val="clear" w:color="auto" w:fill="auto"/>
                  <w:vAlign w:val="center"/>
                </w:tcPr>
                <w:p>
                  <w:pPr>
                    <w:pStyle w:val="33"/>
                    <w:spacing w:line="360" w:lineRule="exact"/>
                    <w:jc w:val="center"/>
                    <w:rPr>
                      <w:szCs w:val="21"/>
                    </w:rPr>
                  </w:pPr>
                  <w:r>
                    <w:rPr>
                      <w:rFonts w:hint="eastAsia"/>
                      <w:szCs w:val="21"/>
                    </w:rPr>
                    <w:t>44.93</w:t>
                  </w:r>
                </w:p>
              </w:tc>
              <w:tc>
                <w:tcPr>
                  <w:tcW w:w="827" w:type="dxa"/>
                  <w:vMerge w:val="restart"/>
                  <w:shd w:val="clear" w:color="auto" w:fill="auto"/>
                  <w:vAlign w:val="center"/>
                </w:tcPr>
                <w:p>
                  <w:pPr>
                    <w:pStyle w:val="33"/>
                    <w:spacing w:line="360" w:lineRule="exact"/>
                    <w:jc w:val="center"/>
                    <w:rPr>
                      <w:szCs w:val="21"/>
                    </w:rPr>
                  </w:pPr>
                  <w:r>
                    <w:rPr>
                      <w:szCs w:val="21"/>
                    </w:rPr>
                    <w:t>93.84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270" w:type="dxa"/>
                  <w:vMerge w:val="continue"/>
                  <w:shd w:val="clear" w:color="auto" w:fill="auto"/>
                  <w:vAlign w:val="center"/>
                </w:tcPr>
                <w:p>
                  <w:pPr>
                    <w:widowControl/>
                    <w:spacing w:line="360" w:lineRule="exact"/>
                    <w:jc w:val="center"/>
                    <w:rPr>
                      <w:szCs w:val="21"/>
                    </w:rPr>
                  </w:pPr>
                </w:p>
              </w:tc>
              <w:tc>
                <w:tcPr>
                  <w:tcW w:w="1529" w:type="dxa"/>
                  <w:vMerge w:val="continue"/>
                  <w:shd w:val="clear" w:color="auto" w:fill="auto"/>
                  <w:vAlign w:val="center"/>
                </w:tcPr>
                <w:p>
                  <w:pPr>
                    <w:widowControl/>
                    <w:spacing w:line="360" w:lineRule="exact"/>
                    <w:jc w:val="center"/>
                    <w:rPr>
                      <w:szCs w:val="21"/>
                    </w:rPr>
                  </w:pPr>
                </w:p>
              </w:tc>
              <w:tc>
                <w:tcPr>
                  <w:tcW w:w="1373" w:type="dxa"/>
                  <w:shd w:val="clear" w:color="auto" w:fill="auto"/>
                  <w:vAlign w:val="center"/>
                </w:tcPr>
                <w:p>
                  <w:pPr>
                    <w:pStyle w:val="33"/>
                    <w:spacing w:line="360" w:lineRule="exact"/>
                    <w:jc w:val="center"/>
                    <w:rPr>
                      <w:szCs w:val="21"/>
                    </w:rPr>
                  </w:pPr>
                  <w:r>
                    <w:rPr>
                      <w:rFonts w:hint="eastAsia"/>
                      <w:szCs w:val="21"/>
                    </w:rPr>
                    <w:t>0404</w:t>
                  </w:r>
                </w:p>
              </w:tc>
              <w:tc>
                <w:tcPr>
                  <w:tcW w:w="1292" w:type="dxa"/>
                  <w:shd w:val="clear" w:color="auto" w:fill="auto"/>
                  <w:vAlign w:val="center"/>
                </w:tcPr>
                <w:p>
                  <w:pPr>
                    <w:pStyle w:val="33"/>
                    <w:spacing w:line="360" w:lineRule="exact"/>
                    <w:jc w:val="center"/>
                    <w:rPr>
                      <w:szCs w:val="21"/>
                    </w:rPr>
                  </w:pPr>
                  <w:r>
                    <w:rPr>
                      <w:rFonts w:hint="eastAsia"/>
                      <w:szCs w:val="21"/>
                    </w:rPr>
                    <w:t>其他草地</w:t>
                  </w:r>
                </w:p>
              </w:tc>
              <w:tc>
                <w:tcPr>
                  <w:tcW w:w="1083" w:type="dxa"/>
                  <w:shd w:val="clear" w:color="auto" w:fill="auto"/>
                  <w:vAlign w:val="center"/>
                </w:tcPr>
                <w:p>
                  <w:pPr>
                    <w:pStyle w:val="33"/>
                    <w:spacing w:line="360" w:lineRule="exact"/>
                    <w:jc w:val="center"/>
                    <w:rPr>
                      <w:szCs w:val="21"/>
                    </w:rPr>
                  </w:pPr>
                  <w:r>
                    <w:rPr>
                      <w:szCs w:val="21"/>
                    </w:rPr>
                    <w:t>45.76</w:t>
                  </w:r>
                </w:p>
              </w:tc>
              <w:tc>
                <w:tcPr>
                  <w:tcW w:w="909" w:type="dxa"/>
                  <w:shd w:val="clear" w:color="auto" w:fill="auto"/>
                  <w:vAlign w:val="center"/>
                </w:tcPr>
                <w:p>
                  <w:pPr>
                    <w:pStyle w:val="33"/>
                    <w:spacing w:line="360" w:lineRule="exact"/>
                    <w:jc w:val="center"/>
                    <w:rPr>
                      <w:szCs w:val="21"/>
                    </w:rPr>
                  </w:pPr>
                  <w:r>
                    <w:rPr>
                      <w:szCs w:val="21"/>
                    </w:rPr>
                    <w:t>48.91</w:t>
                  </w:r>
                </w:p>
              </w:tc>
              <w:tc>
                <w:tcPr>
                  <w:tcW w:w="827" w:type="dxa"/>
                  <w:vMerge w:val="continue"/>
                  <w:shd w:val="clear" w:color="auto" w:fill="auto"/>
                  <w:vAlign w:val="center"/>
                </w:tcPr>
                <w:p>
                  <w:pPr>
                    <w:widowControl/>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70" w:type="dxa"/>
                  <w:shd w:val="clear" w:color="auto" w:fill="auto"/>
                  <w:vAlign w:val="center"/>
                </w:tcPr>
                <w:p>
                  <w:pPr>
                    <w:pStyle w:val="33"/>
                    <w:spacing w:line="360" w:lineRule="exact"/>
                    <w:jc w:val="center"/>
                    <w:rPr>
                      <w:szCs w:val="21"/>
                    </w:rPr>
                  </w:pPr>
                  <w:r>
                    <w:rPr>
                      <w:rFonts w:hint="eastAsia"/>
                      <w:szCs w:val="21"/>
                    </w:rPr>
                    <w:t>06</w:t>
                  </w:r>
                </w:p>
              </w:tc>
              <w:tc>
                <w:tcPr>
                  <w:tcW w:w="1529" w:type="dxa"/>
                  <w:shd w:val="clear" w:color="auto" w:fill="auto"/>
                  <w:vAlign w:val="center"/>
                </w:tcPr>
                <w:p>
                  <w:pPr>
                    <w:pStyle w:val="33"/>
                    <w:spacing w:line="360" w:lineRule="exact"/>
                    <w:jc w:val="center"/>
                    <w:rPr>
                      <w:szCs w:val="21"/>
                    </w:rPr>
                  </w:pPr>
                  <w:r>
                    <w:rPr>
                      <w:rFonts w:hint="eastAsia"/>
                      <w:szCs w:val="21"/>
                    </w:rPr>
                    <w:t>工矿仓储用地</w:t>
                  </w:r>
                </w:p>
              </w:tc>
              <w:tc>
                <w:tcPr>
                  <w:tcW w:w="1373" w:type="dxa"/>
                  <w:shd w:val="clear" w:color="auto" w:fill="auto"/>
                  <w:vAlign w:val="center"/>
                </w:tcPr>
                <w:p>
                  <w:pPr>
                    <w:pStyle w:val="33"/>
                    <w:spacing w:line="360" w:lineRule="exact"/>
                    <w:jc w:val="center"/>
                    <w:rPr>
                      <w:szCs w:val="21"/>
                    </w:rPr>
                  </w:pPr>
                  <w:r>
                    <w:rPr>
                      <w:rFonts w:hint="eastAsia"/>
                      <w:szCs w:val="21"/>
                    </w:rPr>
                    <w:t>0602</w:t>
                  </w:r>
                </w:p>
              </w:tc>
              <w:tc>
                <w:tcPr>
                  <w:tcW w:w="1292" w:type="dxa"/>
                  <w:shd w:val="clear" w:color="auto" w:fill="auto"/>
                  <w:vAlign w:val="center"/>
                </w:tcPr>
                <w:p>
                  <w:pPr>
                    <w:pStyle w:val="33"/>
                    <w:spacing w:line="360" w:lineRule="exact"/>
                    <w:jc w:val="center"/>
                    <w:rPr>
                      <w:szCs w:val="21"/>
                    </w:rPr>
                  </w:pPr>
                  <w:r>
                    <w:rPr>
                      <w:rFonts w:hint="eastAsia"/>
                      <w:szCs w:val="21"/>
                    </w:rPr>
                    <w:t>采矿用地</w:t>
                  </w:r>
                </w:p>
              </w:tc>
              <w:tc>
                <w:tcPr>
                  <w:tcW w:w="1083" w:type="dxa"/>
                  <w:shd w:val="clear" w:color="auto" w:fill="auto"/>
                  <w:vAlign w:val="center"/>
                </w:tcPr>
                <w:p>
                  <w:pPr>
                    <w:pStyle w:val="33"/>
                    <w:spacing w:line="360" w:lineRule="exact"/>
                    <w:jc w:val="center"/>
                    <w:rPr>
                      <w:szCs w:val="21"/>
                    </w:rPr>
                  </w:pPr>
                  <w:r>
                    <w:rPr>
                      <w:rFonts w:hint="eastAsia"/>
                      <w:szCs w:val="21"/>
                    </w:rPr>
                    <w:t>1.81</w:t>
                  </w:r>
                </w:p>
              </w:tc>
              <w:tc>
                <w:tcPr>
                  <w:tcW w:w="909" w:type="dxa"/>
                  <w:shd w:val="clear" w:color="auto" w:fill="auto"/>
                  <w:vAlign w:val="center"/>
                </w:tcPr>
                <w:p>
                  <w:pPr>
                    <w:pStyle w:val="33"/>
                    <w:spacing w:line="360" w:lineRule="exact"/>
                    <w:jc w:val="center"/>
                    <w:rPr>
                      <w:szCs w:val="21"/>
                    </w:rPr>
                  </w:pPr>
                  <w:r>
                    <w:rPr>
                      <w:rFonts w:hint="eastAsia"/>
                      <w:szCs w:val="21"/>
                    </w:rPr>
                    <w:t>1.93</w:t>
                  </w:r>
                </w:p>
              </w:tc>
              <w:tc>
                <w:tcPr>
                  <w:tcW w:w="827" w:type="dxa"/>
                  <w:shd w:val="clear" w:color="auto" w:fill="auto"/>
                  <w:vAlign w:val="center"/>
                </w:tcPr>
                <w:p>
                  <w:pPr>
                    <w:pStyle w:val="33"/>
                    <w:spacing w:line="360" w:lineRule="exact"/>
                    <w:jc w:val="center"/>
                    <w:rPr>
                      <w:szCs w:val="21"/>
                    </w:rPr>
                  </w:pPr>
                  <w:r>
                    <w:rPr>
                      <w:rFonts w:hint="eastAsia"/>
                      <w:szCs w:val="21"/>
                    </w:rPr>
                    <w:t>1.93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70" w:type="dxa"/>
                  <w:vMerge w:val="restart"/>
                  <w:shd w:val="clear" w:color="auto" w:fill="auto"/>
                  <w:vAlign w:val="center"/>
                </w:tcPr>
                <w:p>
                  <w:pPr>
                    <w:pStyle w:val="33"/>
                    <w:spacing w:line="360" w:lineRule="exact"/>
                    <w:jc w:val="center"/>
                    <w:rPr>
                      <w:szCs w:val="21"/>
                    </w:rPr>
                  </w:pPr>
                  <w:r>
                    <w:rPr>
                      <w:rFonts w:hint="eastAsia"/>
                      <w:szCs w:val="21"/>
                    </w:rPr>
                    <w:t>10</w:t>
                  </w:r>
                </w:p>
              </w:tc>
              <w:tc>
                <w:tcPr>
                  <w:tcW w:w="1529" w:type="dxa"/>
                  <w:vMerge w:val="restart"/>
                  <w:shd w:val="clear" w:color="auto" w:fill="auto"/>
                  <w:vAlign w:val="center"/>
                </w:tcPr>
                <w:p>
                  <w:pPr>
                    <w:pStyle w:val="33"/>
                    <w:spacing w:line="360" w:lineRule="exact"/>
                    <w:jc w:val="center"/>
                    <w:rPr>
                      <w:szCs w:val="21"/>
                    </w:rPr>
                  </w:pPr>
                  <w:r>
                    <w:rPr>
                      <w:rFonts w:hint="eastAsia"/>
                      <w:szCs w:val="21"/>
                    </w:rPr>
                    <w:t>交通运输用地</w:t>
                  </w:r>
                </w:p>
              </w:tc>
              <w:tc>
                <w:tcPr>
                  <w:tcW w:w="1373" w:type="dxa"/>
                  <w:shd w:val="clear" w:color="auto" w:fill="auto"/>
                  <w:vAlign w:val="center"/>
                </w:tcPr>
                <w:p>
                  <w:pPr>
                    <w:pStyle w:val="33"/>
                    <w:spacing w:line="360" w:lineRule="exact"/>
                    <w:jc w:val="center"/>
                    <w:rPr>
                      <w:szCs w:val="21"/>
                    </w:rPr>
                  </w:pPr>
                  <w:r>
                    <w:rPr>
                      <w:rFonts w:hint="eastAsia"/>
                      <w:szCs w:val="21"/>
                    </w:rPr>
                    <w:t>1003</w:t>
                  </w:r>
                </w:p>
              </w:tc>
              <w:tc>
                <w:tcPr>
                  <w:tcW w:w="1292" w:type="dxa"/>
                  <w:shd w:val="clear" w:color="auto" w:fill="auto"/>
                  <w:vAlign w:val="center"/>
                </w:tcPr>
                <w:p>
                  <w:pPr>
                    <w:pStyle w:val="33"/>
                    <w:spacing w:line="360" w:lineRule="exact"/>
                    <w:jc w:val="center"/>
                    <w:rPr>
                      <w:szCs w:val="21"/>
                    </w:rPr>
                  </w:pPr>
                  <w:r>
                    <w:rPr>
                      <w:rFonts w:hint="eastAsia"/>
                      <w:szCs w:val="21"/>
                    </w:rPr>
                    <w:t>公路用地</w:t>
                  </w:r>
                </w:p>
              </w:tc>
              <w:tc>
                <w:tcPr>
                  <w:tcW w:w="1083" w:type="dxa"/>
                  <w:shd w:val="clear" w:color="auto" w:fill="auto"/>
                  <w:vAlign w:val="center"/>
                </w:tcPr>
                <w:p>
                  <w:pPr>
                    <w:pStyle w:val="33"/>
                    <w:spacing w:line="360" w:lineRule="exact"/>
                    <w:jc w:val="center"/>
                    <w:rPr>
                      <w:szCs w:val="21"/>
                    </w:rPr>
                  </w:pPr>
                  <w:r>
                    <w:rPr>
                      <w:rFonts w:hint="eastAsia"/>
                      <w:szCs w:val="21"/>
                    </w:rPr>
                    <w:t>0.47</w:t>
                  </w:r>
                </w:p>
              </w:tc>
              <w:tc>
                <w:tcPr>
                  <w:tcW w:w="909" w:type="dxa"/>
                  <w:shd w:val="clear" w:color="auto" w:fill="auto"/>
                  <w:vAlign w:val="center"/>
                </w:tcPr>
                <w:p>
                  <w:pPr>
                    <w:pStyle w:val="33"/>
                    <w:spacing w:line="360" w:lineRule="exact"/>
                    <w:jc w:val="center"/>
                    <w:rPr>
                      <w:szCs w:val="21"/>
                    </w:rPr>
                  </w:pPr>
                  <w:r>
                    <w:rPr>
                      <w:rFonts w:hint="eastAsia"/>
                      <w:szCs w:val="21"/>
                    </w:rPr>
                    <w:t>0.50</w:t>
                  </w:r>
                </w:p>
              </w:tc>
              <w:tc>
                <w:tcPr>
                  <w:tcW w:w="827" w:type="dxa"/>
                  <w:vMerge w:val="restart"/>
                  <w:shd w:val="clear" w:color="auto" w:fill="auto"/>
                  <w:vAlign w:val="center"/>
                </w:tcPr>
                <w:p>
                  <w:pPr>
                    <w:pStyle w:val="33"/>
                    <w:spacing w:line="360" w:lineRule="exact"/>
                    <w:jc w:val="center"/>
                    <w:rPr>
                      <w:szCs w:val="21"/>
                    </w:rPr>
                  </w:pPr>
                  <w:r>
                    <w:rPr>
                      <w:rFonts w:hint="eastAsia"/>
                      <w:szCs w:val="21"/>
                    </w:rPr>
                    <w:t>2.01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270" w:type="dxa"/>
                  <w:vMerge w:val="continue"/>
                  <w:shd w:val="clear" w:color="auto" w:fill="auto"/>
                  <w:vAlign w:val="center"/>
                </w:tcPr>
                <w:p>
                  <w:pPr>
                    <w:widowControl/>
                    <w:spacing w:line="360" w:lineRule="exact"/>
                    <w:jc w:val="center"/>
                    <w:rPr>
                      <w:szCs w:val="21"/>
                    </w:rPr>
                  </w:pPr>
                </w:p>
              </w:tc>
              <w:tc>
                <w:tcPr>
                  <w:tcW w:w="1529" w:type="dxa"/>
                  <w:vMerge w:val="continue"/>
                  <w:shd w:val="clear" w:color="auto" w:fill="auto"/>
                  <w:vAlign w:val="center"/>
                </w:tcPr>
                <w:p>
                  <w:pPr>
                    <w:widowControl/>
                    <w:spacing w:line="360" w:lineRule="exact"/>
                    <w:jc w:val="center"/>
                    <w:rPr>
                      <w:szCs w:val="21"/>
                    </w:rPr>
                  </w:pPr>
                </w:p>
              </w:tc>
              <w:tc>
                <w:tcPr>
                  <w:tcW w:w="1373" w:type="dxa"/>
                  <w:shd w:val="clear" w:color="auto" w:fill="auto"/>
                  <w:vAlign w:val="center"/>
                </w:tcPr>
                <w:p>
                  <w:pPr>
                    <w:pStyle w:val="33"/>
                    <w:spacing w:line="360" w:lineRule="exact"/>
                    <w:jc w:val="center"/>
                    <w:rPr>
                      <w:szCs w:val="21"/>
                    </w:rPr>
                  </w:pPr>
                  <w:r>
                    <w:rPr>
                      <w:rFonts w:hint="eastAsia"/>
                      <w:szCs w:val="21"/>
                    </w:rPr>
                    <w:t>1006</w:t>
                  </w:r>
                </w:p>
              </w:tc>
              <w:tc>
                <w:tcPr>
                  <w:tcW w:w="1292" w:type="dxa"/>
                  <w:shd w:val="clear" w:color="auto" w:fill="auto"/>
                  <w:vAlign w:val="center"/>
                </w:tcPr>
                <w:p>
                  <w:pPr>
                    <w:pStyle w:val="33"/>
                    <w:spacing w:line="360" w:lineRule="exact"/>
                    <w:jc w:val="center"/>
                    <w:rPr>
                      <w:szCs w:val="21"/>
                    </w:rPr>
                  </w:pPr>
                  <w:r>
                    <w:rPr>
                      <w:rFonts w:hint="eastAsia"/>
                      <w:szCs w:val="21"/>
                    </w:rPr>
                    <w:t>农村道路</w:t>
                  </w:r>
                </w:p>
              </w:tc>
              <w:tc>
                <w:tcPr>
                  <w:tcW w:w="1083" w:type="dxa"/>
                  <w:shd w:val="clear" w:color="auto" w:fill="auto"/>
                  <w:vAlign w:val="center"/>
                </w:tcPr>
                <w:p>
                  <w:pPr>
                    <w:pStyle w:val="33"/>
                    <w:spacing w:line="360" w:lineRule="exact"/>
                    <w:jc w:val="center"/>
                    <w:rPr>
                      <w:szCs w:val="21"/>
                    </w:rPr>
                  </w:pPr>
                  <w:r>
                    <w:rPr>
                      <w:rFonts w:hint="eastAsia"/>
                      <w:szCs w:val="21"/>
                    </w:rPr>
                    <w:t>1.41</w:t>
                  </w:r>
                </w:p>
              </w:tc>
              <w:tc>
                <w:tcPr>
                  <w:tcW w:w="909" w:type="dxa"/>
                  <w:shd w:val="clear" w:color="auto" w:fill="auto"/>
                  <w:vAlign w:val="center"/>
                </w:tcPr>
                <w:p>
                  <w:pPr>
                    <w:pStyle w:val="33"/>
                    <w:spacing w:line="360" w:lineRule="exact"/>
                    <w:jc w:val="center"/>
                    <w:rPr>
                      <w:szCs w:val="21"/>
                    </w:rPr>
                  </w:pPr>
                  <w:r>
                    <w:rPr>
                      <w:rFonts w:hint="eastAsia"/>
                      <w:szCs w:val="21"/>
                    </w:rPr>
                    <w:t>1.51</w:t>
                  </w:r>
                </w:p>
              </w:tc>
              <w:tc>
                <w:tcPr>
                  <w:tcW w:w="827" w:type="dxa"/>
                  <w:vMerge w:val="continue"/>
                  <w:shd w:val="clear" w:color="auto" w:fill="auto"/>
                  <w:vAlign w:val="center"/>
                </w:tcPr>
                <w:p>
                  <w:pPr>
                    <w:widowControl/>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70" w:type="dxa"/>
                  <w:shd w:val="clear" w:color="auto" w:fill="auto"/>
                  <w:vAlign w:val="center"/>
                </w:tcPr>
                <w:p>
                  <w:pPr>
                    <w:pStyle w:val="33"/>
                    <w:spacing w:line="360" w:lineRule="exact"/>
                    <w:jc w:val="center"/>
                    <w:rPr>
                      <w:szCs w:val="21"/>
                    </w:rPr>
                  </w:pPr>
                  <w:r>
                    <w:rPr>
                      <w:rFonts w:hint="eastAsia"/>
                      <w:szCs w:val="21"/>
                    </w:rPr>
                    <w:t>12</w:t>
                  </w:r>
                </w:p>
              </w:tc>
              <w:tc>
                <w:tcPr>
                  <w:tcW w:w="1529" w:type="dxa"/>
                  <w:shd w:val="clear" w:color="auto" w:fill="auto"/>
                  <w:vAlign w:val="center"/>
                </w:tcPr>
                <w:p>
                  <w:pPr>
                    <w:pStyle w:val="33"/>
                    <w:spacing w:line="360" w:lineRule="exact"/>
                    <w:jc w:val="center"/>
                    <w:rPr>
                      <w:szCs w:val="21"/>
                    </w:rPr>
                  </w:pPr>
                  <w:r>
                    <w:rPr>
                      <w:rFonts w:hint="eastAsia"/>
                      <w:szCs w:val="21"/>
                    </w:rPr>
                    <w:t>其他土地</w:t>
                  </w:r>
                </w:p>
              </w:tc>
              <w:tc>
                <w:tcPr>
                  <w:tcW w:w="1373" w:type="dxa"/>
                  <w:shd w:val="clear" w:color="auto" w:fill="auto"/>
                  <w:vAlign w:val="center"/>
                </w:tcPr>
                <w:p>
                  <w:pPr>
                    <w:pStyle w:val="33"/>
                    <w:spacing w:line="360" w:lineRule="exact"/>
                    <w:jc w:val="center"/>
                    <w:rPr>
                      <w:szCs w:val="21"/>
                    </w:rPr>
                  </w:pPr>
                  <w:r>
                    <w:rPr>
                      <w:rFonts w:hint="eastAsia"/>
                      <w:szCs w:val="21"/>
                    </w:rPr>
                    <w:t>1207</w:t>
                  </w:r>
                </w:p>
              </w:tc>
              <w:tc>
                <w:tcPr>
                  <w:tcW w:w="1292" w:type="dxa"/>
                  <w:shd w:val="clear" w:color="auto" w:fill="auto"/>
                  <w:vAlign w:val="center"/>
                </w:tcPr>
                <w:p>
                  <w:pPr>
                    <w:pStyle w:val="33"/>
                    <w:spacing w:line="360" w:lineRule="exact"/>
                    <w:jc w:val="center"/>
                    <w:rPr>
                      <w:szCs w:val="21"/>
                    </w:rPr>
                  </w:pPr>
                  <w:r>
                    <w:rPr>
                      <w:rFonts w:hint="eastAsia"/>
                      <w:szCs w:val="21"/>
                    </w:rPr>
                    <w:t>裸岩石砾地</w:t>
                  </w:r>
                </w:p>
              </w:tc>
              <w:tc>
                <w:tcPr>
                  <w:tcW w:w="1083" w:type="dxa"/>
                  <w:shd w:val="clear" w:color="auto" w:fill="auto"/>
                  <w:vAlign w:val="center"/>
                </w:tcPr>
                <w:p>
                  <w:pPr>
                    <w:pStyle w:val="33"/>
                    <w:spacing w:line="360" w:lineRule="exact"/>
                    <w:jc w:val="center"/>
                    <w:rPr>
                      <w:szCs w:val="21"/>
                    </w:rPr>
                  </w:pPr>
                  <w:r>
                    <w:rPr>
                      <w:rFonts w:hint="eastAsia"/>
                      <w:szCs w:val="21"/>
                    </w:rPr>
                    <w:t>0.39</w:t>
                  </w:r>
                </w:p>
              </w:tc>
              <w:tc>
                <w:tcPr>
                  <w:tcW w:w="909" w:type="dxa"/>
                  <w:shd w:val="clear" w:color="auto" w:fill="auto"/>
                  <w:vAlign w:val="center"/>
                </w:tcPr>
                <w:p>
                  <w:pPr>
                    <w:pStyle w:val="33"/>
                    <w:spacing w:line="360" w:lineRule="exact"/>
                    <w:jc w:val="center"/>
                    <w:rPr>
                      <w:szCs w:val="21"/>
                    </w:rPr>
                  </w:pPr>
                  <w:r>
                    <w:rPr>
                      <w:rFonts w:hint="eastAsia"/>
                      <w:szCs w:val="21"/>
                    </w:rPr>
                    <w:t>0.42</w:t>
                  </w:r>
                </w:p>
              </w:tc>
              <w:tc>
                <w:tcPr>
                  <w:tcW w:w="827" w:type="dxa"/>
                  <w:shd w:val="clear" w:color="auto" w:fill="auto"/>
                  <w:vAlign w:val="center"/>
                </w:tcPr>
                <w:p>
                  <w:pPr>
                    <w:pStyle w:val="33"/>
                    <w:spacing w:line="360" w:lineRule="exact"/>
                    <w:jc w:val="center"/>
                    <w:rPr>
                      <w:szCs w:val="21"/>
                    </w:rPr>
                  </w:pPr>
                  <w:r>
                    <w:rPr>
                      <w:rFonts w:hint="eastAsia"/>
                      <w:szCs w:val="21"/>
                    </w:rPr>
                    <w:t>0.42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5464" w:type="dxa"/>
                  <w:gridSpan w:val="4"/>
                  <w:shd w:val="clear" w:color="auto" w:fill="auto"/>
                  <w:vAlign w:val="center"/>
                </w:tcPr>
                <w:p>
                  <w:pPr>
                    <w:pStyle w:val="33"/>
                    <w:spacing w:line="360" w:lineRule="exact"/>
                    <w:jc w:val="center"/>
                    <w:rPr>
                      <w:szCs w:val="21"/>
                    </w:rPr>
                  </w:pPr>
                  <w:r>
                    <w:rPr>
                      <w:rFonts w:hint="eastAsia"/>
                      <w:szCs w:val="21"/>
                    </w:rPr>
                    <w:t>总计</w:t>
                  </w:r>
                </w:p>
              </w:tc>
              <w:tc>
                <w:tcPr>
                  <w:tcW w:w="1083" w:type="dxa"/>
                  <w:shd w:val="clear" w:color="auto" w:fill="auto"/>
                  <w:vAlign w:val="center"/>
                </w:tcPr>
                <w:p>
                  <w:pPr>
                    <w:pStyle w:val="33"/>
                    <w:spacing w:line="360" w:lineRule="exact"/>
                    <w:jc w:val="center"/>
                    <w:rPr>
                      <w:szCs w:val="21"/>
                    </w:rPr>
                  </w:pPr>
                  <w:r>
                    <w:rPr>
                      <w:rFonts w:hint="eastAsia"/>
                      <w:szCs w:val="21"/>
                    </w:rPr>
                    <w:t>93.56</w:t>
                  </w:r>
                </w:p>
              </w:tc>
              <w:tc>
                <w:tcPr>
                  <w:tcW w:w="909" w:type="dxa"/>
                  <w:shd w:val="clear" w:color="auto" w:fill="auto"/>
                  <w:vAlign w:val="center"/>
                </w:tcPr>
                <w:p>
                  <w:pPr>
                    <w:pStyle w:val="33"/>
                    <w:spacing w:line="360" w:lineRule="exact"/>
                    <w:jc w:val="center"/>
                    <w:rPr>
                      <w:szCs w:val="21"/>
                    </w:rPr>
                  </w:pPr>
                  <w:r>
                    <w:rPr>
                      <w:rFonts w:hint="eastAsia"/>
                      <w:szCs w:val="21"/>
                    </w:rPr>
                    <w:t>100</w:t>
                  </w:r>
                </w:p>
              </w:tc>
              <w:tc>
                <w:tcPr>
                  <w:tcW w:w="827" w:type="dxa"/>
                  <w:shd w:val="clear" w:color="auto" w:fill="auto"/>
                  <w:vAlign w:val="center"/>
                </w:tcPr>
                <w:p>
                  <w:pPr>
                    <w:pStyle w:val="33"/>
                    <w:spacing w:line="360" w:lineRule="exact"/>
                    <w:jc w:val="center"/>
                    <w:rPr>
                      <w:szCs w:val="21"/>
                    </w:rPr>
                  </w:pPr>
                  <w:r>
                    <w:rPr>
                      <w:rFonts w:hint="eastAsia"/>
                      <w:szCs w:val="21"/>
                    </w:rPr>
                    <w:t>100</w:t>
                  </w:r>
                </w:p>
              </w:tc>
            </w:tr>
          </w:tbl>
          <w:p>
            <w:pPr>
              <w:pStyle w:val="47"/>
              <w:ind w:firstLine="48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本项目土地利用现状</w:t>
            </w:r>
          </w:p>
          <w:p>
            <w:pPr>
              <w:spacing w:line="360" w:lineRule="auto"/>
              <w:ind w:firstLine="480"/>
              <w:rPr>
                <w:kern w:val="24"/>
                <w:sz w:val="24"/>
              </w:rPr>
            </w:pPr>
            <w:r>
              <w:rPr>
                <w:rFonts w:hint="eastAsia"/>
                <w:kern w:val="1"/>
                <w:sz w:val="24"/>
              </w:rPr>
              <w:t>本项目占地面积42.5</w:t>
            </w:r>
            <w:r>
              <w:rPr>
                <w:kern w:val="1"/>
                <w:sz w:val="24"/>
              </w:rPr>
              <w:t>2</w:t>
            </w:r>
            <w:r>
              <w:rPr>
                <w:rFonts w:hint="eastAsia"/>
                <w:kern w:val="1"/>
                <w:sz w:val="24"/>
              </w:rPr>
              <w:t>hm</w:t>
            </w:r>
            <w:r>
              <w:rPr>
                <w:rFonts w:hint="eastAsia"/>
                <w:kern w:val="24"/>
                <w:sz w:val="24"/>
                <w:vertAlign w:val="superscript"/>
              </w:rPr>
              <w:t>2</w:t>
            </w:r>
            <w:r>
              <w:rPr>
                <w:rFonts w:hint="eastAsia"/>
                <w:kern w:val="1"/>
                <w:sz w:val="24"/>
              </w:rPr>
              <w:t>，占地类型以荒草地为主，</w:t>
            </w:r>
            <w:r>
              <w:rPr>
                <w:rFonts w:hint="eastAsia"/>
                <w:kern w:val="24"/>
                <w:sz w:val="24"/>
              </w:rPr>
              <w:t>其中，露天采区31</w:t>
            </w:r>
            <w:r>
              <w:rPr>
                <w:kern w:val="24"/>
                <w:sz w:val="24"/>
              </w:rPr>
              <w:t>.31</w:t>
            </w:r>
            <w:r>
              <w:rPr>
                <w:rFonts w:hint="eastAsia"/>
                <w:kern w:val="1"/>
                <w:sz w:val="24"/>
              </w:rPr>
              <w:t>hm</w:t>
            </w:r>
            <w:r>
              <w:rPr>
                <w:rFonts w:hint="eastAsia"/>
                <w:kern w:val="24"/>
                <w:sz w:val="24"/>
                <w:vertAlign w:val="superscript"/>
              </w:rPr>
              <w:t>2</w:t>
            </w:r>
            <w:r>
              <w:rPr>
                <w:rFonts w:hint="eastAsia"/>
                <w:kern w:val="24"/>
                <w:sz w:val="24"/>
              </w:rPr>
              <w:t>，外排土场0.6</w:t>
            </w:r>
            <w:r>
              <w:rPr>
                <w:rFonts w:hint="eastAsia"/>
                <w:kern w:val="1"/>
                <w:sz w:val="24"/>
              </w:rPr>
              <w:t>hm</w:t>
            </w:r>
            <w:r>
              <w:rPr>
                <w:rFonts w:hint="eastAsia"/>
                <w:kern w:val="24"/>
                <w:sz w:val="24"/>
                <w:vertAlign w:val="superscript"/>
              </w:rPr>
              <w:t>2</w:t>
            </w:r>
            <w:r>
              <w:rPr>
                <w:rFonts w:hint="eastAsia"/>
                <w:kern w:val="24"/>
                <w:sz w:val="24"/>
              </w:rPr>
              <w:t>（该表土堆放场位于露天开采境界范围之内，且在露天一采区开采完毕后即可拉运回填清理，因此不重复计算其占地面积）、矿山露天开采境界范围之外的道路长约1140m，占地面积约</w:t>
            </w:r>
            <w:r>
              <w:rPr>
                <w:kern w:val="24"/>
                <w:sz w:val="24"/>
              </w:rPr>
              <w:t>0.93</w:t>
            </w:r>
            <w:r>
              <w:rPr>
                <w:rFonts w:hint="eastAsia"/>
                <w:kern w:val="24"/>
                <w:sz w:val="24"/>
              </w:rPr>
              <w:t>hm</w:t>
            </w:r>
            <w:r>
              <w:rPr>
                <w:rFonts w:hint="eastAsia"/>
                <w:kern w:val="24"/>
                <w:sz w:val="24"/>
                <w:vertAlign w:val="superscript"/>
              </w:rPr>
              <w:t>2</w:t>
            </w:r>
            <w:r>
              <w:rPr>
                <w:rFonts w:hint="eastAsia"/>
                <w:kern w:val="24"/>
                <w:sz w:val="24"/>
              </w:rPr>
              <w:t>，场内矿山道路1.61</w:t>
            </w:r>
            <w:r>
              <w:rPr>
                <w:rFonts w:hint="eastAsia"/>
                <w:kern w:val="1"/>
                <w:sz w:val="24"/>
              </w:rPr>
              <w:t>hm</w:t>
            </w:r>
            <w:r>
              <w:rPr>
                <w:rFonts w:hint="eastAsia"/>
                <w:kern w:val="24"/>
                <w:sz w:val="24"/>
                <w:vertAlign w:val="superscript"/>
              </w:rPr>
              <w:t>2</w:t>
            </w:r>
            <w:r>
              <w:rPr>
                <w:rFonts w:hint="eastAsia"/>
                <w:kern w:val="24"/>
                <w:sz w:val="24"/>
              </w:rPr>
              <w:t>（位于矿区内，不重复计算），工业场地10.28</w:t>
            </w:r>
            <w:r>
              <w:rPr>
                <w:rFonts w:hint="eastAsia"/>
                <w:kern w:val="1"/>
                <w:sz w:val="24"/>
              </w:rPr>
              <w:t>hm</w:t>
            </w:r>
            <w:r>
              <w:rPr>
                <w:rFonts w:hint="eastAsia"/>
                <w:kern w:val="24"/>
                <w:sz w:val="24"/>
                <w:vertAlign w:val="superscript"/>
              </w:rPr>
              <w:t>2</w:t>
            </w:r>
            <w:r>
              <w:rPr>
                <w:rFonts w:hint="eastAsia"/>
                <w:kern w:val="24"/>
                <w:sz w:val="24"/>
              </w:rPr>
              <w:t>、项目</w:t>
            </w:r>
            <w:r>
              <w:rPr>
                <w:rFonts w:hint="eastAsia"/>
                <w:kern w:val="1"/>
                <w:sz w:val="24"/>
              </w:rPr>
              <w:t>占地情况见下表。</w:t>
            </w:r>
          </w:p>
          <w:p>
            <w:pPr>
              <w:pStyle w:val="50"/>
              <w:numPr>
                <w:ilvl w:val="0"/>
                <w:numId w:val="2"/>
              </w:numPr>
              <w:snapToGrid w:val="0"/>
              <w:spacing w:line="240" w:lineRule="auto"/>
              <w:ind w:left="420" w:firstLineChars="0"/>
              <w:jc w:val="center"/>
              <w:rPr>
                <w:b/>
                <w:bCs/>
              </w:rPr>
            </w:pPr>
            <w:r>
              <w:rPr>
                <w:rFonts w:hint="eastAsia"/>
                <w:b/>
                <w:bCs/>
              </w:rPr>
              <w:t>项目占地情况一览表   单位：hm</w:t>
            </w:r>
            <w:r>
              <w:rPr>
                <w:rFonts w:hint="eastAsia"/>
                <w:b/>
                <w:bCs/>
                <w:vertAlign w:val="superscript"/>
              </w:rPr>
              <w:t>2</w:t>
            </w:r>
          </w:p>
          <w:tbl>
            <w:tblPr>
              <w:tblStyle w:val="22"/>
              <w:tblW w:w="82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717"/>
              <w:gridCol w:w="572"/>
              <w:gridCol w:w="1542"/>
              <w:gridCol w:w="716"/>
              <w:gridCol w:w="1329"/>
              <w:gridCol w:w="1572"/>
              <w:gridCol w:w="8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shd w:val="clear" w:color="auto" w:fill="auto"/>
                  <w:vAlign w:val="center"/>
                </w:tcPr>
                <w:p>
                  <w:pPr>
                    <w:pStyle w:val="33"/>
                    <w:spacing w:line="360" w:lineRule="exact"/>
                    <w:jc w:val="center"/>
                    <w:rPr>
                      <w:szCs w:val="21"/>
                    </w:rPr>
                  </w:pPr>
                  <w:r>
                    <w:rPr>
                      <w:rFonts w:hint="eastAsia"/>
                      <w:szCs w:val="21"/>
                    </w:rPr>
                    <w:t>项目</w:t>
                  </w:r>
                </w:p>
              </w:tc>
              <w:tc>
                <w:tcPr>
                  <w:tcW w:w="4159" w:type="dxa"/>
                  <w:gridSpan w:val="4"/>
                  <w:shd w:val="clear" w:color="auto" w:fill="auto"/>
                  <w:vAlign w:val="center"/>
                </w:tcPr>
                <w:p>
                  <w:pPr>
                    <w:pStyle w:val="33"/>
                    <w:spacing w:line="360" w:lineRule="exact"/>
                    <w:jc w:val="center"/>
                    <w:rPr>
                      <w:szCs w:val="21"/>
                    </w:rPr>
                  </w:pPr>
                  <w:r>
                    <w:rPr>
                      <w:rFonts w:hint="eastAsia"/>
                      <w:szCs w:val="21"/>
                    </w:rPr>
                    <w:t>占地类型</w:t>
                  </w:r>
                </w:p>
              </w:tc>
              <w:tc>
                <w:tcPr>
                  <w:tcW w:w="2407" w:type="dxa"/>
                  <w:gridSpan w:val="2"/>
                  <w:shd w:val="clear" w:color="auto" w:fill="auto"/>
                  <w:vAlign w:val="center"/>
                </w:tcPr>
                <w:p>
                  <w:pPr>
                    <w:pStyle w:val="33"/>
                    <w:spacing w:line="360" w:lineRule="exact"/>
                    <w:jc w:val="center"/>
                    <w:rPr>
                      <w:szCs w:val="21"/>
                    </w:rPr>
                  </w:pPr>
                  <w:r>
                    <w:rPr>
                      <w:rFonts w:hint="eastAsia"/>
                      <w:szCs w:val="21"/>
                    </w:rPr>
                    <w:t>占地面积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restart"/>
                  <w:shd w:val="clear" w:color="auto" w:fill="auto"/>
                  <w:vAlign w:val="center"/>
                </w:tcPr>
                <w:p>
                  <w:pPr>
                    <w:pStyle w:val="33"/>
                    <w:spacing w:line="360" w:lineRule="exact"/>
                    <w:jc w:val="center"/>
                    <w:rPr>
                      <w:szCs w:val="2"/>
                    </w:rPr>
                  </w:pPr>
                  <w:r>
                    <w:rPr>
                      <w:rFonts w:hint="eastAsia"/>
                      <w:szCs w:val="21"/>
                    </w:rPr>
                    <w:t>露天采坑</w:t>
                  </w:r>
                </w:p>
              </w:tc>
              <w:tc>
                <w:tcPr>
                  <w:tcW w:w="2114" w:type="dxa"/>
                  <w:gridSpan w:val="2"/>
                  <w:shd w:val="clear" w:color="auto" w:fill="auto"/>
                  <w:vAlign w:val="center"/>
                </w:tcPr>
                <w:p>
                  <w:pPr>
                    <w:pStyle w:val="33"/>
                    <w:spacing w:line="360" w:lineRule="exact"/>
                    <w:jc w:val="center"/>
                    <w:rPr>
                      <w:szCs w:val="21"/>
                    </w:rPr>
                  </w:pPr>
                  <w:r>
                    <w:rPr>
                      <w:rFonts w:hint="eastAsia"/>
                      <w:szCs w:val="21"/>
                    </w:rPr>
                    <w:t>一级地类</w:t>
                  </w:r>
                </w:p>
              </w:tc>
              <w:tc>
                <w:tcPr>
                  <w:tcW w:w="2045" w:type="dxa"/>
                  <w:gridSpan w:val="2"/>
                  <w:shd w:val="clear" w:color="auto" w:fill="auto"/>
                  <w:vAlign w:val="center"/>
                </w:tcPr>
                <w:p>
                  <w:pPr>
                    <w:pStyle w:val="33"/>
                    <w:spacing w:line="360" w:lineRule="exact"/>
                    <w:jc w:val="center"/>
                    <w:rPr>
                      <w:szCs w:val="21"/>
                    </w:rPr>
                  </w:pPr>
                  <w:r>
                    <w:rPr>
                      <w:rFonts w:hint="eastAsia"/>
                      <w:szCs w:val="21"/>
                    </w:rPr>
                    <w:t>二级地类</w:t>
                  </w:r>
                </w:p>
              </w:tc>
              <w:tc>
                <w:tcPr>
                  <w:tcW w:w="2407" w:type="dxa"/>
                  <w:gridSpan w:val="2"/>
                  <w:shd w:val="clear" w:color="auto" w:fill="auto"/>
                  <w:vAlign w:val="center"/>
                </w:tcPr>
                <w:p>
                  <w:pPr>
                    <w:pStyle w:val="33"/>
                    <w:spacing w:line="360" w:lineRule="exact"/>
                    <w:jc w:val="center"/>
                    <w:rPr>
                      <w:szCs w:val="21"/>
                    </w:rPr>
                  </w:pPr>
                  <w:r>
                    <w:rPr>
                      <w:rFonts w:hint="eastAsia"/>
                      <w:szCs w:val="21"/>
                    </w:rPr>
                    <w:t>（</w:t>
                  </w:r>
                  <w:r>
                    <w:rPr>
                      <w:szCs w:val="21"/>
                    </w:rPr>
                    <w:t>hm</w:t>
                  </w:r>
                  <w:r>
                    <w:rPr>
                      <w:szCs w:val="21"/>
                      <w:vertAlign w:val="superscript"/>
                    </w:rPr>
                    <w:t>2</w:t>
                  </w:r>
                  <w:r>
                    <w:rPr>
                      <w:rFonts w:hint="eastAsia"/>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jc w:val="center"/>
              </w:trPr>
              <w:tc>
                <w:tcPr>
                  <w:tcW w:w="1717" w:type="dxa"/>
                  <w:vMerge w:val="continue"/>
                  <w:shd w:val="clear" w:color="auto" w:fill="auto"/>
                  <w:vAlign w:val="center"/>
                </w:tcPr>
                <w:p>
                  <w:pPr>
                    <w:pStyle w:val="33"/>
                    <w:spacing w:line="360" w:lineRule="exact"/>
                    <w:jc w:val="center"/>
                    <w:rPr>
                      <w:szCs w:val="21"/>
                    </w:rPr>
                  </w:pPr>
                </w:p>
              </w:tc>
              <w:tc>
                <w:tcPr>
                  <w:tcW w:w="572" w:type="dxa"/>
                  <w:shd w:val="clear" w:color="auto" w:fill="auto"/>
                  <w:vAlign w:val="center"/>
                </w:tcPr>
                <w:p>
                  <w:pPr>
                    <w:pStyle w:val="33"/>
                    <w:spacing w:line="360" w:lineRule="exact"/>
                    <w:jc w:val="center"/>
                    <w:rPr>
                      <w:szCs w:val="21"/>
                    </w:rPr>
                  </w:pPr>
                  <w:r>
                    <w:rPr>
                      <w:szCs w:val="21"/>
                    </w:rPr>
                    <w:t>04</w:t>
                  </w:r>
                </w:p>
              </w:tc>
              <w:tc>
                <w:tcPr>
                  <w:tcW w:w="1542" w:type="dxa"/>
                  <w:shd w:val="clear" w:color="auto" w:fill="auto"/>
                  <w:vAlign w:val="center"/>
                </w:tcPr>
                <w:p>
                  <w:pPr>
                    <w:pStyle w:val="33"/>
                    <w:spacing w:line="360" w:lineRule="exact"/>
                    <w:jc w:val="center"/>
                    <w:rPr>
                      <w:szCs w:val="21"/>
                    </w:rPr>
                  </w:pPr>
                  <w:r>
                    <w:rPr>
                      <w:rFonts w:hint="eastAsia"/>
                      <w:szCs w:val="21"/>
                    </w:rPr>
                    <w:t>草地</w:t>
                  </w:r>
                </w:p>
              </w:tc>
              <w:tc>
                <w:tcPr>
                  <w:tcW w:w="716" w:type="dxa"/>
                  <w:shd w:val="clear" w:color="auto" w:fill="auto"/>
                  <w:vAlign w:val="center"/>
                </w:tcPr>
                <w:p>
                  <w:pPr>
                    <w:pStyle w:val="33"/>
                    <w:spacing w:line="360" w:lineRule="exact"/>
                    <w:jc w:val="center"/>
                    <w:rPr>
                      <w:szCs w:val="21"/>
                    </w:rPr>
                  </w:pPr>
                  <w:r>
                    <w:rPr>
                      <w:szCs w:val="21"/>
                    </w:rPr>
                    <w:t>0401</w:t>
                  </w:r>
                </w:p>
              </w:tc>
              <w:tc>
                <w:tcPr>
                  <w:tcW w:w="1329" w:type="dxa"/>
                  <w:shd w:val="clear" w:color="auto" w:fill="auto"/>
                  <w:vAlign w:val="center"/>
                </w:tcPr>
                <w:p>
                  <w:pPr>
                    <w:pStyle w:val="33"/>
                    <w:spacing w:line="360" w:lineRule="exact"/>
                    <w:jc w:val="center"/>
                    <w:rPr>
                      <w:szCs w:val="21"/>
                    </w:rPr>
                  </w:pPr>
                  <w:r>
                    <w:rPr>
                      <w:rFonts w:hint="eastAsia"/>
                      <w:szCs w:val="21"/>
                    </w:rPr>
                    <w:t>天然牧草地</w:t>
                  </w:r>
                </w:p>
              </w:tc>
              <w:tc>
                <w:tcPr>
                  <w:tcW w:w="1572" w:type="dxa"/>
                  <w:shd w:val="clear" w:color="auto" w:fill="auto"/>
                  <w:vAlign w:val="center"/>
                </w:tcPr>
                <w:p>
                  <w:pPr>
                    <w:pStyle w:val="33"/>
                    <w:spacing w:line="360" w:lineRule="exact"/>
                    <w:jc w:val="center"/>
                    <w:rPr>
                      <w:szCs w:val="21"/>
                    </w:rPr>
                  </w:pPr>
                  <w:r>
                    <w:rPr>
                      <w:szCs w:val="21"/>
                    </w:rPr>
                    <w:t>28.30</w:t>
                  </w:r>
                </w:p>
              </w:tc>
              <w:tc>
                <w:tcPr>
                  <w:tcW w:w="835" w:type="dxa"/>
                  <w:vMerge w:val="restart"/>
                  <w:shd w:val="clear" w:color="auto" w:fill="auto"/>
                  <w:vAlign w:val="center"/>
                </w:tcPr>
                <w:p>
                  <w:pPr>
                    <w:pStyle w:val="33"/>
                    <w:spacing w:line="360" w:lineRule="exact"/>
                    <w:jc w:val="center"/>
                    <w:rPr>
                      <w:szCs w:val="21"/>
                    </w:rPr>
                  </w:pPr>
                  <w:r>
                    <w:rPr>
                      <w:szCs w:val="21"/>
                    </w:rPr>
                    <w:t>31.31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continue"/>
                  <w:shd w:val="clear" w:color="auto" w:fill="auto"/>
                  <w:vAlign w:val="center"/>
                </w:tcPr>
                <w:p>
                  <w:pPr>
                    <w:spacing w:line="360" w:lineRule="exact"/>
                    <w:jc w:val="center"/>
                    <w:rPr>
                      <w:szCs w:val="2"/>
                    </w:rPr>
                  </w:pPr>
                </w:p>
              </w:tc>
              <w:tc>
                <w:tcPr>
                  <w:tcW w:w="572" w:type="dxa"/>
                  <w:shd w:val="clear" w:color="auto" w:fill="auto"/>
                  <w:vAlign w:val="center"/>
                </w:tcPr>
                <w:p>
                  <w:pPr>
                    <w:pStyle w:val="33"/>
                    <w:spacing w:line="360" w:lineRule="exact"/>
                    <w:jc w:val="center"/>
                    <w:rPr>
                      <w:szCs w:val="21"/>
                    </w:rPr>
                  </w:pPr>
                  <w:r>
                    <w:rPr>
                      <w:szCs w:val="21"/>
                    </w:rPr>
                    <w:t>06</w:t>
                  </w:r>
                </w:p>
              </w:tc>
              <w:tc>
                <w:tcPr>
                  <w:tcW w:w="1542" w:type="dxa"/>
                  <w:shd w:val="clear" w:color="auto" w:fill="auto"/>
                  <w:vAlign w:val="center"/>
                </w:tcPr>
                <w:p>
                  <w:pPr>
                    <w:pStyle w:val="33"/>
                    <w:spacing w:line="360" w:lineRule="exact"/>
                    <w:jc w:val="center"/>
                    <w:rPr>
                      <w:szCs w:val="21"/>
                    </w:rPr>
                  </w:pPr>
                  <w:r>
                    <w:rPr>
                      <w:rFonts w:hint="eastAsia"/>
                      <w:szCs w:val="21"/>
                    </w:rPr>
                    <w:t>工矿仓储用地</w:t>
                  </w:r>
                </w:p>
              </w:tc>
              <w:tc>
                <w:tcPr>
                  <w:tcW w:w="716" w:type="dxa"/>
                  <w:shd w:val="clear" w:color="auto" w:fill="auto"/>
                  <w:vAlign w:val="center"/>
                </w:tcPr>
                <w:p>
                  <w:pPr>
                    <w:pStyle w:val="33"/>
                    <w:spacing w:line="360" w:lineRule="exact"/>
                    <w:jc w:val="center"/>
                    <w:rPr>
                      <w:szCs w:val="21"/>
                    </w:rPr>
                  </w:pPr>
                  <w:r>
                    <w:rPr>
                      <w:szCs w:val="21"/>
                    </w:rPr>
                    <w:t>0602</w:t>
                  </w:r>
                </w:p>
              </w:tc>
              <w:tc>
                <w:tcPr>
                  <w:tcW w:w="1329" w:type="dxa"/>
                  <w:shd w:val="clear" w:color="auto" w:fill="auto"/>
                  <w:vAlign w:val="center"/>
                </w:tcPr>
                <w:p>
                  <w:pPr>
                    <w:pStyle w:val="33"/>
                    <w:spacing w:line="360" w:lineRule="exact"/>
                    <w:jc w:val="center"/>
                    <w:rPr>
                      <w:szCs w:val="21"/>
                    </w:rPr>
                  </w:pPr>
                  <w:r>
                    <w:rPr>
                      <w:rFonts w:hint="eastAsia"/>
                      <w:szCs w:val="21"/>
                    </w:rPr>
                    <w:t>采矿用地</w:t>
                  </w:r>
                </w:p>
              </w:tc>
              <w:tc>
                <w:tcPr>
                  <w:tcW w:w="1572" w:type="dxa"/>
                  <w:shd w:val="clear" w:color="auto" w:fill="auto"/>
                  <w:vAlign w:val="center"/>
                </w:tcPr>
                <w:p>
                  <w:pPr>
                    <w:pStyle w:val="33"/>
                    <w:spacing w:line="360" w:lineRule="exact"/>
                    <w:jc w:val="center"/>
                    <w:rPr>
                      <w:szCs w:val="21"/>
                    </w:rPr>
                  </w:pPr>
                  <w:r>
                    <w:rPr>
                      <w:szCs w:val="21"/>
                    </w:rPr>
                    <w:t>1.53</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continue"/>
                  <w:shd w:val="clear" w:color="auto" w:fill="auto"/>
                  <w:vAlign w:val="center"/>
                </w:tcPr>
                <w:p>
                  <w:pPr>
                    <w:spacing w:line="360" w:lineRule="exact"/>
                    <w:jc w:val="center"/>
                    <w:rPr>
                      <w:szCs w:val="2"/>
                    </w:rPr>
                  </w:pPr>
                </w:p>
              </w:tc>
              <w:tc>
                <w:tcPr>
                  <w:tcW w:w="572" w:type="dxa"/>
                  <w:shd w:val="clear" w:color="auto" w:fill="auto"/>
                  <w:vAlign w:val="center"/>
                </w:tcPr>
                <w:p>
                  <w:pPr>
                    <w:pStyle w:val="33"/>
                    <w:spacing w:line="360" w:lineRule="exact"/>
                    <w:jc w:val="center"/>
                    <w:rPr>
                      <w:szCs w:val="21"/>
                    </w:rPr>
                  </w:pPr>
                  <w:r>
                    <w:rPr>
                      <w:szCs w:val="21"/>
                    </w:rPr>
                    <w:t>10</w:t>
                  </w:r>
                </w:p>
              </w:tc>
              <w:tc>
                <w:tcPr>
                  <w:tcW w:w="1542" w:type="dxa"/>
                  <w:shd w:val="clear" w:color="auto" w:fill="auto"/>
                  <w:vAlign w:val="center"/>
                </w:tcPr>
                <w:p>
                  <w:pPr>
                    <w:pStyle w:val="33"/>
                    <w:spacing w:line="360" w:lineRule="exact"/>
                    <w:jc w:val="center"/>
                    <w:rPr>
                      <w:szCs w:val="21"/>
                    </w:rPr>
                  </w:pPr>
                  <w:r>
                    <w:rPr>
                      <w:rFonts w:hint="eastAsia"/>
                      <w:szCs w:val="21"/>
                    </w:rPr>
                    <w:t>交通运输用地</w:t>
                  </w:r>
                </w:p>
              </w:tc>
              <w:tc>
                <w:tcPr>
                  <w:tcW w:w="716" w:type="dxa"/>
                  <w:shd w:val="clear" w:color="auto" w:fill="auto"/>
                  <w:vAlign w:val="center"/>
                </w:tcPr>
                <w:p>
                  <w:pPr>
                    <w:pStyle w:val="33"/>
                    <w:spacing w:line="360" w:lineRule="exact"/>
                    <w:jc w:val="center"/>
                    <w:rPr>
                      <w:szCs w:val="21"/>
                    </w:rPr>
                  </w:pPr>
                  <w:r>
                    <w:rPr>
                      <w:szCs w:val="21"/>
                    </w:rPr>
                    <w:t>1006</w:t>
                  </w:r>
                </w:p>
              </w:tc>
              <w:tc>
                <w:tcPr>
                  <w:tcW w:w="1329" w:type="dxa"/>
                  <w:shd w:val="clear" w:color="auto" w:fill="auto"/>
                  <w:vAlign w:val="center"/>
                </w:tcPr>
                <w:p>
                  <w:pPr>
                    <w:pStyle w:val="33"/>
                    <w:spacing w:line="360" w:lineRule="exact"/>
                    <w:jc w:val="center"/>
                    <w:rPr>
                      <w:szCs w:val="21"/>
                    </w:rPr>
                  </w:pPr>
                  <w:r>
                    <w:rPr>
                      <w:rFonts w:hint="eastAsia"/>
                      <w:szCs w:val="21"/>
                    </w:rPr>
                    <w:t>农村道路</w:t>
                  </w:r>
                </w:p>
              </w:tc>
              <w:tc>
                <w:tcPr>
                  <w:tcW w:w="1572" w:type="dxa"/>
                  <w:shd w:val="clear" w:color="auto" w:fill="auto"/>
                  <w:vAlign w:val="center"/>
                </w:tcPr>
                <w:p>
                  <w:pPr>
                    <w:pStyle w:val="33"/>
                    <w:spacing w:line="360" w:lineRule="exact"/>
                    <w:jc w:val="center"/>
                    <w:rPr>
                      <w:szCs w:val="21"/>
                    </w:rPr>
                  </w:pPr>
                  <w:r>
                    <w:rPr>
                      <w:szCs w:val="21"/>
                    </w:rPr>
                    <w:t>1.08</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jc w:val="center"/>
              </w:trPr>
              <w:tc>
                <w:tcPr>
                  <w:tcW w:w="1717" w:type="dxa"/>
                  <w:vMerge w:val="continue"/>
                  <w:shd w:val="clear" w:color="auto" w:fill="auto"/>
                  <w:vAlign w:val="center"/>
                </w:tcPr>
                <w:p>
                  <w:pPr>
                    <w:spacing w:line="360" w:lineRule="exact"/>
                    <w:jc w:val="center"/>
                    <w:rPr>
                      <w:szCs w:val="2"/>
                    </w:rPr>
                  </w:pPr>
                </w:p>
              </w:tc>
              <w:tc>
                <w:tcPr>
                  <w:tcW w:w="572" w:type="dxa"/>
                  <w:shd w:val="clear" w:color="auto" w:fill="auto"/>
                  <w:vAlign w:val="center"/>
                </w:tcPr>
                <w:p>
                  <w:pPr>
                    <w:pStyle w:val="33"/>
                    <w:spacing w:line="360" w:lineRule="exact"/>
                    <w:jc w:val="center"/>
                    <w:rPr>
                      <w:szCs w:val="21"/>
                    </w:rPr>
                  </w:pPr>
                  <w:r>
                    <w:rPr>
                      <w:szCs w:val="21"/>
                    </w:rPr>
                    <w:t>12</w:t>
                  </w:r>
                </w:p>
              </w:tc>
              <w:tc>
                <w:tcPr>
                  <w:tcW w:w="1542" w:type="dxa"/>
                  <w:shd w:val="clear" w:color="auto" w:fill="auto"/>
                  <w:vAlign w:val="center"/>
                </w:tcPr>
                <w:p>
                  <w:pPr>
                    <w:pStyle w:val="33"/>
                    <w:spacing w:line="360" w:lineRule="exact"/>
                    <w:jc w:val="center"/>
                    <w:rPr>
                      <w:szCs w:val="21"/>
                    </w:rPr>
                  </w:pPr>
                  <w:r>
                    <w:rPr>
                      <w:rFonts w:hint="eastAsia"/>
                      <w:szCs w:val="21"/>
                    </w:rPr>
                    <w:t>其他土地</w:t>
                  </w:r>
                </w:p>
              </w:tc>
              <w:tc>
                <w:tcPr>
                  <w:tcW w:w="716" w:type="dxa"/>
                  <w:shd w:val="clear" w:color="auto" w:fill="auto"/>
                  <w:vAlign w:val="center"/>
                </w:tcPr>
                <w:p>
                  <w:pPr>
                    <w:pStyle w:val="33"/>
                    <w:spacing w:line="360" w:lineRule="exact"/>
                    <w:jc w:val="center"/>
                    <w:rPr>
                      <w:szCs w:val="21"/>
                    </w:rPr>
                  </w:pPr>
                  <w:r>
                    <w:rPr>
                      <w:szCs w:val="21"/>
                    </w:rPr>
                    <w:t>0207</w:t>
                  </w:r>
                </w:p>
              </w:tc>
              <w:tc>
                <w:tcPr>
                  <w:tcW w:w="1329" w:type="dxa"/>
                  <w:shd w:val="clear" w:color="auto" w:fill="auto"/>
                  <w:vAlign w:val="center"/>
                </w:tcPr>
                <w:p>
                  <w:pPr>
                    <w:pStyle w:val="33"/>
                    <w:spacing w:line="360" w:lineRule="exact"/>
                    <w:jc w:val="center"/>
                    <w:rPr>
                      <w:szCs w:val="21"/>
                    </w:rPr>
                  </w:pPr>
                  <w:r>
                    <w:rPr>
                      <w:rFonts w:hint="eastAsia"/>
                      <w:szCs w:val="21"/>
                    </w:rPr>
                    <w:t>裸岩石砾地</w:t>
                  </w:r>
                </w:p>
              </w:tc>
              <w:tc>
                <w:tcPr>
                  <w:tcW w:w="1572" w:type="dxa"/>
                  <w:shd w:val="clear" w:color="auto" w:fill="auto"/>
                  <w:vAlign w:val="center"/>
                </w:tcPr>
                <w:p>
                  <w:pPr>
                    <w:pStyle w:val="33"/>
                    <w:spacing w:line="360" w:lineRule="exact"/>
                    <w:jc w:val="center"/>
                    <w:rPr>
                      <w:szCs w:val="21"/>
                    </w:rPr>
                  </w:pPr>
                  <w:r>
                    <w:rPr>
                      <w:szCs w:val="21"/>
                    </w:rPr>
                    <w:t>0.40</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7448" w:type="dxa"/>
                  <w:gridSpan w:val="6"/>
                  <w:shd w:val="clear" w:color="auto" w:fill="auto"/>
                  <w:vAlign w:val="center"/>
                </w:tcPr>
                <w:p>
                  <w:pPr>
                    <w:pStyle w:val="33"/>
                    <w:spacing w:line="360" w:lineRule="exact"/>
                    <w:jc w:val="center"/>
                    <w:rPr>
                      <w:szCs w:val="21"/>
                    </w:rPr>
                  </w:pPr>
                  <w:r>
                    <w:rPr>
                      <w:rFonts w:hint="eastAsia"/>
                      <w:szCs w:val="21"/>
                    </w:rPr>
                    <w:t>小计</w:t>
                  </w:r>
                </w:p>
              </w:tc>
              <w:tc>
                <w:tcPr>
                  <w:tcW w:w="835" w:type="dxa"/>
                  <w:shd w:val="clear" w:color="auto" w:fill="auto"/>
                  <w:vAlign w:val="center"/>
                </w:tcPr>
                <w:p>
                  <w:pPr>
                    <w:pStyle w:val="33"/>
                    <w:spacing w:line="360" w:lineRule="exact"/>
                    <w:jc w:val="center"/>
                    <w:rPr>
                      <w:szCs w:val="21"/>
                    </w:rPr>
                  </w:pPr>
                  <w:r>
                    <w:rPr>
                      <w:szCs w:val="21"/>
                    </w:rPr>
                    <w:t>31.31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restart"/>
                  <w:shd w:val="clear" w:color="auto" w:fill="auto"/>
                  <w:vAlign w:val="center"/>
                </w:tcPr>
                <w:p>
                  <w:pPr>
                    <w:pStyle w:val="33"/>
                    <w:spacing w:line="360" w:lineRule="exact"/>
                    <w:jc w:val="center"/>
                    <w:rPr>
                      <w:szCs w:val="21"/>
                    </w:rPr>
                  </w:pPr>
                  <w:r>
                    <w:rPr>
                      <w:rFonts w:hint="eastAsia"/>
                      <w:szCs w:val="21"/>
                    </w:rPr>
                    <w:t>工业场地</w:t>
                  </w:r>
                </w:p>
              </w:tc>
              <w:tc>
                <w:tcPr>
                  <w:tcW w:w="572" w:type="dxa"/>
                  <w:shd w:val="clear" w:color="auto" w:fill="auto"/>
                  <w:vAlign w:val="center"/>
                </w:tcPr>
                <w:p>
                  <w:pPr>
                    <w:pStyle w:val="33"/>
                    <w:spacing w:line="360" w:lineRule="exact"/>
                    <w:jc w:val="center"/>
                    <w:rPr>
                      <w:szCs w:val="21"/>
                    </w:rPr>
                  </w:pPr>
                  <w:r>
                    <w:rPr>
                      <w:szCs w:val="21"/>
                    </w:rPr>
                    <w:t>01</w:t>
                  </w:r>
                </w:p>
              </w:tc>
              <w:tc>
                <w:tcPr>
                  <w:tcW w:w="1542" w:type="dxa"/>
                  <w:shd w:val="clear" w:color="auto" w:fill="auto"/>
                  <w:vAlign w:val="center"/>
                </w:tcPr>
                <w:p>
                  <w:pPr>
                    <w:pStyle w:val="33"/>
                    <w:spacing w:line="360" w:lineRule="exact"/>
                    <w:jc w:val="center"/>
                    <w:rPr>
                      <w:szCs w:val="21"/>
                    </w:rPr>
                  </w:pPr>
                  <w:r>
                    <w:rPr>
                      <w:rFonts w:hint="eastAsia"/>
                      <w:szCs w:val="21"/>
                    </w:rPr>
                    <w:t>耕地</w:t>
                  </w:r>
                </w:p>
              </w:tc>
              <w:tc>
                <w:tcPr>
                  <w:tcW w:w="716" w:type="dxa"/>
                  <w:shd w:val="clear" w:color="auto" w:fill="auto"/>
                  <w:vAlign w:val="center"/>
                </w:tcPr>
                <w:p>
                  <w:pPr>
                    <w:pStyle w:val="33"/>
                    <w:spacing w:line="360" w:lineRule="exact"/>
                    <w:jc w:val="center"/>
                    <w:rPr>
                      <w:szCs w:val="21"/>
                    </w:rPr>
                  </w:pPr>
                  <w:r>
                    <w:rPr>
                      <w:szCs w:val="21"/>
                    </w:rPr>
                    <w:t>0103</w:t>
                  </w:r>
                </w:p>
              </w:tc>
              <w:tc>
                <w:tcPr>
                  <w:tcW w:w="1329" w:type="dxa"/>
                  <w:shd w:val="clear" w:color="auto" w:fill="auto"/>
                  <w:vAlign w:val="center"/>
                </w:tcPr>
                <w:p>
                  <w:pPr>
                    <w:pStyle w:val="33"/>
                    <w:spacing w:line="360" w:lineRule="exact"/>
                    <w:jc w:val="center"/>
                    <w:rPr>
                      <w:szCs w:val="21"/>
                    </w:rPr>
                  </w:pPr>
                  <w:r>
                    <w:rPr>
                      <w:rFonts w:hint="eastAsia"/>
                      <w:szCs w:val="21"/>
                    </w:rPr>
                    <w:t>旱地</w:t>
                  </w:r>
                </w:p>
              </w:tc>
              <w:tc>
                <w:tcPr>
                  <w:tcW w:w="1572" w:type="dxa"/>
                  <w:shd w:val="clear" w:color="auto" w:fill="auto"/>
                  <w:vAlign w:val="center"/>
                </w:tcPr>
                <w:p>
                  <w:pPr>
                    <w:pStyle w:val="33"/>
                    <w:spacing w:line="360" w:lineRule="exact"/>
                    <w:jc w:val="center"/>
                    <w:rPr>
                      <w:szCs w:val="21"/>
                    </w:rPr>
                  </w:pPr>
                  <w:r>
                    <w:rPr>
                      <w:szCs w:val="21"/>
                    </w:rPr>
                    <w:t>0.61</w:t>
                  </w:r>
                </w:p>
              </w:tc>
              <w:tc>
                <w:tcPr>
                  <w:tcW w:w="835" w:type="dxa"/>
                  <w:vMerge w:val="restart"/>
                  <w:shd w:val="clear" w:color="auto" w:fill="auto"/>
                  <w:vAlign w:val="center"/>
                </w:tcPr>
                <w:p>
                  <w:pPr>
                    <w:pStyle w:val="33"/>
                    <w:spacing w:line="360" w:lineRule="exact"/>
                    <w:jc w:val="center"/>
                    <w:rPr>
                      <w:szCs w:val="21"/>
                    </w:rPr>
                  </w:pPr>
                  <w:r>
                    <w:rPr>
                      <w:szCs w:val="21"/>
                    </w:rPr>
                    <w:t>10.28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jc w:val="center"/>
              </w:trPr>
              <w:tc>
                <w:tcPr>
                  <w:tcW w:w="1717" w:type="dxa"/>
                  <w:vMerge w:val="continue"/>
                  <w:shd w:val="clear" w:color="auto" w:fill="auto"/>
                  <w:vAlign w:val="center"/>
                </w:tcPr>
                <w:p>
                  <w:pPr>
                    <w:spacing w:line="360" w:lineRule="exact"/>
                    <w:jc w:val="center"/>
                    <w:rPr>
                      <w:szCs w:val="2"/>
                    </w:rPr>
                  </w:pPr>
                </w:p>
              </w:tc>
              <w:tc>
                <w:tcPr>
                  <w:tcW w:w="572" w:type="dxa"/>
                  <w:vMerge w:val="restart"/>
                  <w:shd w:val="clear" w:color="auto" w:fill="auto"/>
                  <w:vAlign w:val="center"/>
                </w:tcPr>
                <w:p>
                  <w:pPr>
                    <w:pStyle w:val="33"/>
                    <w:spacing w:line="360" w:lineRule="exact"/>
                    <w:jc w:val="center"/>
                    <w:rPr>
                      <w:szCs w:val="21"/>
                    </w:rPr>
                  </w:pPr>
                  <w:r>
                    <w:rPr>
                      <w:szCs w:val="21"/>
                    </w:rPr>
                    <w:t>04</w:t>
                  </w:r>
                </w:p>
              </w:tc>
              <w:tc>
                <w:tcPr>
                  <w:tcW w:w="1542" w:type="dxa"/>
                  <w:vMerge w:val="restart"/>
                  <w:shd w:val="clear" w:color="auto" w:fill="auto"/>
                  <w:vAlign w:val="center"/>
                </w:tcPr>
                <w:p>
                  <w:pPr>
                    <w:pStyle w:val="33"/>
                    <w:spacing w:line="360" w:lineRule="exact"/>
                    <w:jc w:val="center"/>
                    <w:rPr>
                      <w:szCs w:val="21"/>
                    </w:rPr>
                  </w:pPr>
                  <w:r>
                    <w:rPr>
                      <w:rFonts w:hint="eastAsia"/>
                      <w:szCs w:val="21"/>
                    </w:rPr>
                    <w:t>草地</w:t>
                  </w:r>
                </w:p>
              </w:tc>
              <w:tc>
                <w:tcPr>
                  <w:tcW w:w="716" w:type="dxa"/>
                  <w:shd w:val="clear" w:color="auto" w:fill="auto"/>
                  <w:vAlign w:val="center"/>
                </w:tcPr>
                <w:p>
                  <w:pPr>
                    <w:pStyle w:val="33"/>
                    <w:spacing w:line="360" w:lineRule="exact"/>
                    <w:jc w:val="center"/>
                    <w:rPr>
                      <w:szCs w:val="21"/>
                    </w:rPr>
                  </w:pPr>
                  <w:r>
                    <w:rPr>
                      <w:szCs w:val="21"/>
                    </w:rPr>
                    <w:t>0401</w:t>
                  </w:r>
                </w:p>
              </w:tc>
              <w:tc>
                <w:tcPr>
                  <w:tcW w:w="1329" w:type="dxa"/>
                  <w:shd w:val="clear" w:color="auto" w:fill="auto"/>
                  <w:vAlign w:val="center"/>
                </w:tcPr>
                <w:p>
                  <w:pPr>
                    <w:pStyle w:val="33"/>
                    <w:spacing w:line="360" w:lineRule="exact"/>
                    <w:jc w:val="center"/>
                    <w:rPr>
                      <w:szCs w:val="21"/>
                    </w:rPr>
                  </w:pPr>
                  <w:r>
                    <w:rPr>
                      <w:rFonts w:hint="eastAsia"/>
                      <w:szCs w:val="21"/>
                    </w:rPr>
                    <w:t>天然牧草地</w:t>
                  </w:r>
                </w:p>
              </w:tc>
              <w:tc>
                <w:tcPr>
                  <w:tcW w:w="1572" w:type="dxa"/>
                  <w:shd w:val="clear" w:color="auto" w:fill="auto"/>
                  <w:vAlign w:val="center"/>
                </w:tcPr>
                <w:p>
                  <w:pPr>
                    <w:pStyle w:val="33"/>
                    <w:spacing w:line="360" w:lineRule="exact"/>
                    <w:jc w:val="center"/>
                    <w:rPr>
                      <w:szCs w:val="21"/>
                    </w:rPr>
                  </w:pPr>
                  <w:r>
                    <w:rPr>
                      <w:szCs w:val="21"/>
                    </w:rPr>
                    <w:t>2.18</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continue"/>
                  <w:shd w:val="clear" w:color="auto" w:fill="auto"/>
                  <w:vAlign w:val="center"/>
                </w:tcPr>
                <w:p>
                  <w:pPr>
                    <w:spacing w:line="360" w:lineRule="exact"/>
                    <w:jc w:val="center"/>
                    <w:rPr>
                      <w:szCs w:val="2"/>
                    </w:rPr>
                  </w:pPr>
                </w:p>
              </w:tc>
              <w:tc>
                <w:tcPr>
                  <w:tcW w:w="572" w:type="dxa"/>
                  <w:vMerge w:val="continue"/>
                  <w:shd w:val="clear" w:color="auto" w:fill="auto"/>
                  <w:vAlign w:val="center"/>
                </w:tcPr>
                <w:p>
                  <w:pPr>
                    <w:spacing w:line="360" w:lineRule="exact"/>
                    <w:jc w:val="center"/>
                    <w:rPr>
                      <w:szCs w:val="2"/>
                    </w:rPr>
                  </w:pPr>
                </w:p>
              </w:tc>
              <w:tc>
                <w:tcPr>
                  <w:tcW w:w="1542" w:type="dxa"/>
                  <w:vMerge w:val="continue"/>
                  <w:shd w:val="clear" w:color="auto" w:fill="auto"/>
                  <w:vAlign w:val="center"/>
                </w:tcPr>
                <w:p>
                  <w:pPr>
                    <w:spacing w:line="360" w:lineRule="exact"/>
                    <w:jc w:val="center"/>
                    <w:rPr>
                      <w:szCs w:val="2"/>
                    </w:rPr>
                  </w:pPr>
                </w:p>
              </w:tc>
              <w:tc>
                <w:tcPr>
                  <w:tcW w:w="716" w:type="dxa"/>
                  <w:shd w:val="clear" w:color="auto" w:fill="auto"/>
                  <w:vAlign w:val="center"/>
                </w:tcPr>
                <w:p>
                  <w:pPr>
                    <w:pStyle w:val="33"/>
                    <w:spacing w:line="360" w:lineRule="exact"/>
                    <w:jc w:val="center"/>
                    <w:rPr>
                      <w:szCs w:val="21"/>
                    </w:rPr>
                  </w:pPr>
                  <w:r>
                    <w:rPr>
                      <w:szCs w:val="21"/>
                    </w:rPr>
                    <w:t>0404</w:t>
                  </w:r>
                </w:p>
              </w:tc>
              <w:tc>
                <w:tcPr>
                  <w:tcW w:w="1329" w:type="dxa"/>
                  <w:shd w:val="clear" w:color="auto" w:fill="auto"/>
                  <w:vAlign w:val="center"/>
                </w:tcPr>
                <w:p>
                  <w:pPr>
                    <w:pStyle w:val="33"/>
                    <w:spacing w:line="360" w:lineRule="exact"/>
                    <w:jc w:val="center"/>
                    <w:rPr>
                      <w:szCs w:val="21"/>
                    </w:rPr>
                  </w:pPr>
                  <w:r>
                    <w:rPr>
                      <w:rFonts w:hint="eastAsia"/>
                      <w:szCs w:val="21"/>
                    </w:rPr>
                    <w:t>其他草地</w:t>
                  </w:r>
                </w:p>
              </w:tc>
              <w:tc>
                <w:tcPr>
                  <w:tcW w:w="1572" w:type="dxa"/>
                  <w:shd w:val="clear" w:color="auto" w:fill="auto"/>
                  <w:vAlign w:val="center"/>
                </w:tcPr>
                <w:p>
                  <w:pPr>
                    <w:pStyle w:val="33"/>
                    <w:spacing w:line="360" w:lineRule="exact"/>
                    <w:jc w:val="center"/>
                    <w:rPr>
                      <w:szCs w:val="21"/>
                    </w:rPr>
                  </w:pPr>
                  <w:r>
                    <w:rPr>
                      <w:szCs w:val="21"/>
                    </w:rPr>
                    <w:t>3.50</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continue"/>
                  <w:shd w:val="clear" w:color="auto" w:fill="auto"/>
                  <w:vAlign w:val="center"/>
                </w:tcPr>
                <w:p>
                  <w:pPr>
                    <w:spacing w:line="360" w:lineRule="exact"/>
                    <w:jc w:val="center"/>
                    <w:rPr>
                      <w:szCs w:val="2"/>
                    </w:rPr>
                  </w:pPr>
                </w:p>
              </w:tc>
              <w:tc>
                <w:tcPr>
                  <w:tcW w:w="572" w:type="dxa"/>
                  <w:shd w:val="clear" w:color="auto" w:fill="auto"/>
                  <w:vAlign w:val="center"/>
                </w:tcPr>
                <w:p>
                  <w:pPr>
                    <w:pStyle w:val="33"/>
                    <w:spacing w:line="360" w:lineRule="exact"/>
                    <w:jc w:val="center"/>
                    <w:rPr>
                      <w:szCs w:val="21"/>
                    </w:rPr>
                  </w:pPr>
                  <w:r>
                    <w:rPr>
                      <w:szCs w:val="21"/>
                    </w:rPr>
                    <w:t>06</w:t>
                  </w:r>
                </w:p>
              </w:tc>
              <w:tc>
                <w:tcPr>
                  <w:tcW w:w="1542" w:type="dxa"/>
                  <w:shd w:val="clear" w:color="auto" w:fill="auto"/>
                  <w:vAlign w:val="center"/>
                </w:tcPr>
                <w:p>
                  <w:pPr>
                    <w:pStyle w:val="33"/>
                    <w:spacing w:line="360" w:lineRule="exact"/>
                    <w:jc w:val="center"/>
                    <w:rPr>
                      <w:szCs w:val="21"/>
                    </w:rPr>
                  </w:pPr>
                  <w:r>
                    <w:rPr>
                      <w:rFonts w:hint="eastAsia"/>
                      <w:szCs w:val="21"/>
                    </w:rPr>
                    <w:t>工矿仓储用地</w:t>
                  </w:r>
                </w:p>
              </w:tc>
              <w:tc>
                <w:tcPr>
                  <w:tcW w:w="716" w:type="dxa"/>
                  <w:shd w:val="clear" w:color="auto" w:fill="auto"/>
                  <w:vAlign w:val="center"/>
                </w:tcPr>
                <w:p>
                  <w:pPr>
                    <w:pStyle w:val="33"/>
                    <w:spacing w:line="360" w:lineRule="exact"/>
                    <w:jc w:val="center"/>
                    <w:rPr>
                      <w:szCs w:val="21"/>
                    </w:rPr>
                  </w:pPr>
                  <w:r>
                    <w:rPr>
                      <w:szCs w:val="21"/>
                    </w:rPr>
                    <w:t>0602</w:t>
                  </w:r>
                </w:p>
              </w:tc>
              <w:tc>
                <w:tcPr>
                  <w:tcW w:w="1329" w:type="dxa"/>
                  <w:shd w:val="clear" w:color="auto" w:fill="auto"/>
                  <w:vAlign w:val="center"/>
                </w:tcPr>
                <w:p>
                  <w:pPr>
                    <w:pStyle w:val="33"/>
                    <w:spacing w:line="360" w:lineRule="exact"/>
                    <w:jc w:val="center"/>
                    <w:rPr>
                      <w:szCs w:val="21"/>
                    </w:rPr>
                  </w:pPr>
                  <w:r>
                    <w:rPr>
                      <w:rFonts w:hint="eastAsia"/>
                      <w:szCs w:val="21"/>
                    </w:rPr>
                    <w:t>采矿用地</w:t>
                  </w:r>
                </w:p>
              </w:tc>
              <w:tc>
                <w:tcPr>
                  <w:tcW w:w="1572" w:type="dxa"/>
                  <w:shd w:val="clear" w:color="auto" w:fill="auto"/>
                  <w:vAlign w:val="center"/>
                </w:tcPr>
                <w:p>
                  <w:pPr>
                    <w:pStyle w:val="33"/>
                    <w:spacing w:line="360" w:lineRule="exact"/>
                    <w:jc w:val="center"/>
                    <w:rPr>
                      <w:szCs w:val="21"/>
                    </w:rPr>
                  </w:pPr>
                  <w:r>
                    <w:rPr>
                      <w:szCs w:val="21"/>
                    </w:rPr>
                    <w:t>2.40</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jc w:val="center"/>
              </w:trPr>
              <w:tc>
                <w:tcPr>
                  <w:tcW w:w="1717" w:type="dxa"/>
                  <w:vMerge w:val="continue"/>
                  <w:shd w:val="clear" w:color="auto" w:fill="auto"/>
                  <w:vAlign w:val="center"/>
                </w:tcPr>
                <w:p>
                  <w:pPr>
                    <w:spacing w:line="360" w:lineRule="exact"/>
                    <w:jc w:val="center"/>
                    <w:rPr>
                      <w:szCs w:val="2"/>
                    </w:rPr>
                  </w:pPr>
                </w:p>
              </w:tc>
              <w:tc>
                <w:tcPr>
                  <w:tcW w:w="572" w:type="dxa"/>
                  <w:shd w:val="clear" w:color="auto" w:fill="auto"/>
                  <w:vAlign w:val="center"/>
                </w:tcPr>
                <w:p>
                  <w:pPr>
                    <w:pStyle w:val="33"/>
                    <w:spacing w:line="360" w:lineRule="exact"/>
                    <w:jc w:val="center"/>
                    <w:rPr>
                      <w:szCs w:val="21"/>
                    </w:rPr>
                  </w:pPr>
                  <w:r>
                    <w:rPr>
                      <w:szCs w:val="21"/>
                    </w:rPr>
                    <w:t>10</w:t>
                  </w:r>
                </w:p>
              </w:tc>
              <w:tc>
                <w:tcPr>
                  <w:tcW w:w="1542" w:type="dxa"/>
                  <w:shd w:val="clear" w:color="auto" w:fill="auto"/>
                  <w:vAlign w:val="center"/>
                </w:tcPr>
                <w:p>
                  <w:pPr>
                    <w:pStyle w:val="33"/>
                    <w:spacing w:line="360" w:lineRule="exact"/>
                    <w:jc w:val="center"/>
                    <w:rPr>
                      <w:szCs w:val="21"/>
                    </w:rPr>
                  </w:pPr>
                  <w:r>
                    <w:rPr>
                      <w:rFonts w:hint="eastAsia"/>
                      <w:szCs w:val="21"/>
                    </w:rPr>
                    <w:t>交通运输用地</w:t>
                  </w:r>
                </w:p>
              </w:tc>
              <w:tc>
                <w:tcPr>
                  <w:tcW w:w="716" w:type="dxa"/>
                  <w:shd w:val="clear" w:color="auto" w:fill="auto"/>
                  <w:vAlign w:val="center"/>
                </w:tcPr>
                <w:p>
                  <w:pPr>
                    <w:pStyle w:val="33"/>
                    <w:spacing w:line="360" w:lineRule="exact"/>
                    <w:jc w:val="center"/>
                    <w:rPr>
                      <w:szCs w:val="21"/>
                    </w:rPr>
                  </w:pPr>
                  <w:r>
                    <w:rPr>
                      <w:szCs w:val="21"/>
                    </w:rPr>
                    <w:t>1006</w:t>
                  </w:r>
                </w:p>
              </w:tc>
              <w:tc>
                <w:tcPr>
                  <w:tcW w:w="1329" w:type="dxa"/>
                  <w:shd w:val="clear" w:color="auto" w:fill="auto"/>
                  <w:vAlign w:val="center"/>
                </w:tcPr>
                <w:p>
                  <w:pPr>
                    <w:pStyle w:val="33"/>
                    <w:spacing w:line="360" w:lineRule="exact"/>
                    <w:jc w:val="center"/>
                    <w:rPr>
                      <w:szCs w:val="21"/>
                    </w:rPr>
                  </w:pPr>
                  <w:r>
                    <w:rPr>
                      <w:rFonts w:hint="eastAsia"/>
                      <w:szCs w:val="21"/>
                    </w:rPr>
                    <w:t>农村道路</w:t>
                  </w:r>
                </w:p>
              </w:tc>
              <w:tc>
                <w:tcPr>
                  <w:tcW w:w="1572" w:type="dxa"/>
                  <w:shd w:val="clear" w:color="auto" w:fill="auto"/>
                  <w:vAlign w:val="center"/>
                </w:tcPr>
                <w:p>
                  <w:pPr>
                    <w:pStyle w:val="33"/>
                    <w:spacing w:line="360" w:lineRule="exact"/>
                    <w:jc w:val="center"/>
                    <w:rPr>
                      <w:szCs w:val="21"/>
                    </w:rPr>
                  </w:pPr>
                  <w:r>
                    <w:rPr>
                      <w:szCs w:val="21"/>
                    </w:rPr>
                    <w:t>0.82</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continue"/>
                  <w:shd w:val="clear" w:color="auto" w:fill="auto"/>
                  <w:vAlign w:val="center"/>
                </w:tcPr>
                <w:p>
                  <w:pPr>
                    <w:spacing w:line="360" w:lineRule="exact"/>
                    <w:jc w:val="center"/>
                    <w:rPr>
                      <w:szCs w:val="2"/>
                    </w:rPr>
                  </w:pPr>
                </w:p>
              </w:tc>
              <w:tc>
                <w:tcPr>
                  <w:tcW w:w="572" w:type="dxa"/>
                  <w:shd w:val="clear" w:color="auto" w:fill="auto"/>
                  <w:vAlign w:val="center"/>
                </w:tcPr>
                <w:p>
                  <w:pPr>
                    <w:pStyle w:val="33"/>
                    <w:spacing w:line="360" w:lineRule="exact"/>
                    <w:jc w:val="center"/>
                    <w:rPr>
                      <w:szCs w:val="21"/>
                    </w:rPr>
                  </w:pPr>
                  <w:r>
                    <w:rPr>
                      <w:szCs w:val="21"/>
                    </w:rPr>
                    <w:t>12</w:t>
                  </w:r>
                </w:p>
              </w:tc>
              <w:tc>
                <w:tcPr>
                  <w:tcW w:w="1542" w:type="dxa"/>
                  <w:shd w:val="clear" w:color="auto" w:fill="auto"/>
                  <w:vAlign w:val="center"/>
                </w:tcPr>
                <w:p>
                  <w:pPr>
                    <w:pStyle w:val="33"/>
                    <w:spacing w:line="360" w:lineRule="exact"/>
                    <w:jc w:val="center"/>
                    <w:rPr>
                      <w:szCs w:val="21"/>
                    </w:rPr>
                  </w:pPr>
                  <w:r>
                    <w:rPr>
                      <w:rFonts w:hint="eastAsia"/>
                      <w:szCs w:val="21"/>
                    </w:rPr>
                    <w:t>其他土地</w:t>
                  </w:r>
                </w:p>
              </w:tc>
              <w:tc>
                <w:tcPr>
                  <w:tcW w:w="716" w:type="dxa"/>
                  <w:shd w:val="clear" w:color="auto" w:fill="auto"/>
                  <w:vAlign w:val="center"/>
                </w:tcPr>
                <w:p>
                  <w:pPr>
                    <w:pStyle w:val="33"/>
                    <w:spacing w:line="360" w:lineRule="exact"/>
                    <w:jc w:val="center"/>
                    <w:rPr>
                      <w:szCs w:val="21"/>
                    </w:rPr>
                  </w:pPr>
                  <w:r>
                    <w:rPr>
                      <w:szCs w:val="21"/>
                    </w:rPr>
                    <w:t>1206</w:t>
                  </w:r>
                </w:p>
              </w:tc>
              <w:tc>
                <w:tcPr>
                  <w:tcW w:w="1329" w:type="dxa"/>
                  <w:shd w:val="clear" w:color="auto" w:fill="auto"/>
                  <w:vAlign w:val="center"/>
                </w:tcPr>
                <w:p>
                  <w:pPr>
                    <w:pStyle w:val="33"/>
                    <w:spacing w:line="360" w:lineRule="exact"/>
                    <w:jc w:val="center"/>
                    <w:rPr>
                      <w:szCs w:val="21"/>
                    </w:rPr>
                  </w:pPr>
                  <w:r>
                    <w:rPr>
                      <w:rFonts w:hint="eastAsia"/>
                      <w:szCs w:val="21"/>
                    </w:rPr>
                    <w:t>裸土地</w:t>
                  </w:r>
                </w:p>
              </w:tc>
              <w:tc>
                <w:tcPr>
                  <w:tcW w:w="1572" w:type="dxa"/>
                  <w:shd w:val="clear" w:color="auto" w:fill="auto"/>
                  <w:vAlign w:val="center"/>
                </w:tcPr>
                <w:p>
                  <w:pPr>
                    <w:pStyle w:val="33"/>
                    <w:spacing w:line="360" w:lineRule="exact"/>
                    <w:jc w:val="center"/>
                    <w:rPr>
                      <w:szCs w:val="21"/>
                    </w:rPr>
                  </w:pPr>
                  <w:r>
                    <w:rPr>
                      <w:szCs w:val="21"/>
                    </w:rPr>
                    <w:t>0.78</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restart"/>
                  <w:shd w:val="clear" w:color="auto" w:fill="auto"/>
                  <w:vAlign w:val="center"/>
                </w:tcPr>
                <w:p>
                  <w:pPr>
                    <w:pStyle w:val="33"/>
                    <w:spacing w:line="360" w:lineRule="exact"/>
                    <w:jc w:val="center"/>
                    <w:rPr>
                      <w:szCs w:val="21"/>
                    </w:rPr>
                  </w:pPr>
                  <w:r>
                    <w:rPr>
                      <w:rFonts w:hint="eastAsia"/>
                      <w:szCs w:val="21"/>
                    </w:rPr>
                    <w:t>矿山道路</w:t>
                  </w:r>
                </w:p>
              </w:tc>
              <w:tc>
                <w:tcPr>
                  <w:tcW w:w="572" w:type="dxa"/>
                  <w:vMerge w:val="restart"/>
                  <w:shd w:val="clear" w:color="auto" w:fill="auto"/>
                  <w:vAlign w:val="center"/>
                </w:tcPr>
                <w:p>
                  <w:pPr>
                    <w:pStyle w:val="33"/>
                    <w:spacing w:line="360" w:lineRule="exact"/>
                    <w:jc w:val="center"/>
                    <w:rPr>
                      <w:szCs w:val="21"/>
                    </w:rPr>
                  </w:pPr>
                  <w:r>
                    <w:rPr>
                      <w:szCs w:val="21"/>
                    </w:rPr>
                    <w:t>04</w:t>
                  </w:r>
                </w:p>
              </w:tc>
              <w:tc>
                <w:tcPr>
                  <w:tcW w:w="1542" w:type="dxa"/>
                  <w:vMerge w:val="restart"/>
                  <w:shd w:val="clear" w:color="auto" w:fill="auto"/>
                  <w:vAlign w:val="center"/>
                </w:tcPr>
                <w:p>
                  <w:pPr>
                    <w:pStyle w:val="33"/>
                    <w:spacing w:line="360" w:lineRule="exact"/>
                    <w:jc w:val="center"/>
                    <w:rPr>
                      <w:szCs w:val="21"/>
                    </w:rPr>
                  </w:pPr>
                  <w:r>
                    <w:rPr>
                      <w:rFonts w:hint="eastAsia"/>
                      <w:szCs w:val="21"/>
                    </w:rPr>
                    <w:t>草地</w:t>
                  </w:r>
                </w:p>
              </w:tc>
              <w:tc>
                <w:tcPr>
                  <w:tcW w:w="716" w:type="dxa"/>
                  <w:shd w:val="clear" w:color="auto" w:fill="auto"/>
                  <w:vAlign w:val="center"/>
                </w:tcPr>
                <w:p>
                  <w:pPr>
                    <w:pStyle w:val="33"/>
                    <w:spacing w:line="360" w:lineRule="exact"/>
                    <w:jc w:val="center"/>
                    <w:rPr>
                      <w:szCs w:val="21"/>
                    </w:rPr>
                  </w:pPr>
                  <w:r>
                    <w:rPr>
                      <w:szCs w:val="21"/>
                    </w:rPr>
                    <w:t>0401</w:t>
                  </w:r>
                </w:p>
              </w:tc>
              <w:tc>
                <w:tcPr>
                  <w:tcW w:w="1329" w:type="dxa"/>
                  <w:shd w:val="clear" w:color="auto" w:fill="auto"/>
                  <w:vAlign w:val="center"/>
                </w:tcPr>
                <w:p>
                  <w:pPr>
                    <w:pStyle w:val="33"/>
                    <w:spacing w:line="360" w:lineRule="exact"/>
                    <w:jc w:val="center"/>
                    <w:rPr>
                      <w:szCs w:val="21"/>
                    </w:rPr>
                  </w:pPr>
                  <w:r>
                    <w:rPr>
                      <w:rFonts w:hint="eastAsia"/>
                      <w:szCs w:val="21"/>
                    </w:rPr>
                    <w:t>天然牧草地</w:t>
                  </w:r>
                </w:p>
              </w:tc>
              <w:tc>
                <w:tcPr>
                  <w:tcW w:w="1572" w:type="dxa"/>
                  <w:shd w:val="clear" w:color="auto" w:fill="auto"/>
                  <w:vAlign w:val="center"/>
                </w:tcPr>
                <w:p>
                  <w:pPr>
                    <w:pStyle w:val="33"/>
                    <w:spacing w:line="360" w:lineRule="exact"/>
                    <w:jc w:val="center"/>
                    <w:rPr>
                      <w:szCs w:val="21"/>
                    </w:rPr>
                  </w:pPr>
                  <w:r>
                    <w:rPr>
                      <w:szCs w:val="21"/>
                    </w:rPr>
                    <w:t>0.50</w:t>
                  </w:r>
                </w:p>
              </w:tc>
              <w:tc>
                <w:tcPr>
                  <w:tcW w:w="835" w:type="dxa"/>
                  <w:vMerge w:val="restart"/>
                  <w:shd w:val="clear" w:color="auto" w:fill="auto"/>
                  <w:vAlign w:val="center"/>
                </w:tcPr>
                <w:p>
                  <w:pPr>
                    <w:pStyle w:val="33"/>
                    <w:spacing w:line="360" w:lineRule="exact"/>
                    <w:jc w:val="center"/>
                    <w:rPr>
                      <w:szCs w:val="21"/>
                    </w:rPr>
                  </w:pPr>
                  <w:r>
                    <w:rPr>
                      <w:szCs w:val="21"/>
                    </w:rPr>
                    <w:t>0.93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jc w:val="center"/>
              </w:trPr>
              <w:tc>
                <w:tcPr>
                  <w:tcW w:w="1717" w:type="dxa"/>
                  <w:vMerge w:val="continue"/>
                  <w:shd w:val="clear" w:color="auto" w:fill="auto"/>
                  <w:vAlign w:val="center"/>
                </w:tcPr>
                <w:p>
                  <w:pPr>
                    <w:spacing w:line="360" w:lineRule="exact"/>
                    <w:jc w:val="center"/>
                    <w:rPr>
                      <w:szCs w:val="2"/>
                    </w:rPr>
                  </w:pPr>
                </w:p>
              </w:tc>
              <w:tc>
                <w:tcPr>
                  <w:tcW w:w="572" w:type="dxa"/>
                  <w:vMerge w:val="continue"/>
                  <w:shd w:val="clear" w:color="auto" w:fill="auto"/>
                  <w:vAlign w:val="center"/>
                </w:tcPr>
                <w:p>
                  <w:pPr>
                    <w:spacing w:line="360" w:lineRule="exact"/>
                    <w:jc w:val="center"/>
                    <w:rPr>
                      <w:szCs w:val="2"/>
                    </w:rPr>
                  </w:pPr>
                </w:p>
              </w:tc>
              <w:tc>
                <w:tcPr>
                  <w:tcW w:w="1542" w:type="dxa"/>
                  <w:vMerge w:val="continue"/>
                  <w:shd w:val="clear" w:color="auto" w:fill="auto"/>
                  <w:vAlign w:val="center"/>
                </w:tcPr>
                <w:p>
                  <w:pPr>
                    <w:spacing w:line="360" w:lineRule="exact"/>
                    <w:jc w:val="center"/>
                    <w:rPr>
                      <w:szCs w:val="2"/>
                    </w:rPr>
                  </w:pPr>
                </w:p>
              </w:tc>
              <w:tc>
                <w:tcPr>
                  <w:tcW w:w="716" w:type="dxa"/>
                  <w:shd w:val="clear" w:color="auto" w:fill="auto"/>
                  <w:vAlign w:val="center"/>
                </w:tcPr>
                <w:p>
                  <w:pPr>
                    <w:pStyle w:val="33"/>
                    <w:spacing w:line="360" w:lineRule="exact"/>
                    <w:jc w:val="center"/>
                    <w:rPr>
                      <w:szCs w:val="21"/>
                    </w:rPr>
                  </w:pPr>
                  <w:r>
                    <w:rPr>
                      <w:szCs w:val="21"/>
                    </w:rPr>
                    <w:t>0404</w:t>
                  </w:r>
                </w:p>
              </w:tc>
              <w:tc>
                <w:tcPr>
                  <w:tcW w:w="1329" w:type="dxa"/>
                  <w:shd w:val="clear" w:color="auto" w:fill="auto"/>
                  <w:vAlign w:val="center"/>
                </w:tcPr>
                <w:p>
                  <w:pPr>
                    <w:pStyle w:val="33"/>
                    <w:spacing w:line="360" w:lineRule="exact"/>
                    <w:jc w:val="center"/>
                    <w:rPr>
                      <w:szCs w:val="21"/>
                    </w:rPr>
                  </w:pPr>
                  <w:r>
                    <w:rPr>
                      <w:rFonts w:hint="eastAsia"/>
                      <w:szCs w:val="21"/>
                    </w:rPr>
                    <w:t>其他草地</w:t>
                  </w:r>
                </w:p>
              </w:tc>
              <w:tc>
                <w:tcPr>
                  <w:tcW w:w="1572" w:type="dxa"/>
                  <w:shd w:val="clear" w:color="auto" w:fill="auto"/>
                  <w:vAlign w:val="center"/>
                </w:tcPr>
                <w:p>
                  <w:pPr>
                    <w:pStyle w:val="33"/>
                    <w:spacing w:line="360" w:lineRule="exact"/>
                    <w:jc w:val="center"/>
                    <w:rPr>
                      <w:szCs w:val="21"/>
                    </w:rPr>
                  </w:pPr>
                  <w:r>
                    <w:rPr>
                      <w:szCs w:val="21"/>
                    </w:rPr>
                    <w:t>0.23</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1717" w:type="dxa"/>
                  <w:vMerge w:val="continue"/>
                  <w:shd w:val="clear" w:color="auto" w:fill="auto"/>
                  <w:vAlign w:val="center"/>
                </w:tcPr>
                <w:p>
                  <w:pPr>
                    <w:spacing w:line="360" w:lineRule="exact"/>
                    <w:jc w:val="center"/>
                    <w:rPr>
                      <w:szCs w:val="2"/>
                    </w:rPr>
                  </w:pPr>
                </w:p>
              </w:tc>
              <w:tc>
                <w:tcPr>
                  <w:tcW w:w="572" w:type="dxa"/>
                  <w:shd w:val="clear" w:color="auto" w:fill="auto"/>
                  <w:vAlign w:val="center"/>
                </w:tcPr>
                <w:p>
                  <w:pPr>
                    <w:pStyle w:val="33"/>
                    <w:spacing w:line="360" w:lineRule="exact"/>
                    <w:jc w:val="center"/>
                    <w:rPr>
                      <w:szCs w:val="21"/>
                    </w:rPr>
                  </w:pPr>
                  <w:r>
                    <w:rPr>
                      <w:szCs w:val="21"/>
                    </w:rPr>
                    <w:t>10</w:t>
                  </w:r>
                </w:p>
              </w:tc>
              <w:tc>
                <w:tcPr>
                  <w:tcW w:w="1542" w:type="dxa"/>
                  <w:shd w:val="clear" w:color="auto" w:fill="auto"/>
                  <w:vAlign w:val="center"/>
                </w:tcPr>
                <w:p>
                  <w:pPr>
                    <w:pStyle w:val="33"/>
                    <w:spacing w:line="360" w:lineRule="exact"/>
                    <w:jc w:val="center"/>
                    <w:rPr>
                      <w:szCs w:val="21"/>
                    </w:rPr>
                  </w:pPr>
                  <w:r>
                    <w:rPr>
                      <w:rFonts w:hint="eastAsia"/>
                      <w:szCs w:val="21"/>
                    </w:rPr>
                    <w:t>交通运输用地</w:t>
                  </w:r>
                </w:p>
              </w:tc>
              <w:tc>
                <w:tcPr>
                  <w:tcW w:w="716" w:type="dxa"/>
                  <w:shd w:val="clear" w:color="auto" w:fill="auto"/>
                  <w:vAlign w:val="center"/>
                </w:tcPr>
                <w:p>
                  <w:pPr>
                    <w:pStyle w:val="33"/>
                    <w:spacing w:line="360" w:lineRule="exact"/>
                    <w:jc w:val="center"/>
                    <w:rPr>
                      <w:szCs w:val="21"/>
                    </w:rPr>
                  </w:pPr>
                  <w:r>
                    <w:rPr>
                      <w:szCs w:val="21"/>
                    </w:rPr>
                    <w:t>1006</w:t>
                  </w:r>
                </w:p>
              </w:tc>
              <w:tc>
                <w:tcPr>
                  <w:tcW w:w="1329" w:type="dxa"/>
                  <w:shd w:val="clear" w:color="auto" w:fill="auto"/>
                  <w:vAlign w:val="center"/>
                </w:tcPr>
                <w:p>
                  <w:pPr>
                    <w:pStyle w:val="33"/>
                    <w:spacing w:line="360" w:lineRule="exact"/>
                    <w:jc w:val="center"/>
                    <w:rPr>
                      <w:szCs w:val="21"/>
                    </w:rPr>
                  </w:pPr>
                  <w:r>
                    <w:rPr>
                      <w:rFonts w:hint="eastAsia"/>
                      <w:szCs w:val="21"/>
                    </w:rPr>
                    <w:t>农村道路</w:t>
                  </w:r>
                </w:p>
              </w:tc>
              <w:tc>
                <w:tcPr>
                  <w:tcW w:w="1572" w:type="dxa"/>
                  <w:shd w:val="clear" w:color="auto" w:fill="auto"/>
                  <w:vAlign w:val="center"/>
                </w:tcPr>
                <w:p>
                  <w:pPr>
                    <w:pStyle w:val="33"/>
                    <w:spacing w:line="360" w:lineRule="exact"/>
                    <w:jc w:val="center"/>
                    <w:rPr>
                      <w:szCs w:val="21"/>
                    </w:rPr>
                  </w:pPr>
                  <w:r>
                    <w:rPr>
                      <w:szCs w:val="21"/>
                    </w:rPr>
                    <w:t>0.20</w:t>
                  </w:r>
                </w:p>
              </w:tc>
              <w:tc>
                <w:tcPr>
                  <w:tcW w:w="835" w:type="dxa"/>
                  <w:vMerge w:val="continue"/>
                  <w:shd w:val="clear" w:color="auto" w:fill="auto"/>
                  <w:vAlign w:val="center"/>
                </w:tcPr>
                <w:p>
                  <w:pPr>
                    <w:spacing w:line="360" w:lineRule="exact"/>
                    <w:jc w:val="center"/>
                    <w:rPr>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7448" w:type="dxa"/>
                  <w:gridSpan w:val="6"/>
                  <w:shd w:val="clear" w:color="auto" w:fill="auto"/>
                  <w:vAlign w:val="center"/>
                </w:tcPr>
                <w:p>
                  <w:pPr>
                    <w:pStyle w:val="33"/>
                    <w:spacing w:line="360" w:lineRule="exact"/>
                    <w:jc w:val="center"/>
                    <w:rPr>
                      <w:szCs w:val="21"/>
                    </w:rPr>
                  </w:pPr>
                  <w:r>
                    <w:rPr>
                      <w:rFonts w:hint="eastAsia"/>
                      <w:szCs w:val="21"/>
                    </w:rPr>
                    <w:t>合计</w:t>
                  </w:r>
                </w:p>
              </w:tc>
              <w:tc>
                <w:tcPr>
                  <w:tcW w:w="835" w:type="dxa"/>
                  <w:shd w:val="clear" w:color="auto" w:fill="auto"/>
                  <w:vAlign w:val="center"/>
                </w:tcPr>
                <w:p>
                  <w:pPr>
                    <w:pStyle w:val="33"/>
                    <w:spacing w:line="360" w:lineRule="exact"/>
                    <w:jc w:val="center"/>
                    <w:rPr>
                      <w:szCs w:val="21"/>
                    </w:rPr>
                  </w:pPr>
                  <w:r>
                    <w:rPr>
                      <w:szCs w:val="21"/>
                    </w:rPr>
                    <w:t>42.52</w:t>
                  </w:r>
                </w:p>
              </w:tc>
            </w:tr>
          </w:tbl>
          <w:p>
            <w:pPr>
              <w:pStyle w:val="50"/>
              <w:ind w:firstLine="482"/>
              <w:rPr>
                <w:b/>
                <w:bCs/>
              </w:rPr>
            </w:pPr>
            <w:r>
              <w:rPr>
                <w:rFonts w:hint="eastAsia"/>
                <w:b/>
                <w:bCs/>
              </w:rPr>
              <w:t>1.3.2土壤及土壤侵蚀现状</w:t>
            </w:r>
          </w:p>
          <w:p>
            <w:pPr>
              <w:pStyle w:val="50"/>
              <w:ind w:firstLine="480"/>
            </w:pPr>
            <w:r>
              <w:rPr>
                <w:rFonts w:hint="eastAsia"/>
              </w:rPr>
              <w:t>（1）土壤</w:t>
            </w:r>
          </w:p>
          <w:p>
            <w:pPr>
              <w:pStyle w:val="50"/>
              <w:ind w:firstLine="480"/>
            </w:pPr>
            <w:r>
              <w:rPr>
                <w:rFonts w:hint="eastAsia"/>
              </w:rPr>
              <w:t>根据“土壤信息服务平台”，中国1:400万土壤类型图查看，本项目区域主要为淡棕钙土。棕钙土的形成是以草原土壤腐殖质积累作用和钙积作用为主，并有荒漠成土过程的一些特点。棕钙土发育于温带荒漠草原植被下的土壤。地表多砂砾石，剖面上部呈褐棕色，下部为粉末层状或斑块状灰白色钙积层。棕钙土分布在内蒙古高原中西部、新疆准噶尔盆地北部。棕钙土的植被具有草原向荒漠过度的特征，分为邻近干草原的荒漠草原和向荒漠草原过渡的草原化荒漠两个亚带。</w:t>
            </w:r>
          </w:p>
          <w:p>
            <w:pPr>
              <w:pStyle w:val="50"/>
              <w:ind w:firstLine="480"/>
            </w:pPr>
            <w:r>
              <w:rPr>
                <w:rFonts w:hint="eastAsia"/>
              </w:rPr>
              <w:t>淡棕钙土是向灰漠土过渡地带性亚类。剖面构型为Ahk-Bw-Bk-Cyz。淡棕钙土地区年均温3~8℃，年降水量150~200mm。草原化荒漠植被，旱生禾草明显减少，而超旱生灌木、半灌木增加并呈主导趋势。腐殖质层厚15~25cm，有机质含量5~10g/kg。地面多沙化、砾质化，局部为砾幂覆盖，土质地面有0.3~0.5cm的假结皮，并有微小裂缝。通过现场调查，土壤质地浮沙，结构松散，表土由于气候干旱，植被覆盖率低，表土层相对很薄，不足10cm。植被以旱生植被为主，生态环境一般。</w:t>
            </w:r>
          </w:p>
          <w:p>
            <w:pPr>
              <w:pStyle w:val="50"/>
              <w:ind w:firstLine="480"/>
            </w:pPr>
            <w:r>
              <w:rPr>
                <w:rFonts w:hint="eastAsia"/>
              </w:rPr>
              <w:t>项目在中国1:400万土壤类型图中土壤类型查询见下图。</w:t>
            </w:r>
          </w:p>
          <w:p>
            <w:pPr>
              <w:pStyle w:val="50"/>
              <w:ind w:firstLine="480"/>
            </w:pPr>
            <w:r>
              <w:rPr>
                <w:rFonts w:hint="eastAsia"/>
              </w:rPr>
              <w:drawing>
                <wp:anchor distT="0" distB="0" distL="114300" distR="114300" simplePos="0" relativeHeight="251671552" behindDoc="0" locked="0" layoutInCell="1" allowOverlap="1">
                  <wp:simplePos x="0" y="0"/>
                  <wp:positionH relativeFrom="column">
                    <wp:posOffset>539750</wp:posOffset>
                  </wp:positionH>
                  <wp:positionV relativeFrom="paragraph">
                    <wp:posOffset>6350</wp:posOffset>
                  </wp:positionV>
                  <wp:extent cx="4140200" cy="2805430"/>
                  <wp:effectExtent l="0" t="0" r="0" b="0"/>
                  <wp:wrapNone/>
                  <wp:docPr id="7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40200" cy="2805430"/>
                          </a:xfrm>
                          <a:prstGeom prst="rect">
                            <a:avLst/>
                          </a:prstGeom>
                          <a:noFill/>
                          <a:ln>
                            <a:noFill/>
                          </a:ln>
                        </pic:spPr>
                      </pic:pic>
                    </a:graphicData>
                  </a:graphic>
                </wp:anchor>
              </w:drawing>
            </w:r>
          </w:p>
          <w:p>
            <w:pPr>
              <w:pStyle w:val="50"/>
              <w:ind w:firstLine="480"/>
            </w:pPr>
          </w:p>
          <w:p>
            <w:pPr>
              <w:pStyle w:val="50"/>
              <w:ind w:firstLine="480"/>
            </w:pPr>
          </w:p>
          <w:p>
            <w:pPr>
              <w:pStyle w:val="50"/>
              <w:ind w:firstLine="480"/>
            </w:pPr>
          </w:p>
          <w:p>
            <w:pPr>
              <w:pStyle w:val="50"/>
              <w:ind w:firstLine="480"/>
            </w:pPr>
          </w:p>
          <w:p>
            <w:pPr>
              <w:pStyle w:val="50"/>
              <w:ind w:firstLine="480"/>
            </w:pPr>
          </w:p>
          <w:p>
            <w:pPr>
              <w:pStyle w:val="50"/>
              <w:ind w:firstLine="480"/>
            </w:pPr>
          </w:p>
          <w:p>
            <w:pPr>
              <w:pStyle w:val="50"/>
              <w:ind w:firstLine="480"/>
            </w:pPr>
          </w:p>
          <w:p>
            <w:pPr>
              <w:pStyle w:val="50"/>
              <w:ind w:firstLine="480"/>
            </w:pPr>
          </w:p>
          <w:p>
            <w:pPr>
              <w:pStyle w:val="50"/>
              <w:ind w:firstLine="480"/>
            </w:pPr>
          </w:p>
          <w:p>
            <w:pPr>
              <w:pStyle w:val="50"/>
              <w:ind w:firstLine="480"/>
            </w:pPr>
          </w:p>
          <w:p>
            <w:pPr>
              <w:pStyle w:val="50"/>
              <w:ind w:firstLine="482"/>
              <w:jc w:val="center"/>
              <w:rPr>
                <w:b/>
                <w:bCs/>
              </w:rPr>
            </w:pPr>
            <w:r>
              <w:rPr>
                <w:rFonts w:hint="eastAsia"/>
                <w:b/>
                <w:bCs/>
              </w:rPr>
              <w:t>图2  项目在中国1:400万土壤类型图中土壤类型查询</w:t>
            </w:r>
          </w:p>
          <w:p>
            <w:pPr>
              <w:pStyle w:val="50"/>
              <w:ind w:firstLine="480"/>
            </w:pPr>
            <w:r>
              <w:rPr>
                <w:rFonts w:hint="eastAsia"/>
              </w:rPr>
              <w:t>（2）土壤侵蚀类型</w:t>
            </w:r>
          </w:p>
          <w:p>
            <w:pPr>
              <w:pStyle w:val="50"/>
              <w:ind w:firstLine="480"/>
            </w:pPr>
            <w:r>
              <w:rPr>
                <w:rFonts w:hint="eastAsia"/>
              </w:rPr>
              <w:t>根据与自治区土壤侵蚀图对照，项目区土壤侵蚀类型为风力侵蚀与水力侵蚀并存，以风力侵蚀为主，属中度侵蚀，侵蚀模数为2800t/km</w:t>
            </w:r>
            <w:r>
              <w:rPr>
                <w:rFonts w:hint="eastAsia"/>
                <w:vertAlign w:val="superscript"/>
              </w:rPr>
              <w:t>2</w:t>
            </w:r>
            <w:r>
              <w:rPr>
                <w:rFonts w:hint="eastAsia"/>
              </w:rPr>
              <w:t>·a，容许土壤流失量为1000t/km</w:t>
            </w:r>
            <w:r>
              <w:rPr>
                <w:rFonts w:hint="eastAsia"/>
                <w:vertAlign w:val="superscript"/>
              </w:rPr>
              <w:t>2</w:t>
            </w:r>
            <w:r>
              <w:rPr>
                <w:rFonts w:hint="eastAsia"/>
              </w:rPr>
              <w:t>·a，项目与区域土壤侵蚀强度图详见附图十。</w:t>
            </w:r>
          </w:p>
          <w:p>
            <w:pPr>
              <w:pStyle w:val="50"/>
              <w:ind w:firstLine="482"/>
              <w:rPr>
                <w:b/>
                <w:bCs/>
              </w:rPr>
            </w:pPr>
            <w:r>
              <w:rPr>
                <w:rFonts w:hint="eastAsia"/>
                <w:b/>
                <w:bCs/>
              </w:rPr>
              <w:t>1.3.3植被分布现状</w:t>
            </w:r>
          </w:p>
          <w:p>
            <w:pPr>
              <w:pStyle w:val="50"/>
              <w:ind w:firstLine="480"/>
            </w:pPr>
            <w:r>
              <w:rPr>
                <w:rFonts w:hint="eastAsia"/>
              </w:rPr>
              <w:t>根据宁夏植被区划图以及现场踏勘调查，项目位于宁南黄土高原北部干草原区，植被区域属于</w:t>
            </w: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t>AL2a固北、同南、麻黄山长芒草干草原小区；自然植被属于</w:t>
            </w:r>
            <w:r>
              <w:rPr>
                <w:rFonts w:hint="eastAsia"/>
              </w:rPr>
              <w:fldChar w:fldCharType="begin"/>
            </w:r>
            <w:r>
              <w:rPr>
                <w:rFonts w:hint="eastAsia"/>
              </w:rPr>
              <w:instrText xml:space="preserve"> = 5 \* ROMAN \* MERGEFORMAT </w:instrText>
            </w:r>
            <w:r>
              <w:rPr>
                <w:rFonts w:hint="eastAsia"/>
              </w:rPr>
              <w:fldChar w:fldCharType="separate"/>
            </w:r>
            <w:r>
              <w:rPr>
                <w:rFonts w:hint="eastAsia"/>
              </w:rPr>
              <w:t>V</w:t>
            </w:r>
            <w:r>
              <w:rPr>
                <w:rFonts w:hint="eastAsia"/>
              </w:rPr>
              <w:fldChar w:fldCharType="end"/>
            </w:r>
            <w:r>
              <w:rPr>
                <w:rFonts w:hint="eastAsia"/>
              </w:rPr>
              <w:t>32长茅草草原类型。经现场调查，矿区植被稀少，黄土、碎石基本裸露地表。项目区植被类型为干旱草原植被，项目区植被种类少，而优势种明显，一般以极耐旱的为主，常见的乔木树种主要有：杨、柳、榆、槐、侧柏、云杉等；灌木树种主要有柠条、胡枝子、红砂、白刺、沙冬青、紫穗槐、柽柳等；草种主要有沙蒿、紫花苜蓿、沙打旺、小白蒿、刺旋花、垫状驼绒藜、冰草、芨芨草、短花针茅、长芒草、猫头刺等等耐旱低矮草本植物。项目区植被林草覆盖率达到20%左右。经现场调查，项目区域无国家重点保护野生植物物种。项目与区域植被类型图详见附图九。</w:t>
            </w:r>
          </w:p>
          <w:tbl>
            <w:tblPr>
              <w:tblStyle w:val="23"/>
              <w:tblW w:w="830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7"/>
              <w:gridCol w:w="2768"/>
              <w:gridCol w:w="2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6" w:hRule="atLeast"/>
              </w:trPr>
              <w:tc>
                <w:tcPr>
                  <w:tcW w:w="2767" w:type="dxa"/>
                  <w:vAlign w:val="center"/>
                </w:tcPr>
                <w:p>
                  <w:pPr>
                    <w:pStyle w:val="50"/>
                    <w:snapToGrid w:val="0"/>
                    <w:spacing w:line="240" w:lineRule="auto"/>
                    <w:ind w:firstLine="0" w:firstLineChars="0"/>
                    <w:jc w:val="center"/>
                  </w:pPr>
                  <w:r>
                    <w:rPr>
                      <w:rFonts w:hint="eastAsia"/>
                    </w:rPr>
                    <w:drawing>
                      <wp:anchor distT="0" distB="0" distL="114300" distR="114300" simplePos="0" relativeHeight="251662336" behindDoc="0" locked="0" layoutInCell="1" allowOverlap="1">
                        <wp:simplePos x="0" y="0"/>
                        <wp:positionH relativeFrom="page">
                          <wp:posOffset>119380</wp:posOffset>
                        </wp:positionH>
                        <wp:positionV relativeFrom="page">
                          <wp:posOffset>88265</wp:posOffset>
                        </wp:positionV>
                        <wp:extent cx="1558925" cy="1340485"/>
                        <wp:effectExtent l="19050" t="19050" r="3175" b="0"/>
                        <wp:wrapNone/>
                        <wp:docPr id="77" name="图片 10" descr="53b692d24d51dda80d50d329ae9e0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descr="53b692d24d51dda80d50d329ae9e0dd5"/>
                                <pic:cNvPicPr>
                                  <a:picLocks noChangeAspect="1" noChangeArrowheads="1"/>
                                </pic:cNvPicPr>
                              </pic:nvPicPr>
                              <pic:blipFill>
                                <a:blip r:embed="rId8">
                                  <a:extLst>
                                    <a:ext uri="{28A0092B-C50C-407E-A947-70E740481C1C}">
                                      <a14:useLocalDpi xmlns:a14="http://schemas.microsoft.com/office/drawing/2010/main" val="0"/>
                                    </a:ext>
                                  </a:extLst>
                                </a:blip>
                                <a:srcRect b="9894"/>
                                <a:stretch>
                                  <a:fillRect/>
                                </a:stretch>
                              </pic:blipFill>
                              <pic:spPr>
                                <a:xfrm>
                                  <a:off x="0" y="0"/>
                                  <a:ext cx="1558925" cy="1340485"/>
                                </a:xfrm>
                                <a:prstGeom prst="rect">
                                  <a:avLst/>
                                </a:prstGeom>
                                <a:noFill/>
                                <a:ln w="19050" cap="flat" cmpd="sng">
                                  <a:solidFill>
                                    <a:srgbClr val="000000"/>
                                  </a:solidFill>
                                  <a:prstDash val="solid"/>
                                  <a:miter lim="800000"/>
                                  <a:headEnd type="none" w="med" len="med"/>
                                  <a:tailEnd type="none" w="med" len="med"/>
                                </a:ln>
                              </pic:spPr>
                            </pic:pic>
                          </a:graphicData>
                        </a:graphic>
                      </wp:anchor>
                    </w:drawing>
                  </w:r>
                </w:p>
              </w:tc>
              <w:tc>
                <w:tcPr>
                  <w:tcW w:w="2768" w:type="dxa"/>
                  <w:vAlign w:val="center"/>
                </w:tcPr>
                <w:p>
                  <w:pPr>
                    <w:pStyle w:val="50"/>
                    <w:snapToGrid w:val="0"/>
                    <w:spacing w:line="240" w:lineRule="auto"/>
                    <w:ind w:firstLine="0" w:firstLineChars="0"/>
                    <w:jc w:val="center"/>
                  </w:pPr>
                  <w:r>
                    <w:rPr>
                      <w:rFonts w:hint="eastAsia"/>
                    </w:rPr>
                    <w:drawing>
                      <wp:anchor distT="0" distB="0" distL="114300" distR="114300" simplePos="0" relativeHeight="251660288" behindDoc="0" locked="0" layoutInCell="1" allowOverlap="1">
                        <wp:simplePos x="0" y="0"/>
                        <wp:positionH relativeFrom="page">
                          <wp:posOffset>96520</wp:posOffset>
                        </wp:positionH>
                        <wp:positionV relativeFrom="page">
                          <wp:posOffset>85090</wp:posOffset>
                        </wp:positionV>
                        <wp:extent cx="1574165" cy="1345565"/>
                        <wp:effectExtent l="19050" t="19050" r="6985" b="6985"/>
                        <wp:wrapNone/>
                        <wp:docPr id="76" name="图片 9" descr="86c7d95d60c6286722bc9211c196c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86c7d95d60c6286722bc9211c196c082"/>
                                <pic:cNvPicPr>
                                  <a:picLocks noChangeAspect="1" noChangeArrowheads="1"/>
                                </pic:cNvPicPr>
                              </pic:nvPicPr>
                              <pic:blipFill>
                                <a:blip r:embed="rId9">
                                  <a:extLst>
                                    <a:ext uri="{28A0092B-C50C-407E-A947-70E740481C1C}">
                                      <a14:useLocalDpi xmlns:a14="http://schemas.microsoft.com/office/drawing/2010/main" val="0"/>
                                    </a:ext>
                                  </a:extLst>
                                </a:blip>
                                <a:srcRect b="9656"/>
                                <a:stretch>
                                  <a:fillRect/>
                                </a:stretch>
                              </pic:blipFill>
                              <pic:spPr>
                                <a:xfrm>
                                  <a:off x="0" y="0"/>
                                  <a:ext cx="1574165" cy="1345565"/>
                                </a:xfrm>
                                <a:prstGeom prst="rect">
                                  <a:avLst/>
                                </a:prstGeom>
                                <a:noFill/>
                                <a:ln w="19050" cap="flat" cmpd="sng">
                                  <a:solidFill>
                                    <a:srgbClr val="000000"/>
                                  </a:solidFill>
                                  <a:prstDash val="solid"/>
                                  <a:miter lim="800000"/>
                                  <a:headEnd type="none" w="med" len="med"/>
                                  <a:tailEnd type="none" w="med" len="med"/>
                                </a:ln>
                              </pic:spPr>
                            </pic:pic>
                          </a:graphicData>
                        </a:graphic>
                      </wp:anchor>
                    </w:drawing>
                  </w:r>
                </w:p>
              </w:tc>
              <w:tc>
                <w:tcPr>
                  <w:tcW w:w="2768" w:type="dxa"/>
                  <w:vAlign w:val="center"/>
                </w:tcPr>
                <w:p>
                  <w:pPr>
                    <w:pStyle w:val="50"/>
                    <w:snapToGrid w:val="0"/>
                    <w:spacing w:line="240" w:lineRule="auto"/>
                    <w:ind w:firstLine="0" w:firstLineChars="0"/>
                    <w:jc w:val="center"/>
                  </w:pPr>
                  <w:r>
                    <w:rPr>
                      <w:rFonts w:hint="eastAsia"/>
                    </w:rPr>
                    <w:drawing>
                      <wp:anchor distT="0" distB="0" distL="114300" distR="114300" simplePos="0" relativeHeight="251661312" behindDoc="0" locked="0" layoutInCell="1" allowOverlap="1">
                        <wp:simplePos x="0" y="0"/>
                        <wp:positionH relativeFrom="page">
                          <wp:posOffset>53975</wp:posOffset>
                        </wp:positionH>
                        <wp:positionV relativeFrom="page">
                          <wp:posOffset>72390</wp:posOffset>
                        </wp:positionV>
                        <wp:extent cx="1612265" cy="1344930"/>
                        <wp:effectExtent l="19050" t="19050" r="6985" b="7620"/>
                        <wp:wrapNone/>
                        <wp:docPr id="75" name="图片 3" descr="01253e3ebe548c41bbf4697bb084d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01253e3ebe548c41bbf4697bb084df25"/>
                                <pic:cNvPicPr>
                                  <a:picLocks noChangeAspect="1" noChangeArrowheads="1"/>
                                </pic:cNvPicPr>
                              </pic:nvPicPr>
                              <pic:blipFill>
                                <a:blip r:embed="rId10">
                                  <a:extLst>
                                    <a:ext uri="{28A0092B-C50C-407E-A947-70E740481C1C}">
                                      <a14:useLocalDpi xmlns:a14="http://schemas.microsoft.com/office/drawing/2010/main" val="0"/>
                                    </a:ext>
                                  </a:extLst>
                                </a:blip>
                                <a:srcRect t="20064" r="1108" b="24258"/>
                                <a:stretch>
                                  <a:fillRect/>
                                </a:stretch>
                              </pic:blipFill>
                              <pic:spPr>
                                <a:xfrm>
                                  <a:off x="0" y="0"/>
                                  <a:ext cx="1612265" cy="1344930"/>
                                </a:xfrm>
                                <a:prstGeom prst="rect">
                                  <a:avLst/>
                                </a:prstGeom>
                                <a:noFill/>
                                <a:ln w="19050" cap="flat" cmpd="sng">
                                  <a:solidFill>
                                    <a:srgbClr val="000000"/>
                                  </a:solidFill>
                                  <a:prstDash val="solid"/>
                                  <a:miter lim="800000"/>
                                  <a:headEnd type="none" w="med" len="med"/>
                                  <a:tailEnd type="none" w="med" len="me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4" w:hRule="atLeast"/>
              </w:trPr>
              <w:tc>
                <w:tcPr>
                  <w:tcW w:w="2767" w:type="dxa"/>
                  <w:vAlign w:val="center"/>
                </w:tcPr>
                <w:p>
                  <w:pPr>
                    <w:pStyle w:val="50"/>
                    <w:snapToGrid w:val="0"/>
                    <w:spacing w:line="240" w:lineRule="auto"/>
                    <w:ind w:firstLine="0" w:firstLineChars="0"/>
                    <w:jc w:val="center"/>
                  </w:pPr>
                  <w:r>
                    <w:rPr>
                      <w:rFonts w:hint="eastAsia"/>
                    </w:rPr>
                    <w:drawing>
                      <wp:anchor distT="0" distB="0" distL="114300" distR="114300" simplePos="0" relativeHeight="251663360" behindDoc="0" locked="0" layoutInCell="1" allowOverlap="1">
                        <wp:simplePos x="0" y="0"/>
                        <wp:positionH relativeFrom="page">
                          <wp:posOffset>114935</wp:posOffset>
                        </wp:positionH>
                        <wp:positionV relativeFrom="page">
                          <wp:posOffset>85725</wp:posOffset>
                        </wp:positionV>
                        <wp:extent cx="1554480" cy="1368425"/>
                        <wp:effectExtent l="19050" t="19050" r="7620" b="3175"/>
                        <wp:wrapNone/>
                        <wp:docPr id="74" name="图片 20" descr="414616246e492e32fe5e6353e4279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414616246e492e32fe5e6353e42797a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54480" cy="1368425"/>
                                </a:xfrm>
                                <a:prstGeom prst="rect">
                                  <a:avLst/>
                                </a:prstGeom>
                                <a:noFill/>
                                <a:ln w="19050" cap="flat" cmpd="sng">
                                  <a:solidFill>
                                    <a:srgbClr val="000000"/>
                                  </a:solidFill>
                                  <a:prstDash val="solid"/>
                                  <a:miter lim="800000"/>
                                  <a:headEnd type="none" w="med" len="med"/>
                                  <a:tailEnd type="none" w="med" len="med"/>
                                </a:ln>
                              </pic:spPr>
                            </pic:pic>
                          </a:graphicData>
                        </a:graphic>
                      </wp:anchor>
                    </w:drawing>
                  </w:r>
                </w:p>
              </w:tc>
              <w:tc>
                <w:tcPr>
                  <w:tcW w:w="2768" w:type="dxa"/>
                  <w:vAlign w:val="center"/>
                </w:tcPr>
                <w:p>
                  <w:pPr>
                    <w:pStyle w:val="50"/>
                    <w:snapToGrid w:val="0"/>
                    <w:spacing w:line="240" w:lineRule="auto"/>
                    <w:ind w:firstLine="0" w:firstLineChars="0"/>
                    <w:jc w:val="center"/>
                  </w:pPr>
                  <w:r>
                    <w:rPr>
                      <w:rFonts w:hint="eastAsia"/>
                    </w:rPr>
                    <w:drawing>
                      <wp:anchor distT="0" distB="0" distL="114300" distR="114300" simplePos="0" relativeHeight="251664384" behindDoc="0" locked="0" layoutInCell="1" allowOverlap="1">
                        <wp:simplePos x="0" y="0"/>
                        <wp:positionH relativeFrom="page">
                          <wp:posOffset>93345</wp:posOffset>
                        </wp:positionH>
                        <wp:positionV relativeFrom="page">
                          <wp:posOffset>62230</wp:posOffset>
                        </wp:positionV>
                        <wp:extent cx="1605280" cy="1391920"/>
                        <wp:effectExtent l="19050" t="19050" r="0" b="0"/>
                        <wp:wrapNone/>
                        <wp:docPr id="73" name="图片 21" descr="微信图片_202104190853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descr="微信图片_2021041908530818"/>
                                <pic:cNvPicPr>
                                  <a:picLocks noChangeAspect="1" noChangeArrowheads="1"/>
                                </pic:cNvPicPr>
                              </pic:nvPicPr>
                              <pic:blipFill>
                                <a:blip r:embed="rId12">
                                  <a:extLst>
                                    <a:ext uri="{28A0092B-C50C-407E-A947-70E740481C1C}">
                                      <a14:useLocalDpi xmlns:a14="http://schemas.microsoft.com/office/drawing/2010/main" val="0"/>
                                    </a:ext>
                                  </a:extLst>
                                </a:blip>
                                <a:srcRect t="5699" b="8409"/>
                                <a:stretch>
                                  <a:fillRect/>
                                </a:stretch>
                              </pic:blipFill>
                              <pic:spPr>
                                <a:xfrm>
                                  <a:off x="0" y="0"/>
                                  <a:ext cx="1605280" cy="1391920"/>
                                </a:xfrm>
                                <a:prstGeom prst="rect">
                                  <a:avLst/>
                                </a:prstGeom>
                                <a:noFill/>
                                <a:ln w="19050" cap="flat" cmpd="sng">
                                  <a:solidFill>
                                    <a:srgbClr val="000000"/>
                                  </a:solidFill>
                                  <a:prstDash val="solid"/>
                                  <a:miter lim="800000"/>
                                  <a:headEnd type="none" w="med" len="med"/>
                                  <a:tailEnd type="none" w="med" len="med"/>
                                </a:ln>
                              </pic:spPr>
                            </pic:pic>
                          </a:graphicData>
                        </a:graphic>
                      </wp:anchor>
                    </w:drawing>
                  </w:r>
                </w:p>
              </w:tc>
              <w:tc>
                <w:tcPr>
                  <w:tcW w:w="2768" w:type="dxa"/>
                  <w:vAlign w:val="center"/>
                </w:tcPr>
                <w:p>
                  <w:pPr>
                    <w:pStyle w:val="50"/>
                    <w:snapToGrid w:val="0"/>
                    <w:spacing w:line="240" w:lineRule="auto"/>
                    <w:ind w:firstLine="0" w:firstLineChars="0"/>
                    <w:jc w:val="center"/>
                  </w:pPr>
                  <w:r>
                    <w:rPr>
                      <w:rFonts w:hint="eastAsia"/>
                    </w:rPr>
                    <w:drawing>
                      <wp:anchor distT="0" distB="0" distL="114300" distR="114300" simplePos="0" relativeHeight="251665408" behindDoc="0" locked="0" layoutInCell="1" allowOverlap="1">
                        <wp:simplePos x="0" y="0"/>
                        <wp:positionH relativeFrom="page">
                          <wp:posOffset>55880</wp:posOffset>
                        </wp:positionH>
                        <wp:positionV relativeFrom="page">
                          <wp:posOffset>84455</wp:posOffset>
                        </wp:positionV>
                        <wp:extent cx="1597025" cy="1378585"/>
                        <wp:effectExtent l="19050" t="19050" r="3175" b="0"/>
                        <wp:wrapNone/>
                        <wp:docPr id="72" name="图片 22" descr="df5e649d26e1ac56455a23b0b86df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descr="df5e649d26e1ac56455a23b0b86df554"/>
                                <pic:cNvPicPr>
                                  <a:picLocks noChangeAspect="1" noChangeArrowheads="1"/>
                                </pic:cNvPicPr>
                              </pic:nvPicPr>
                              <pic:blipFill>
                                <a:blip r:embed="rId13">
                                  <a:extLst>
                                    <a:ext uri="{28A0092B-C50C-407E-A947-70E740481C1C}">
                                      <a14:useLocalDpi xmlns:a14="http://schemas.microsoft.com/office/drawing/2010/main" val="0"/>
                                    </a:ext>
                                  </a:extLst>
                                </a:blip>
                                <a:srcRect b="14108"/>
                                <a:stretch>
                                  <a:fillRect/>
                                </a:stretch>
                              </pic:blipFill>
                              <pic:spPr>
                                <a:xfrm>
                                  <a:off x="0" y="0"/>
                                  <a:ext cx="1597025" cy="1378585"/>
                                </a:xfrm>
                                <a:prstGeom prst="rect">
                                  <a:avLst/>
                                </a:prstGeom>
                                <a:noFill/>
                                <a:ln w="19050" cap="flat" cmpd="sng">
                                  <a:solidFill>
                                    <a:srgbClr val="000000"/>
                                  </a:solidFill>
                                  <a:prstDash val="solid"/>
                                  <a:miter lim="800000"/>
                                  <a:headEnd type="none" w="med" len="med"/>
                                  <a:tailEnd type="none" w="med" len="me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3" w:type="dxa"/>
                  <w:gridSpan w:val="3"/>
                  <w:vAlign w:val="center"/>
                </w:tcPr>
                <w:p>
                  <w:pPr>
                    <w:pStyle w:val="50"/>
                    <w:snapToGrid w:val="0"/>
                    <w:spacing w:line="240" w:lineRule="auto"/>
                    <w:ind w:firstLine="0" w:firstLineChars="0"/>
                    <w:jc w:val="center"/>
                  </w:pPr>
                  <w:r>
                    <w:rPr>
                      <w:rFonts w:hint="eastAsia"/>
                    </w:rPr>
                    <w:drawing>
                      <wp:inline distT="0" distB="0" distL="0" distR="0">
                        <wp:extent cx="1614805" cy="1363345"/>
                        <wp:effectExtent l="19050" t="19050" r="4445" b="825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14805" cy="1363345"/>
                                </a:xfrm>
                                <a:prstGeom prst="rect">
                                  <a:avLst/>
                                </a:prstGeom>
                                <a:noFill/>
                                <a:ln w="9525" cmpd="sng">
                                  <a:solidFill>
                                    <a:srgbClr val="000000"/>
                                  </a:solidFill>
                                  <a:miter lim="800000"/>
                                  <a:headEnd/>
                                  <a:tailEnd/>
                                </a:ln>
                                <a:effectLst/>
                              </pic:spPr>
                            </pic:pic>
                          </a:graphicData>
                        </a:graphic>
                      </wp:inline>
                    </w:drawing>
                  </w:r>
                  <w:r>
                    <w:rPr>
                      <w:rFonts w:hint="eastAsia"/>
                    </w:rPr>
                    <w:t xml:space="preserve"> </w:t>
                  </w:r>
                  <w:r>
                    <w:rPr>
                      <w:rFonts w:hint="eastAsia"/>
                    </w:rPr>
                    <w:drawing>
                      <wp:inline distT="0" distB="0" distL="0" distR="0">
                        <wp:extent cx="1662430" cy="1350645"/>
                        <wp:effectExtent l="19050" t="19050" r="0" b="190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62430" cy="1350645"/>
                                </a:xfrm>
                                <a:prstGeom prst="rect">
                                  <a:avLst/>
                                </a:prstGeom>
                                <a:noFill/>
                                <a:ln w="9525" cmpd="sng">
                                  <a:solidFill>
                                    <a:srgbClr val="000000"/>
                                  </a:solidFill>
                                  <a:miter lim="800000"/>
                                  <a:headEnd/>
                                  <a:tailEnd/>
                                </a:ln>
                                <a:effectLst/>
                              </pic:spPr>
                            </pic:pic>
                          </a:graphicData>
                        </a:graphic>
                      </wp:inline>
                    </w:drawing>
                  </w:r>
                  <w:r>
                    <w:rPr>
                      <w:rFonts w:hint="eastAsia"/>
                    </w:rPr>
                    <w:t xml:space="preserve"> </w:t>
                  </w:r>
                  <w:r>
                    <w:rPr>
                      <w:rFonts w:hint="eastAsia"/>
                    </w:rPr>
                    <w:drawing>
                      <wp:inline distT="0" distB="0" distL="0" distR="0">
                        <wp:extent cx="1612900" cy="1297940"/>
                        <wp:effectExtent l="19050" t="19050" r="6350" b="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12900" cy="1297940"/>
                                </a:xfrm>
                                <a:prstGeom prst="rect">
                                  <a:avLst/>
                                </a:prstGeom>
                                <a:noFill/>
                                <a:ln w="9525" cmpd="sng">
                                  <a:solidFill>
                                    <a:srgbClr val="000000"/>
                                  </a:solidFill>
                                  <a:miter lim="800000"/>
                                  <a:headEnd/>
                                  <a:tailEnd/>
                                </a:ln>
                                <a:effectLst/>
                              </pic:spPr>
                            </pic:pic>
                          </a:graphicData>
                        </a:graphic>
                      </wp:inline>
                    </w:drawing>
                  </w:r>
                </w:p>
                <w:p>
                  <w:pPr>
                    <w:pStyle w:val="50"/>
                    <w:snapToGrid w:val="0"/>
                    <w:spacing w:line="240" w:lineRule="auto"/>
                    <w:ind w:firstLine="0" w:firstLineChars="0"/>
                    <w:jc w:val="center"/>
                  </w:pPr>
                  <w:r>
                    <w:rPr>
                      <w:rFonts w:hint="eastAsia"/>
                      <w:b/>
                      <w:bCs/>
                      <w:szCs w:val="24"/>
                    </w:rPr>
                    <w:t xml:space="preserve">图3   </w:t>
                  </w:r>
                  <w:r>
                    <w:rPr>
                      <w:rFonts w:hint="eastAsia"/>
                      <w:b/>
                      <w:bCs/>
                    </w:rPr>
                    <w:t>项目踏勘过程中植物</w:t>
                  </w:r>
                </w:p>
              </w:tc>
            </w:tr>
          </w:tbl>
          <w:p>
            <w:pPr>
              <w:pStyle w:val="50"/>
              <w:ind w:firstLine="482"/>
              <w:rPr>
                <w:b/>
                <w:bCs/>
              </w:rPr>
            </w:pPr>
            <w:r>
              <w:rPr>
                <w:rFonts w:hint="eastAsia"/>
                <w:b/>
                <w:bCs/>
              </w:rPr>
              <w:t>1.3. 4动物分布情况</w:t>
            </w:r>
          </w:p>
          <w:p>
            <w:pPr>
              <w:pStyle w:val="50"/>
              <w:ind w:firstLine="480"/>
            </w:pPr>
            <w:r>
              <w:rPr>
                <w:rFonts w:hint="eastAsia"/>
              </w:rPr>
              <w:t>本项目区域均为当地常见种，主要为兽类、爬行类和鸟类，兽类主要有啮齿类中的野兔，黑线仓鼠、小毛足鼠等，爬行类动物主要有壁虎、蛇类等；鸟类主要有麻雀、喜鹊等；此外还有种类和数量众多的昆虫。在现场踏勘及走访过程中，未见保护动物，无珍惜、频危及国家级和自治区及野生动物栖息地和繁殖地。</w:t>
            </w:r>
          </w:p>
          <w:p>
            <w:pPr>
              <w:pStyle w:val="50"/>
              <w:ind w:firstLine="482"/>
              <w:rPr>
                <w:b/>
                <w:bCs/>
              </w:rPr>
            </w:pPr>
            <w:r>
              <w:rPr>
                <w:rFonts w:hint="eastAsia"/>
                <w:b/>
                <w:bCs/>
              </w:rPr>
              <w:t>2、环境空气质量现状</w:t>
            </w:r>
          </w:p>
          <w:p>
            <w:pPr>
              <w:pStyle w:val="50"/>
              <w:ind w:firstLine="480"/>
              <w:rPr>
                <w:lang w:val="sq-AL"/>
              </w:rPr>
            </w:pPr>
            <w:r>
              <w:rPr>
                <w:rFonts w:hint="eastAsia"/>
              </w:rPr>
              <w:t>本项目位于吴忠市同心县韦州镇，本次评价采用宁夏回族自治区生态环境厅发布的《2021年宁夏生态环境质量状况》中吴忠市同心县</w:t>
            </w:r>
            <w:r>
              <w:rPr>
                <w:rFonts w:hint="eastAsia"/>
                <w:lang w:val="sq-AL"/>
              </w:rPr>
              <w:t>环境空气质量检测数据。</w:t>
            </w:r>
            <w:r>
              <w:rPr>
                <w:rFonts w:hint="eastAsia"/>
              </w:rPr>
              <w:t>吴忠市同心县</w:t>
            </w:r>
            <w:r>
              <w:rPr>
                <w:rFonts w:hint="eastAsia"/>
                <w:lang w:val="sq-AL"/>
              </w:rPr>
              <w:t>20</w:t>
            </w:r>
            <w:r>
              <w:rPr>
                <w:rFonts w:hint="eastAsia"/>
              </w:rPr>
              <w:t>21</w:t>
            </w:r>
            <w:r>
              <w:rPr>
                <w:rFonts w:hint="eastAsia"/>
                <w:lang w:val="sq-AL"/>
              </w:rPr>
              <w:t>年6项基本污染年均值见下表。</w:t>
            </w:r>
          </w:p>
          <w:p>
            <w:pPr>
              <w:pStyle w:val="50"/>
              <w:numPr>
                <w:ilvl w:val="0"/>
                <w:numId w:val="2"/>
              </w:numPr>
              <w:snapToGrid w:val="0"/>
              <w:spacing w:line="240" w:lineRule="auto"/>
              <w:ind w:left="420" w:firstLineChars="0"/>
              <w:jc w:val="center"/>
              <w:rPr>
                <w:b/>
                <w:bCs/>
              </w:rPr>
            </w:pPr>
            <w:r>
              <w:rPr>
                <w:rFonts w:hint="eastAsia"/>
                <w:b/>
                <w:bCs/>
              </w:rPr>
              <w:t>吴忠市同心县2021年基本污染监测结果表    单位：μg/m</w:t>
            </w:r>
            <w:r>
              <w:rPr>
                <w:rFonts w:hint="eastAsia"/>
                <w:b/>
                <w:bCs/>
                <w:vertAlign w:val="superscript"/>
              </w:rPr>
              <w:t>3</w:t>
            </w:r>
          </w:p>
          <w:tbl>
            <w:tblPr>
              <w:tblStyle w:val="22"/>
              <w:tblW w:w="82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4"/>
              <w:gridCol w:w="3037"/>
              <w:gridCol w:w="1326"/>
              <w:gridCol w:w="1187"/>
              <w:gridCol w:w="1050"/>
              <w:gridCol w:w="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Align w:val="center"/>
                </w:tcPr>
                <w:p>
                  <w:pPr>
                    <w:adjustRightInd w:val="0"/>
                    <w:snapToGrid w:val="0"/>
                    <w:jc w:val="center"/>
                    <w:rPr>
                      <w:b/>
                      <w:bCs/>
                      <w:kern w:val="0"/>
                      <w:szCs w:val="21"/>
                    </w:rPr>
                  </w:pPr>
                  <w:r>
                    <w:rPr>
                      <w:rFonts w:hint="eastAsia"/>
                      <w:b/>
                      <w:bCs/>
                      <w:kern w:val="0"/>
                      <w:szCs w:val="21"/>
                    </w:rPr>
                    <w:t>污染物</w:t>
                  </w:r>
                </w:p>
              </w:tc>
              <w:tc>
                <w:tcPr>
                  <w:tcW w:w="3037" w:type="dxa"/>
                  <w:vAlign w:val="center"/>
                </w:tcPr>
                <w:p>
                  <w:pPr>
                    <w:adjustRightInd w:val="0"/>
                    <w:snapToGrid w:val="0"/>
                    <w:jc w:val="center"/>
                    <w:rPr>
                      <w:b/>
                      <w:bCs/>
                      <w:kern w:val="0"/>
                      <w:szCs w:val="21"/>
                    </w:rPr>
                  </w:pPr>
                  <w:r>
                    <w:rPr>
                      <w:rFonts w:hint="eastAsia"/>
                      <w:b/>
                      <w:bCs/>
                      <w:kern w:val="0"/>
                      <w:szCs w:val="21"/>
                    </w:rPr>
                    <w:t>年评价指标</w:t>
                  </w:r>
                </w:p>
              </w:tc>
              <w:tc>
                <w:tcPr>
                  <w:tcW w:w="1326" w:type="dxa"/>
                  <w:vAlign w:val="center"/>
                </w:tcPr>
                <w:p>
                  <w:pPr>
                    <w:adjustRightInd w:val="0"/>
                    <w:snapToGrid w:val="0"/>
                    <w:jc w:val="center"/>
                    <w:rPr>
                      <w:b/>
                      <w:bCs/>
                      <w:kern w:val="0"/>
                      <w:szCs w:val="21"/>
                    </w:rPr>
                  </w:pPr>
                  <w:r>
                    <w:rPr>
                      <w:rFonts w:hint="eastAsia"/>
                      <w:b/>
                      <w:bCs/>
                      <w:kern w:val="0"/>
                      <w:szCs w:val="21"/>
                    </w:rPr>
                    <w:t>现状浓度（ug/m</w:t>
                  </w:r>
                  <w:r>
                    <w:rPr>
                      <w:rFonts w:hint="eastAsia"/>
                      <w:b/>
                      <w:bCs/>
                      <w:kern w:val="0"/>
                      <w:szCs w:val="21"/>
                      <w:vertAlign w:val="superscript"/>
                    </w:rPr>
                    <w:t>3</w:t>
                  </w:r>
                  <w:r>
                    <w:rPr>
                      <w:rFonts w:hint="eastAsia"/>
                      <w:b/>
                      <w:bCs/>
                      <w:kern w:val="0"/>
                      <w:szCs w:val="21"/>
                    </w:rPr>
                    <w:t>）</w:t>
                  </w:r>
                </w:p>
              </w:tc>
              <w:tc>
                <w:tcPr>
                  <w:tcW w:w="1187" w:type="dxa"/>
                  <w:vAlign w:val="center"/>
                </w:tcPr>
                <w:p>
                  <w:pPr>
                    <w:adjustRightInd w:val="0"/>
                    <w:snapToGrid w:val="0"/>
                    <w:jc w:val="center"/>
                    <w:rPr>
                      <w:b/>
                      <w:bCs/>
                      <w:kern w:val="0"/>
                      <w:szCs w:val="21"/>
                    </w:rPr>
                  </w:pPr>
                  <w:r>
                    <w:rPr>
                      <w:rFonts w:hint="eastAsia"/>
                      <w:b/>
                      <w:bCs/>
                      <w:kern w:val="0"/>
                      <w:szCs w:val="21"/>
                    </w:rPr>
                    <w:t>标准（ug/m</w:t>
                  </w:r>
                  <w:r>
                    <w:rPr>
                      <w:rFonts w:hint="eastAsia"/>
                      <w:b/>
                      <w:bCs/>
                      <w:kern w:val="0"/>
                      <w:szCs w:val="21"/>
                      <w:vertAlign w:val="superscript"/>
                    </w:rPr>
                    <w:t>3</w:t>
                  </w:r>
                  <w:r>
                    <w:rPr>
                      <w:rFonts w:hint="eastAsia"/>
                      <w:b/>
                      <w:bCs/>
                      <w:kern w:val="0"/>
                      <w:szCs w:val="21"/>
                    </w:rPr>
                    <w:t>）</w:t>
                  </w:r>
                </w:p>
              </w:tc>
              <w:tc>
                <w:tcPr>
                  <w:tcW w:w="1050" w:type="dxa"/>
                  <w:vAlign w:val="center"/>
                </w:tcPr>
                <w:p>
                  <w:pPr>
                    <w:adjustRightInd w:val="0"/>
                    <w:snapToGrid w:val="0"/>
                    <w:jc w:val="center"/>
                    <w:rPr>
                      <w:b/>
                      <w:bCs/>
                      <w:kern w:val="0"/>
                      <w:szCs w:val="21"/>
                    </w:rPr>
                  </w:pPr>
                  <w:r>
                    <w:rPr>
                      <w:rFonts w:hint="eastAsia"/>
                      <w:b/>
                      <w:bCs/>
                      <w:kern w:val="0"/>
                      <w:szCs w:val="21"/>
                    </w:rPr>
                    <w:t>占标率（%）</w:t>
                  </w:r>
                </w:p>
              </w:tc>
              <w:tc>
                <w:tcPr>
                  <w:tcW w:w="906" w:type="dxa"/>
                  <w:vAlign w:val="center"/>
                </w:tcPr>
                <w:p>
                  <w:pPr>
                    <w:adjustRightInd w:val="0"/>
                    <w:snapToGrid w:val="0"/>
                    <w:jc w:val="center"/>
                    <w:rPr>
                      <w:b/>
                      <w:bCs/>
                      <w:kern w:val="0"/>
                      <w:szCs w:val="21"/>
                    </w:rPr>
                  </w:pPr>
                  <w:r>
                    <w:rPr>
                      <w:rFonts w:hint="eastAsia"/>
                      <w:b/>
                      <w:bCs/>
                      <w:kern w:val="0"/>
                      <w:szCs w:val="21"/>
                    </w:rPr>
                    <w:t>达标</w:t>
                  </w:r>
                </w:p>
                <w:p>
                  <w:pPr>
                    <w:adjustRightInd w:val="0"/>
                    <w:snapToGrid w:val="0"/>
                    <w:jc w:val="center"/>
                    <w:rPr>
                      <w:b/>
                      <w:bCs/>
                      <w:kern w:val="0"/>
                      <w:szCs w:val="21"/>
                    </w:rPr>
                  </w:pPr>
                  <w:r>
                    <w:rPr>
                      <w:rFonts w:hint="eastAsia"/>
                      <w:b/>
                      <w:bCs/>
                      <w:kern w:val="0"/>
                      <w:szCs w:val="21"/>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Align w:val="center"/>
                </w:tcPr>
                <w:p>
                  <w:pPr>
                    <w:adjustRightInd w:val="0"/>
                    <w:snapToGrid w:val="0"/>
                    <w:jc w:val="center"/>
                    <w:rPr>
                      <w:kern w:val="0"/>
                      <w:szCs w:val="21"/>
                    </w:rPr>
                  </w:pPr>
                  <w:r>
                    <w:rPr>
                      <w:rFonts w:hint="eastAsia"/>
                      <w:kern w:val="0"/>
                      <w:szCs w:val="21"/>
                    </w:rPr>
                    <w:t>PM</w:t>
                  </w:r>
                  <w:r>
                    <w:rPr>
                      <w:rFonts w:hint="eastAsia"/>
                      <w:kern w:val="0"/>
                      <w:szCs w:val="21"/>
                      <w:vertAlign w:val="subscript"/>
                    </w:rPr>
                    <w:t>10</w:t>
                  </w:r>
                </w:p>
              </w:tc>
              <w:tc>
                <w:tcPr>
                  <w:tcW w:w="3037" w:type="dxa"/>
                  <w:vAlign w:val="center"/>
                </w:tcPr>
                <w:p>
                  <w:pPr>
                    <w:adjustRightInd w:val="0"/>
                    <w:snapToGrid w:val="0"/>
                    <w:jc w:val="center"/>
                    <w:rPr>
                      <w:kern w:val="0"/>
                      <w:szCs w:val="21"/>
                    </w:rPr>
                  </w:pPr>
                  <w:r>
                    <w:rPr>
                      <w:rFonts w:hint="eastAsia"/>
                      <w:kern w:val="0"/>
                      <w:szCs w:val="21"/>
                    </w:rPr>
                    <w:t>年平均浓度</w:t>
                  </w:r>
                </w:p>
              </w:tc>
              <w:tc>
                <w:tcPr>
                  <w:tcW w:w="1326" w:type="dxa"/>
                  <w:vAlign w:val="center"/>
                </w:tcPr>
                <w:p>
                  <w:pPr>
                    <w:adjustRightInd w:val="0"/>
                    <w:snapToGrid w:val="0"/>
                    <w:jc w:val="center"/>
                    <w:rPr>
                      <w:kern w:val="0"/>
                      <w:szCs w:val="21"/>
                    </w:rPr>
                  </w:pPr>
                  <w:r>
                    <w:rPr>
                      <w:rFonts w:hint="eastAsia"/>
                      <w:kern w:val="0"/>
                      <w:szCs w:val="21"/>
                    </w:rPr>
                    <w:t>65</w:t>
                  </w:r>
                </w:p>
              </w:tc>
              <w:tc>
                <w:tcPr>
                  <w:tcW w:w="1187" w:type="dxa"/>
                  <w:vAlign w:val="center"/>
                </w:tcPr>
                <w:p>
                  <w:pPr>
                    <w:adjustRightInd w:val="0"/>
                    <w:snapToGrid w:val="0"/>
                    <w:jc w:val="center"/>
                    <w:rPr>
                      <w:kern w:val="0"/>
                      <w:szCs w:val="21"/>
                    </w:rPr>
                  </w:pPr>
                  <w:r>
                    <w:rPr>
                      <w:rFonts w:hint="eastAsia"/>
                      <w:kern w:val="0"/>
                      <w:szCs w:val="21"/>
                    </w:rPr>
                    <w:t>70</w:t>
                  </w:r>
                </w:p>
              </w:tc>
              <w:tc>
                <w:tcPr>
                  <w:tcW w:w="1050" w:type="dxa"/>
                  <w:vAlign w:val="center"/>
                </w:tcPr>
                <w:p>
                  <w:pPr>
                    <w:adjustRightInd w:val="0"/>
                    <w:snapToGrid w:val="0"/>
                    <w:jc w:val="center"/>
                    <w:rPr>
                      <w:kern w:val="0"/>
                      <w:szCs w:val="21"/>
                    </w:rPr>
                  </w:pPr>
                  <w:r>
                    <w:rPr>
                      <w:rFonts w:hint="eastAsia"/>
                      <w:kern w:val="0"/>
                      <w:szCs w:val="21"/>
                    </w:rPr>
                    <w:t>92.86</w:t>
                  </w:r>
                </w:p>
              </w:tc>
              <w:tc>
                <w:tcPr>
                  <w:tcW w:w="906" w:type="dxa"/>
                  <w:vAlign w:val="center"/>
                </w:tcPr>
                <w:p>
                  <w:pPr>
                    <w:adjustRightInd w:val="0"/>
                    <w:snapToGrid w:val="0"/>
                    <w:jc w:val="center"/>
                    <w:rPr>
                      <w:kern w:val="0"/>
                      <w:szCs w:val="21"/>
                    </w:rPr>
                  </w:pPr>
                  <w:r>
                    <w:rPr>
                      <w:rFonts w:hint="eastAsia"/>
                      <w:kern w:val="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Align w:val="center"/>
                </w:tcPr>
                <w:p>
                  <w:pPr>
                    <w:adjustRightInd w:val="0"/>
                    <w:snapToGrid w:val="0"/>
                    <w:jc w:val="center"/>
                    <w:rPr>
                      <w:kern w:val="0"/>
                      <w:szCs w:val="21"/>
                    </w:rPr>
                  </w:pPr>
                  <w:r>
                    <w:rPr>
                      <w:rFonts w:hint="eastAsia"/>
                      <w:kern w:val="0"/>
                      <w:szCs w:val="21"/>
                    </w:rPr>
                    <w:t>PM</w:t>
                  </w:r>
                  <w:r>
                    <w:rPr>
                      <w:rFonts w:hint="eastAsia"/>
                      <w:kern w:val="0"/>
                      <w:szCs w:val="21"/>
                      <w:vertAlign w:val="subscript"/>
                    </w:rPr>
                    <w:t>2.5</w:t>
                  </w:r>
                </w:p>
              </w:tc>
              <w:tc>
                <w:tcPr>
                  <w:tcW w:w="3037" w:type="dxa"/>
                  <w:vAlign w:val="center"/>
                </w:tcPr>
                <w:p>
                  <w:pPr>
                    <w:adjustRightInd w:val="0"/>
                    <w:snapToGrid w:val="0"/>
                    <w:jc w:val="center"/>
                    <w:rPr>
                      <w:kern w:val="0"/>
                      <w:szCs w:val="21"/>
                    </w:rPr>
                  </w:pPr>
                  <w:r>
                    <w:rPr>
                      <w:rFonts w:hint="eastAsia"/>
                      <w:kern w:val="0"/>
                      <w:szCs w:val="21"/>
                    </w:rPr>
                    <w:t>年平均浓度</w:t>
                  </w:r>
                </w:p>
              </w:tc>
              <w:tc>
                <w:tcPr>
                  <w:tcW w:w="1326" w:type="dxa"/>
                  <w:vAlign w:val="center"/>
                </w:tcPr>
                <w:p>
                  <w:pPr>
                    <w:adjustRightInd w:val="0"/>
                    <w:snapToGrid w:val="0"/>
                    <w:jc w:val="center"/>
                    <w:rPr>
                      <w:kern w:val="0"/>
                      <w:szCs w:val="21"/>
                    </w:rPr>
                  </w:pPr>
                  <w:r>
                    <w:rPr>
                      <w:rFonts w:hint="eastAsia"/>
                      <w:kern w:val="0"/>
                      <w:szCs w:val="21"/>
                    </w:rPr>
                    <w:t>31</w:t>
                  </w:r>
                </w:p>
              </w:tc>
              <w:tc>
                <w:tcPr>
                  <w:tcW w:w="1187" w:type="dxa"/>
                  <w:vAlign w:val="center"/>
                </w:tcPr>
                <w:p>
                  <w:pPr>
                    <w:adjustRightInd w:val="0"/>
                    <w:snapToGrid w:val="0"/>
                    <w:jc w:val="center"/>
                    <w:rPr>
                      <w:kern w:val="0"/>
                      <w:szCs w:val="21"/>
                    </w:rPr>
                  </w:pPr>
                  <w:r>
                    <w:rPr>
                      <w:rFonts w:hint="eastAsia"/>
                      <w:kern w:val="0"/>
                      <w:szCs w:val="21"/>
                    </w:rPr>
                    <w:t>35</w:t>
                  </w:r>
                </w:p>
              </w:tc>
              <w:tc>
                <w:tcPr>
                  <w:tcW w:w="1050" w:type="dxa"/>
                  <w:vAlign w:val="center"/>
                </w:tcPr>
                <w:p>
                  <w:pPr>
                    <w:adjustRightInd w:val="0"/>
                    <w:snapToGrid w:val="0"/>
                    <w:jc w:val="center"/>
                    <w:rPr>
                      <w:kern w:val="0"/>
                      <w:szCs w:val="21"/>
                    </w:rPr>
                  </w:pPr>
                  <w:r>
                    <w:rPr>
                      <w:rFonts w:hint="eastAsia"/>
                      <w:kern w:val="0"/>
                      <w:szCs w:val="21"/>
                    </w:rPr>
                    <w:t>88.57</w:t>
                  </w:r>
                </w:p>
              </w:tc>
              <w:tc>
                <w:tcPr>
                  <w:tcW w:w="906" w:type="dxa"/>
                  <w:vAlign w:val="center"/>
                </w:tcPr>
                <w:p>
                  <w:pPr>
                    <w:adjustRightInd w:val="0"/>
                    <w:snapToGrid w:val="0"/>
                    <w:jc w:val="center"/>
                    <w:rPr>
                      <w:kern w:val="0"/>
                      <w:szCs w:val="21"/>
                    </w:rPr>
                  </w:pPr>
                  <w:r>
                    <w:rPr>
                      <w:rFonts w:hint="eastAsia"/>
                      <w:kern w:val="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Align w:val="center"/>
                </w:tcPr>
                <w:p>
                  <w:pPr>
                    <w:adjustRightInd w:val="0"/>
                    <w:snapToGrid w:val="0"/>
                    <w:jc w:val="center"/>
                    <w:rPr>
                      <w:kern w:val="0"/>
                      <w:szCs w:val="21"/>
                    </w:rPr>
                  </w:pPr>
                  <w:r>
                    <w:rPr>
                      <w:rFonts w:hint="eastAsia"/>
                      <w:kern w:val="0"/>
                      <w:szCs w:val="21"/>
                    </w:rPr>
                    <w:t>SO</w:t>
                  </w:r>
                  <w:r>
                    <w:rPr>
                      <w:rFonts w:hint="eastAsia"/>
                      <w:kern w:val="0"/>
                      <w:szCs w:val="21"/>
                      <w:vertAlign w:val="subscript"/>
                    </w:rPr>
                    <w:t>2</w:t>
                  </w:r>
                </w:p>
              </w:tc>
              <w:tc>
                <w:tcPr>
                  <w:tcW w:w="3037" w:type="dxa"/>
                  <w:vAlign w:val="center"/>
                </w:tcPr>
                <w:p>
                  <w:pPr>
                    <w:adjustRightInd w:val="0"/>
                    <w:snapToGrid w:val="0"/>
                    <w:jc w:val="center"/>
                    <w:rPr>
                      <w:kern w:val="0"/>
                      <w:szCs w:val="21"/>
                    </w:rPr>
                  </w:pPr>
                  <w:r>
                    <w:rPr>
                      <w:rFonts w:hint="eastAsia"/>
                      <w:kern w:val="0"/>
                      <w:szCs w:val="21"/>
                    </w:rPr>
                    <w:t>年平均浓度</w:t>
                  </w:r>
                </w:p>
              </w:tc>
              <w:tc>
                <w:tcPr>
                  <w:tcW w:w="1326" w:type="dxa"/>
                  <w:vAlign w:val="center"/>
                </w:tcPr>
                <w:p>
                  <w:pPr>
                    <w:adjustRightInd w:val="0"/>
                    <w:snapToGrid w:val="0"/>
                    <w:jc w:val="center"/>
                    <w:rPr>
                      <w:kern w:val="0"/>
                      <w:szCs w:val="21"/>
                    </w:rPr>
                  </w:pPr>
                  <w:r>
                    <w:rPr>
                      <w:rFonts w:hint="eastAsia"/>
                      <w:kern w:val="0"/>
                      <w:szCs w:val="21"/>
                    </w:rPr>
                    <w:t>12</w:t>
                  </w:r>
                </w:p>
              </w:tc>
              <w:tc>
                <w:tcPr>
                  <w:tcW w:w="1187" w:type="dxa"/>
                  <w:vAlign w:val="center"/>
                </w:tcPr>
                <w:p>
                  <w:pPr>
                    <w:adjustRightInd w:val="0"/>
                    <w:snapToGrid w:val="0"/>
                    <w:jc w:val="center"/>
                    <w:rPr>
                      <w:kern w:val="0"/>
                      <w:szCs w:val="21"/>
                    </w:rPr>
                  </w:pPr>
                  <w:r>
                    <w:rPr>
                      <w:rFonts w:hint="eastAsia"/>
                      <w:kern w:val="0"/>
                      <w:szCs w:val="21"/>
                    </w:rPr>
                    <w:t>60</w:t>
                  </w:r>
                </w:p>
              </w:tc>
              <w:tc>
                <w:tcPr>
                  <w:tcW w:w="1050" w:type="dxa"/>
                  <w:vAlign w:val="center"/>
                </w:tcPr>
                <w:p>
                  <w:pPr>
                    <w:adjustRightInd w:val="0"/>
                    <w:snapToGrid w:val="0"/>
                    <w:jc w:val="center"/>
                    <w:rPr>
                      <w:kern w:val="0"/>
                      <w:szCs w:val="21"/>
                    </w:rPr>
                  </w:pPr>
                  <w:r>
                    <w:rPr>
                      <w:rFonts w:hint="eastAsia"/>
                      <w:kern w:val="0"/>
                      <w:szCs w:val="21"/>
                    </w:rPr>
                    <w:t>20</w:t>
                  </w:r>
                </w:p>
              </w:tc>
              <w:tc>
                <w:tcPr>
                  <w:tcW w:w="906" w:type="dxa"/>
                  <w:vAlign w:val="center"/>
                </w:tcPr>
                <w:p>
                  <w:pPr>
                    <w:adjustRightInd w:val="0"/>
                    <w:snapToGrid w:val="0"/>
                    <w:jc w:val="center"/>
                    <w:rPr>
                      <w:kern w:val="0"/>
                      <w:szCs w:val="21"/>
                    </w:rPr>
                  </w:pPr>
                  <w:r>
                    <w:rPr>
                      <w:rFonts w:hint="eastAsia"/>
                      <w:kern w:val="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Align w:val="center"/>
                </w:tcPr>
                <w:p>
                  <w:pPr>
                    <w:adjustRightInd w:val="0"/>
                    <w:snapToGrid w:val="0"/>
                    <w:jc w:val="center"/>
                    <w:rPr>
                      <w:kern w:val="0"/>
                      <w:szCs w:val="21"/>
                    </w:rPr>
                  </w:pPr>
                  <w:r>
                    <w:rPr>
                      <w:rFonts w:hint="eastAsia"/>
                      <w:kern w:val="0"/>
                      <w:szCs w:val="21"/>
                    </w:rPr>
                    <w:t>NO</w:t>
                  </w:r>
                  <w:r>
                    <w:rPr>
                      <w:rFonts w:hint="eastAsia"/>
                      <w:kern w:val="0"/>
                      <w:szCs w:val="21"/>
                      <w:vertAlign w:val="subscript"/>
                    </w:rPr>
                    <w:t>2</w:t>
                  </w:r>
                </w:p>
              </w:tc>
              <w:tc>
                <w:tcPr>
                  <w:tcW w:w="3037" w:type="dxa"/>
                  <w:vAlign w:val="center"/>
                </w:tcPr>
                <w:p>
                  <w:pPr>
                    <w:adjustRightInd w:val="0"/>
                    <w:snapToGrid w:val="0"/>
                    <w:jc w:val="center"/>
                    <w:rPr>
                      <w:kern w:val="0"/>
                      <w:szCs w:val="21"/>
                    </w:rPr>
                  </w:pPr>
                  <w:r>
                    <w:rPr>
                      <w:rFonts w:hint="eastAsia"/>
                      <w:kern w:val="0"/>
                      <w:szCs w:val="21"/>
                    </w:rPr>
                    <w:t>年平均浓度</w:t>
                  </w:r>
                </w:p>
              </w:tc>
              <w:tc>
                <w:tcPr>
                  <w:tcW w:w="1326" w:type="dxa"/>
                  <w:vAlign w:val="center"/>
                </w:tcPr>
                <w:p>
                  <w:pPr>
                    <w:adjustRightInd w:val="0"/>
                    <w:snapToGrid w:val="0"/>
                    <w:jc w:val="center"/>
                    <w:rPr>
                      <w:kern w:val="0"/>
                      <w:szCs w:val="21"/>
                    </w:rPr>
                  </w:pPr>
                  <w:r>
                    <w:rPr>
                      <w:rFonts w:hint="eastAsia"/>
                      <w:kern w:val="0"/>
                      <w:szCs w:val="21"/>
                    </w:rPr>
                    <w:t>25</w:t>
                  </w:r>
                </w:p>
              </w:tc>
              <w:tc>
                <w:tcPr>
                  <w:tcW w:w="1187" w:type="dxa"/>
                  <w:vAlign w:val="center"/>
                </w:tcPr>
                <w:p>
                  <w:pPr>
                    <w:adjustRightInd w:val="0"/>
                    <w:snapToGrid w:val="0"/>
                    <w:jc w:val="center"/>
                    <w:rPr>
                      <w:kern w:val="0"/>
                      <w:szCs w:val="21"/>
                    </w:rPr>
                  </w:pPr>
                  <w:r>
                    <w:rPr>
                      <w:rFonts w:hint="eastAsia"/>
                      <w:kern w:val="0"/>
                      <w:szCs w:val="21"/>
                    </w:rPr>
                    <w:t>40</w:t>
                  </w:r>
                </w:p>
              </w:tc>
              <w:tc>
                <w:tcPr>
                  <w:tcW w:w="1050" w:type="dxa"/>
                  <w:vAlign w:val="center"/>
                </w:tcPr>
                <w:p>
                  <w:pPr>
                    <w:adjustRightInd w:val="0"/>
                    <w:snapToGrid w:val="0"/>
                    <w:jc w:val="center"/>
                    <w:rPr>
                      <w:kern w:val="0"/>
                      <w:szCs w:val="21"/>
                    </w:rPr>
                  </w:pPr>
                  <w:r>
                    <w:rPr>
                      <w:rFonts w:hint="eastAsia"/>
                      <w:kern w:val="0"/>
                      <w:szCs w:val="21"/>
                    </w:rPr>
                    <w:t>62.5</w:t>
                  </w:r>
                </w:p>
              </w:tc>
              <w:tc>
                <w:tcPr>
                  <w:tcW w:w="906" w:type="dxa"/>
                  <w:vAlign w:val="center"/>
                </w:tcPr>
                <w:p>
                  <w:pPr>
                    <w:adjustRightInd w:val="0"/>
                    <w:snapToGrid w:val="0"/>
                    <w:jc w:val="center"/>
                    <w:rPr>
                      <w:kern w:val="0"/>
                      <w:szCs w:val="21"/>
                    </w:rPr>
                  </w:pPr>
                  <w:r>
                    <w:rPr>
                      <w:rFonts w:hint="eastAsia"/>
                      <w:kern w:val="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Align w:val="center"/>
                </w:tcPr>
                <w:p>
                  <w:pPr>
                    <w:adjustRightInd w:val="0"/>
                    <w:snapToGrid w:val="0"/>
                    <w:jc w:val="center"/>
                    <w:rPr>
                      <w:kern w:val="0"/>
                      <w:szCs w:val="21"/>
                    </w:rPr>
                  </w:pPr>
                  <w:r>
                    <w:rPr>
                      <w:rFonts w:hint="eastAsia"/>
                      <w:kern w:val="0"/>
                      <w:szCs w:val="21"/>
                    </w:rPr>
                    <w:t>CO</w:t>
                  </w:r>
                </w:p>
              </w:tc>
              <w:tc>
                <w:tcPr>
                  <w:tcW w:w="3037" w:type="dxa"/>
                  <w:vAlign w:val="center"/>
                </w:tcPr>
                <w:p>
                  <w:pPr>
                    <w:adjustRightInd w:val="0"/>
                    <w:snapToGrid w:val="0"/>
                    <w:jc w:val="center"/>
                    <w:rPr>
                      <w:kern w:val="0"/>
                      <w:szCs w:val="21"/>
                    </w:rPr>
                  </w:pPr>
                  <w:r>
                    <w:rPr>
                      <w:rFonts w:hint="eastAsia"/>
                      <w:kern w:val="0"/>
                      <w:szCs w:val="21"/>
                    </w:rPr>
                    <w:t>24小时平均第95百分位数</w:t>
                  </w:r>
                </w:p>
              </w:tc>
              <w:tc>
                <w:tcPr>
                  <w:tcW w:w="1326" w:type="dxa"/>
                  <w:vAlign w:val="center"/>
                </w:tcPr>
                <w:p>
                  <w:pPr>
                    <w:adjustRightInd w:val="0"/>
                    <w:snapToGrid w:val="0"/>
                    <w:jc w:val="center"/>
                    <w:rPr>
                      <w:kern w:val="0"/>
                      <w:szCs w:val="21"/>
                    </w:rPr>
                  </w:pPr>
                  <w:r>
                    <w:rPr>
                      <w:rFonts w:hint="eastAsia"/>
                      <w:kern w:val="0"/>
                      <w:szCs w:val="21"/>
                    </w:rPr>
                    <w:t>1.3mg/m</w:t>
                  </w:r>
                  <w:r>
                    <w:rPr>
                      <w:rFonts w:hint="eastAsia"/>
                      <w:kern w:val="0"/>
                      <w:szCs w:val="21"/>
                      <w:vertAlign w:val="superscript"/>
                    </w:rPr>
                    <w:t>3</w:t>
                  </w:r>
                </w:p>
              </w:tc>
              <w:tc>
                <w:tcPr>
                  <w:tcW w:w="1187" w:type="dxa"/>
                  <w:vAlign w:val="center"/>
                </w:tcPr>
                <w:p>
                  <w:pPr>
                    <w:adjustRightInd w:val="0"/>
                    <w:snapToGrid w:val="0"/>
                    <w:jc w:val="center"/>
                    <w:rPr>
                      <w:kern w:val="0"/>
                      <w:szCs w:val="21"/>
                    </w:rPr>
                  </w:pPr>
                  <w:r>
                    <w:rPr>
                      <w:rFonts w:hint="eastAsia"/>
                      <w:kern w:val="0"/>
                      <w:szCs w:val="21"/>
                    </w:rPr>
                    <w:t>4mg/m</w:t>
                  </w:r>
                  <w:r>
                    <w:rPr>
                      <w:rFonts w:hint="eastAsia"/>
                      <w:kern w:val="0"/>
                      <w:szCs w:val="21"/>
                      <w:vertAlign w:val="superscript"/>
                    </w:rPr>
                    <w:t>3</w:t>
                  </w:r>
                </w:p>
              </w:tc>
              <w:tc>
                <w:tcPr>
                  <w:tcW w:w="1050" w:type="dxa"/>
                  <w:vAlign w:val="center"/>
                </w:tcPr>
                <w:p>
                  <w:pPr>
                    <w:adjustRightInd w:val="0"/>
                    <w:snapToGrid w:val="0"/>
                    <w:jc w:val="center"/>
                    <w:rPr>
                      <w:kern w:val="0"/>
                      <w:szCs w:val="21"/>
                    </w:rPr>
                  </w:pPr>
                  <w:r>
                    <w:rPr>
                      <w:rFonts w:hint="eastAsia"/>
                      <w:kern w:val="0"/>
                      <w:szCs w:val="21"/>
                    </w:rPr>
                    <w:t>32.5</w:t>
                  </w:r>
                </w:p>
              </w:tc>
              <w:tc>
                <w:tcPr>
                  <w:tcW w:w="906" w:type="dxa"/>
                  <w:vAlign w:val="center"/>
                </w:tcPr>
                <w:p>
                  <w:pPr>
                    <w:adjustRightInd w:val="0"/>
                    <w:snapToGrid w:val="0"/>
                    <w:jc w:val="center"/>
                    <w:rPr>
                      <w:kern w:val="0"/>
                      <w:szCs w:val="21"/>
                    </w:rPr>
                  </w:pPr>
                  <w:r>
                    <w:rPr>
                      <w:rFonts w:hint="eastAsia"/>
                      <w:kern w:val="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Align w:val="center"/>
                </w:tcPr>
                <w:p>
                  <w:pPr>
                    <w:adjustRightInd w:val="0"/>
                    <w:snapToGrid w:val="0"/>
                    <w:jc w:val="center"/>
                    <w:rPr>
                      <w:kern w:val="0"/>
                      <w:szCs w:val="21"/>
                    </w:rPr>
                  </w:pPr>
                  <w:r>
                    <w:rPr>
                      <w:rFonts w:hint="eastAsia"/>
                      <w:kern w:val="0"/>
                      <w:szCs w:val="21"/>
                    </w:rPr>
                    <w:t>O</w:t>
                  </w:r>
                  <w:r>
                    <w:rPr>
                      <w:rFonts w:hint="eastAsia"/>
                      <w:kern w:val="0"/>
                      <w:szCs w:val="21"/>
                      <w:vertAlign w:val="subscript"/>
                    </w:rPr>
                    <w:t>3</w:t>
                  </w:r>
                </w:p>
              </w:tc>
              <w:tc>
                <w:tcPr>
                  <w:tcW w:w="3037" w:type="dxa"/>
                  <w:vAlign w:val="center"/>
                </w:tcPr>
                <w:p>
                  <w:pPr>
                    <w:adjustRightInd w:val="0"/>
                    <w:snapToGrid w:val="0"/>
                    <w:jc w:val="center"/>
                    <w:rPr>
                      <w:kern w:val="0"/>
                      <w:szCs w:val="21"/>
                    </w:rPr>
                  </w:pPr>
                  <w:r>
                    <w:rPr>
                      <w:rFonts w:hint="eastAsia"/>
                      <w:kern w:val="0"/>
                      <w:szCs w:val="21"/>
                    </w:rPr>
                    <w:t>日最大8小时滑动平均值的第90百分位数</w:t>
                  </w:r>
                </w:p>
              </w:tc>
              <w:tc>
                <w:tcPr>
                  <w:tcW w:w="1326" w:type="dxa"/>
                  <w:vAlign w:val="center"/>
                </w:tcPr>
                <w:p>
                  <w:pPr>
                    <w:adjustRightInd w:val="0"/>
                    <w:snapToGrid w:val="0"/>
                    <w:jc w:val="center"/>
                    <w:rPr>
                      <w:kern w:val="0"/>
                      <w:szCs w:val="21"/>
                    </w:rPr>
                  </w:pPr>
                  <w:r>
                    <w:rPr>
                      <w:rFonts w:hint="eastAsia"/>
                      <w:kern w:val="0"/>
                      <w:szCs w:val="21"/>
                    </w:rPr>
                    <w:t>128</w:t>
                  </w:r>
                </w:p>
              </w:tc>
              <w:tc>
                <w:tcPr>
                  <w:tcW w:w="1187" w:type="dxa"/>
                  <w:vAlign w:val="center"/>
                </w:tcPr>
                <w:p>
                  <w:pPr>
                    <w:adjustRightInd w:val="0"/>
                    <w:snapToGrid w:val="0"/>
                    <w:jc w:val="center"/>
                    <w:rPr>
                      <w:kern w:val="0"/>
                      <w:szCs w:val="21"/>
                    </w:rPr>
                  </w:pPr>
                  <w:r>
                    <w:rPr>
                      <w:rFonts w:hint="eastAsia"/>
                      <w:kern w:val="0"/>
                      <w:szCs w:val="21"/>
                    </w:rPr>
                    <w:t>160</w:t>
                  </w:r>
                </w:p>
              </w:tc>
              <w:tc>
                <w:tcPr>
                  <w:tcW w:w="1050" w:type="dxa"/>
                  <w:vAlign w:val="center"/>
                </w:tcPr>
                <w:p>
                  <w:pPr>
                    <w:adjustRightInd w:val="0"/>
                    <w:snapToGrid w:val="0"/>
                    <w:jc w:val="center"/>
                    <w:rPr>
                      <w:kern w:val="0"/>
                      <w:szCs w:val="21"/>
                    </w:rPr>
                  </w:pPr>
                  <w:r>
                    <w:rPr>
                      <w:rFonts w:hint="eastAsia"/>
                      <w:kern w:val="0"/>
                      <w:szCs w:val="21"/>
                    </w:rPr>
                    <w:t>80</w:t>
                  </w:r>
                </w:p>
              </w:tc>
              <w:tc>
                <w:tcPr>
                  <w:tcW w:w="906" w:type="dxa"/>
                  <w:vAlign w:val="center"/>
                </w:tcPr>
                <w:p>
                  <w:pPr>
                    <w:adjustRightInd w:val="0"/>
                    <w:snapToGrid w:val="0"/>
                    <w:jc w:val="center"/>
                    <w:rPr>
                      <w:kern w:val="0"/>
                      <w:szCs w:val="21"/>
                    </w:rPr>
                  </w:pPr>
                  <w:r>
                    <w:rPr>
                      <w:rFonts w:hint="eastAsia"/>
                      <w:kern w:val="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0" w:type="dxa"/>
                  <w:gridSpan w:val="6"/>
                  <w:vAlign w:val="center"/>
                </w:tcPr>
                <w:p>
                  <w:pPr>
                    <w:adjustRightInd w:val="0"/>
                    <w:snapToGrid w:val="0"/>
                    <w:jc w:val="center"/>
                    <w:rPr>
                      <w:kern w:val="0"/>
                      <w:szCs w:val="21"/>
                    </w:rPr>
                  </w:pPr>
                  <w:r>
                    <w:rPr>
                      <w:rFonts w:hint="eastAsia"/>
                      <w:kern w:val="0"/>
                      <w:szCs w:val="21"/>
                    </w:rPr>
                    <w:t>注：表中统计数据均为扣除沙尘天气数据</w:t>
                  </w:r>
                </w:p>
              </w:tc>
            </w:tr>
          </w:tbl>
          <w:p>
            <w:pPr>
              <w:pStyle w:val="50"/>
              <w:ind w:firstLine="480"/>
            </w:pPr>
            <w:r>
              <w:rPr>
                <w:rFonts w:hint="eastAsia"/>
              </w:rPr>
              <w:t>根据</w:t>
            </w:r>
            <w:r>
              <w:rPr>
                <w:rFonts w:hint="eastAsia" w:ascii="宋体" w:hAnsi="宋体" w:cs="宋体"/>
              </w:rPr>
              <w:t>《环境影响评价技术导则 大气环境》（</w:t>
            </w:r>
            <w:r>
              <w:rPr>
                <w:rFonts w:hint="eastAsia"/>
              </w:rPr>
              <w:t>HJ2.2-2018</w:t>
            </w:r>
            <w:r>
              <w:rPr>
                <w:rFonts w:hint="eastAsia" w:ascii="宋体" w:hAnsi="宋体" w:cs="宋体"/>
              </w:rPr>
              <w:t>）要求：城市环境空气质量达标情况评价指标为</w:t>
            </w:r>
            <w:r>
              <w:rPr>
                <w:rFonts w:hint="eastAsia"/>
              </w:rP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、CO、O</w:t>
            </w:r>
            <w:r>
              <w:rPr>
                <w:rFonts w:hint="eastAsia"/>
                <w:vertAlign w:val="subscript"/>
              </w:rPr>
              <w:t>3</w:t>
            </w:r>
            <w:r>
              <w:rPr>
                <w:rFonts w:hint="eastAsia"/>
              </w:rPr>
              <w:t>，六项污染物全部达标即为城市环境空气质量达标。由上表可知，六项污染物</w:t>
            </w:r>
            <w:r>
              <w:rPr>
                <w:rFonts w:hint="eastAsia" w:ascii="宋体" w:hAnsi="宋体" w:cs="宋体"/>
              </w:rPr>
              <w:t>因子均满足《环境空气质量标准》（</w:t>
            </w:r>
            <w:r>
              <w:rPr>
                <w:rFonts w:hint="eastAsia"/>
              </w:rPr>
              <w:t>GB3095-2012</w:t>
            </w:r>
            <w:r>
              <w:rPr>
                <w:rFonts w:hint="eastAsia" w:ascii="宋体" w:hAnsi="宋体" w:cs="宋体"/>
              </w:rPr>
              <w:t>）中二级标准限值，故同心县总体属于达标区。</w:t>
            </w:r>
          </w:p>
          <w:p>
            <w:pPr>
              <w:pStyle w:val="21"/>
              <w:adjustRightInd w:val="0"/>
              <w:snapToGrid w:val="0"/>
              <w:spacing w:line="360" w:lineRule="auto"/>
              <w:ind w:firstLine="482"/>
              <w:rPr>
                <w:b/>
                <w:bCs/>
                <w:sz w:val="24"/>
              </w:rPr>
            </w:pPr>
            <w:r>
              <w:rPr>
                <w:rFonts w:hint="eastAsia"/>
                <w:b/>
                <w:bCs/>
                <w:sz w:val="24"/>
              </w:rPr>
              <w:t>补充监测（TSP）:</w:t>
            </w:r>
          </w:p>
          <w:p>
            <w:pPr>
              <w:pStyle w:val="20"/>
              <w:adjustRightInd w:val="0"/>
              <w:spacing w:line="360" w:lineRule="auto"/>
              <w:ind w:firstLine="480" w:firstLineChars="200"/>
              <w:rPr>
                <w:rFonts w:hint="eastAsia"/>
                <w:sz w:val="24"/>
                <w:szCs w:val="24"/>
              </w:rPr>
            </w:pPr>
            <w:r>
              <w:rPr>
                <w:rFonts w:hint="eastAsia"/>
                <w:sz w:val="24"/>
                <w:szCs w:val="24"/>
              </w:rPr>
              <w:t>本次评价引用《宁夏耐特镁业有限公司年产60万吨冶镁白云岩矿项目》委托宁夏华鼎环保科技有限公司对项目区东南1.48km青龙山老庄大气环境质量TSP监测数据，监测时间为2021年8月30至9月1日，连续监测三天。根据《关于印发《建设项目环境影响报告表》内容、格式及编制技术指南的通知环办环评〔2020〕33号》，排放国家、地方环境空气质量标准中有标准限值要求的特征污染物时，引用建设项目周边5千米范围内近3年的现有监测数据，引用检测数据有效，监测结果如下：</w:t>
            </w:r>
          </w:p>
          <w:p>
            <w:pPr>
              <w:pStyle w:val="50"/>
              <w:numPr>
                <w:ilvl w:val="0"/>
                <w:numId w:val="2"/>
              </w:numPr>
              <w:snapToGrid w:val="0"/>
              <w:spacing w:line="240" w:lineRule="auto"/>
              <w:ind w:left="420" w:firstLineChars="0"/>
              <w:jc w:val="center"/>
              <w:rPr>
                <w:b/>
                <w:bCs/>
              </w:rPr>
            </w:pPr>
            <w:r>
              <w:rPr>
                <w:rFonts w:hint="eastAsia"/>
                <w:b/>
                <w:bCs/>
              </w:rPr>
              <w:t>TSP现状补充监测结果统计           单位：mg/m</w:t>
            </w:r>
            <w:r>
              <w:rPr>
                <w:rFonts w:hint="eastAsia"/>
                <w:b/>
                <w:bCs/>
                <w:vertAlign w:val="superscript"/>
              </w:rPr>
              <w:t>3</w:t>
            </w:r>
          </w:p>
          <w:tbl>
            <w:tblPr>
              <w:tblStyle w:val="23"/>
              <w:tblW w:w="82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84"/>
              <w:gridCol w:w="1694"/>
              <w:gridCol w:w="992"/>
              <w:gridCol w:w="660"/>
              <w:gridCol w:w="1529"/>
              <w:gridCol w:w="1085"/>
              <w:gridCol w:w="746"/>
              <w:gridCol w:w="8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84" w:type="dxa"/>
                  <w:vAlign w:val="center"/>
                </w:tcPr>
                <w:p>
                  <w:pPr>
                    <w:pStyle w:val="21"/>
                    <w:adjustRightInd w:val="0"/>
                    <w:snapToGrid w:val="0"/>
                    <w:spacing w:line="360" w:lineRule="exact"/>
                    <w:ind w:firstLine="0" w:firstLineChars="0"/>
                    <w:jc w:val="center"/>
                    <w:rPr>
                      <w:b/>
                      <w:bCs/>
                      <w:szCs w:val="21"/>
                    </w:rPr>
                  </w:pPr>
                  <w:r>
                    <w:rPr>
                      <w:rFonts w:hint="eastAsia"/>
                      <w:b/>
                      <w:bCs/>
                      <w:szCs w:val="21"/>
                    </w:rPr>
                    <w:t>检测点名称</w:t>
                  </w:r>
                </w:p>
              </w:tc>
              <w:tc>
                <w:tcPr>
                  <w:tcW w:w="1694" w:type="dxa"/>
                  <w:vAlign w:val="center"/>
                </w:tcPr>
                <w:p>
                  <w:pPr>
                    <w:pStyle w:val="21"/>
                    <w:adjustRightInd w:val="0"/>
                    <w:snapToGrid w:val="0"/>
                    <w:spacing w:line="360" w:lineRule="exact"/>
                    <w:ind w:firstLine="0" w:firstLineChars="0"/>
                    <w:jc w:val="center"/>
                    <w:rPr>
                      <w:b/>
                      <w:bCs/>
                      <w:szCs w:val="21"/>
                    </w:rPr>
                  </w:pPr>
                  <w:r>
                    <w:rPr>
                      <w:rFonts w:hint="eastAsia"/>
                      <w:b/>
                      <w:bCs/>
                      <w:szCs w:val="21"/>
                    </w:rPr>
                    <w:t>监测点坐标</w:t>
                  </w:r>
                </w:p>
              </w:tc>
              <w:tc>
                <w:tcPr>
                  <w:tcW w:w="992" w:type="dxa"/>
                  <w:vAlign w:val="center"/>
                </w:tcPr>
                <w:p>
                  <w:pPr>
                    <w:pStyle w:val="21"/>
                    <w:adjustRightInd w:val="0"/>
                    <w:snapToGrid w:val="0"/>
                    <w:spacing w:line="360" w:lineRule="exact"/>
                    <w:ind w:firstLine="0" w:firstLineChars="0"/>
                    <w:jc w:val="center"/>
                    <w:rPr>
                      <w:b/>
                      <w:bCs/>
                      <w:szCs w:val="21"/>
                    </w:rPr>
                  </w:pPr>
                  <w:r>
                    <w:rPr>
                      <w:rFonts w:hint="eastAsia"/>
                      <w:b/>
                      <w:bCs/>
                      <w:szCs w:val="21"/>
                    </w:rPr>
                    <w:t>位置</w:t>
                  </w:r>
                </w:p>
              </w:tc>
              <w:tc>
                <w:tcPr>
                  <w:tcW w:w="660" w:type="dxa"/>
                  <w:shd w:val="clear" w:color="auto" w:fill="auto"/>
                  <w:vAlign w:val="center"/>
                </w:tcPr>
                <w:p>
                  <w:pPr>
                    <w:pStyle w:val="21"/>
                    <w:adjustRightInd w:val="0"/>
                    <w:snapToGrid w:val="0"/>
                    <w:spacing w:line="360" w:lineRule="exact"/>
                    <w:ind w:firstLine="0" w:firstLineChars="0"/>
                    <w:jc w:val="center"/>
                    <w:rPr>
                      <w:b/>
                      <w:bCs/>
                      <w:szCs w:val="21"/>
                    </w:rPr>
                  </w:pPr>
                  <w:r>
                    <w:rPr>
                      <w:rFonts w:hint="eastAsia"/>
                      <w:b/>
                      <w:bCs/>
                      <w:szCs w:val="21"/>
                    </w:rPr>
                    <w:t>污染物</w:t>
                  </w:r>
                </w:p>
              </w:tc>
              <w:tc>
                <w:tcPr>
                  <w:tcW w:w="1529" w:type="dxa"/>
                  <w:shd w:val="clear" w:color="auto" w:fill="auto"/>
                  <w:vAlign w:val="center"/>
                </w:tcPr>
                <w:p>
                  <w:pPr>
                    <w:pStyle w:val="21"/>
                    <w:adjustRightInd w:val="0"/>
                    <w:snapToGrid w:val="0"/>
                    <w:spacing w:line="360" w:lineRule="exact"/>
                    <w:ind w:firstLine="0" w:firstLineChars="0"/>
                    <w:jc w:val="center"/>
                    <w:rPr>
                      <w:b/>
                      <w:bCs/>
                      <w:szCs w:val="21"/>
                    </w:rPr>
                  </w:pPr>
                  <w:r>
                    <w:rPr>
                      <w:rFonts w:hint="eastAsia"/>
                      <w:b/>
                      <w:bCs/>
                      <w:szCs w:val="21"/>
                    </w:rPr>
                    <w:t>浓度范围（日均值）</w:t>
                  </w:r>
                </w:p>
              </w:tc>
              <w:tc>
                <w:tcPr>
                  <w:tcW w:w="1085" w:type="dxa"/>
                  <w:shd w:val="clear" w:color="auto" w:fill="auto"/>
                  <w:vAlign w:val="center"/>
                </w:tcPr>
                <w:p>
                  <w:pPr>
                    <w:pStyle w:val="21"/>
                    <w:adjustRightInd w:val="0"/>
                    <w:snapToGrid w:val="0"/>
                    <w:spacing w:line="360" w:lineRule="exact"/>
                    <w:ind w:firstLine="0" w:firstLineChars="0"/>
                    <w:jc w:val="center"/>
                    <w:rPr>
                      <w:b/>
                      <w:bCs/>
                      <w:szCs w:val="21"/>
                    </w:rPr>
                  </w:pPr>
                  <w:r>
                    <w:rPr>
                      <w:rFonts w:hint="eastAsia"/>
                      <w:b/>
                      <w:bCs/>
                      <w:szCs w:val="21"/>
                    </w:rPr>
                    <w:t>浓度限值（日均值）</w:t>
                  </w:r>
                </w:p>
              </w:tc>
              <w:tc>
                <w:tcPr>
                  <w:tcW w:w="746" w:type="dxa"/>
                  <w:shd w:val="clear" w:color="auto" w:fill="auto"/>
                  <w:vAlign w:val="center"/>
                </w:tcPr>
                <w:p>
                  <w:pPr>
                    <w:pStyle w:val="21"/>
                    <w:adjustRightInd w:val="0"/>
                    <w:snapToGrid w:val="0"/>
                    <w:spacing w:line="360" w:lineRule="exact"/>
                    <w:ind w:firstLine="0" w:firstLineChars="0"/>
                    <w:jc w:val="center"/>
                    <w:rPr>
                      <w:b/>
                      <w:bCs/>
                      <w:szCs w:val="21"/>
                    </w:rPr>
                  </w:pPr>
                  <w:r>
                    <w:rPr>
                      <w:rFonts w:hint="eastAsia"/>
                      <w:b/>
                      <w:bCs/>
                      <w:szCs w:val="21"/>
                    </w:rPr>
                    <w:t>最大超标倍数</w:t>
                  </w:r>
                </w:p>
              </w:tc>
              <w:tc>
                <w:tcPr>
                  <w:tcW w:w="893" w:type="dxa"/>
                  <w:shd w:val="clear" w:color="auto" w:fill="auto"/>
                  <w:vAlign w:val="center"/>
                </w:tcPr>
                <w:p>
                  <w:pPr>
                    <w:pStyle w:val="21"/>
                    <w:adjustRightInd w:val="0"/>
                    <w:snapToGrid w:val="0"/>
                    <w:spacing w:line="360" w:lineRule="exact"/>
                    <w:ind w:firstLine="0" w:firstLineChars="0"/>
                    <w:jc w:val="center"/>
                    <w:rPr>
                      <w:b/>
                      <w:bCs/>
                      <w:szCs w:val="21"/>
                    </w:rPr>
                  </w:pPr>
                  <w:r>
                    <w:rPr>
                      <w:rFonts w:hint="eastAsia"/>
                      <w:b/>
                      <w:bCs/>
                      <w:szCs w:val="21"/>
                    </w:rPr>
                    <w:t>最大占标率%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84" w:type="dxa"/>
                  <w:vAlign w:val="center"/>
                </w:tcPr>
                <w:p>
                  <w:pPr>
                    <w:pStyle w:val="21"/>
                    <w:adjustRightInd w:val="0"/>
                    <w:snapToGrid w:val="0"/>
                    <w:spacing w:line="360" w:lineRule="exact"/>
                    <w:ind w:firstLine="0" w:firstLineChars="0"/>
                    <w:jc w:val="center"/>
                    <w:rPr>
                      <w:szCs w:val="21"/>
                    </w:rPr>
                  </w:pPr>
                  <w:r>
                    <w:rPr>
                      <w:rFonts w:hint="eastAsia"/>
                      <w:szCs w:val="21"/>
                    </w:rPr>
                    <w:t>青龙山老庄</w:t>
                  </w:r>
                </w:p>
              </w:tc>
              <w:tc>
                <w:tcPr>
                  <w:tcW w:w="1694" w:type="dxa"/>
                  <w:vAlign w:val="center"/>
                </w:tcPr>
                <w:p>
                  <w:pPr>
                    <w:pStyle w:val="21"/>
                    <w:adjustRightInd w:val="0"/>
                    <w:snapToGrid w:val="0"/>
                    <w:spacing w:line="360" w:lineRule="exact"/>
                    <w:ind w:firstLine="0" w:firstLineChars="0"/>
                    <w:jc w:val="center"/>
                    <w:rPr>
                      <w:szCs w:val="21"/>
                    </w:rPr>
                  </w:pPr>
                </w:p>
              </w:tc>
              <w:tc>
                <w:tcPr>
                  <w:tcW w:w="992" w:type="dxa"/>
                  <w:vAlign w:val="center"/>
                </w:tcPr>
                <w:p>
                  <w:pPr>
                    <w:pStyle w:val="21"/>
                    <w:adjustRightInd w:val="0"/>
                    <w:snapToGrid w:val="0"/>
                    <w:spacing w:line="360" w:lineRule="exact"/>
                    <w:ind w:firstLine="0" w:firstLineChars="0"/>
                    <w:jc w:val="center"/>
                    <w:rPr>
                      <w:szCs w:val="21"/>
                    </w:rPr>
                  </w:pPr>
                  <w:r>
                    <w:rPr>
                      <w:rFonts w:hint="eastAsia"/>
                      <w:szCs w:val="21"/>
                    </w:rPr>
                    <w:t>SE1.48m</w:t>
                  </w:r>
                </w:p>
              </w:tc>
              <w:tc>
                <w:tcPr>
                  <w:tcW w:w="660" w:type="dxa"/>
                  <w:shd w:val="clear" w:color="auto" w:fill="auto"/>
                  <w:vAlign w:val="center"/>
                </w:tcPr>
                <w:p>
                  <w:pPr>
                    <w:pStyle w:val="21"/>
                    <w:adjustRightInd w:val="0"/>
                    <w:snapToGrid w:val="0"/>
                    <w:spacing w:line="360" w:lineRule="exact"/>
                    <w:ind w:firstLine="0" w:firstLineChars="0"/>
                    <w:jc w:val="center"/>
                    <w:rPr>
                      <w:szCs w:val="21"/>
                    </w:rPr>
                  </w:pPr>
                  <w:r>
                    <w:rPr>
                      <w:rFonts w:hint="eastAsia"/>
                      <w:szCs w:val="21"/>
                    </w:rPr>
                    <w:t>TSP</w:t>
                  </w:r>
                </w:p>
              </w:tc>
              <w:tc>
                <w:tcPr>
                  <w:tcW w:w="1529" w:type="dxa"/>
                  <w:shd w:val="clear" w:color="auto" w:fill="auto"/>
                  <w:vAlign w:val="center"/>
                </w:tcPr>
                <w:p>
                  <w:pPr>
                    <w:pStyle w:val="21"/>
                    <w:adjustRightInd w:val="0"/>
                    <w:snapToGrid w:val="0"/>
                    <w:spacing w:line="360" w:lineRule="exact"/>
                    <w:ind w:firstLine="0" w:firstLineChars="0"/>
                    <w:jc w:val="center"/>
                    <w:rPr>
                      <w:szCs w:val="21"/>
                    </w:rPr>
                  </w:pPr>
                  <w:r>
                    <w:rPr>
                      <w:rFonts w:hint="eastAsia"/>
                      <w:szCs w:val="21"/>
                    </w:rPr>
                    <w:t>0.254~0.261</w:t>
                  </w:r>
                </w:p>
              </w:tc>
              <w:tc>
                <w:tcPr>
                  <w:tcW w:w="1085" w:type="dxa"/>
                  <w:shd w:val="clear" w:color="auto" w:fill="auto"/>
                  <w:vAlign w:val="center"/>
                </w:tcPr>
                <w:p>
                  <w:pPr>
                    <w:pStyle w:val="21"/>
                    <w:adjustRightInd w:val="0"/>
                    <w:snapToGrid w:val="0"/>
                    <w:spacing w:line="360" w:lineRule="exact"/>
                    <w:ind w:firstLine="0" w:firstLineChars="0"/>
                    <w:jc w:val="center"/>
                    <w:rPr>
                      <w:szCs w:val="21"/>
                    </w:rPr>
                  </w:pPr>
                  <w:r>
                    <w:rPr>
                      <w:rFonts w:hint="eastAsia"/>
                      <w:szCs w:val="21"/>
                    </w:rPr>
                    <w:t>0.3</w:t>
                  </w:r>
                </w:p>
              </w:tc>
              <w:tc>
                <w:tcPr>
                  <w:tcW w:w="746" w:type="dxa"/>
                  <w:shd w:val="clear" w:color="auto" w:fill="auto"/>
                  <w:vAlign w:val="center"/>
                </w:tcPr>
                <w:p>
                  <w:pPr>
                    <w:pStyle w:val="21"/>
                    <w:adjustRightInd w:val="0"/>
                    <w:snapToGrid w:val="0"/>
                    <w:spacing w:line="360" w:lineRule="exact"/>
                    <w:ind w:firstLine="0" w:firstLineChars="0"/>
                    <w:jc w:val="center"/>
                    <w:rPr>
                      <w:szCs w:val="21"/>
                    </w:rPr>
                  </w:pPr>
                  <w:r>
                    <w:rPr>
                      <w:rFonts w:hint="eastAsia"/>
                      <w:szCs w:val="21"/>
                    </w:rPr>
                    <w:t>-</w:t>
                  </w:r>
                </w:p>
              </w:tc>
              <w:tc>
                <w:tcPr>
                  <w:tcW w:w="893" w:type="dxa"/>
                  <w:shd w:val="clear" w:color="auto" w:fill="auto"/>
                  <w:vAlign w:val="center"/>
                </w:tcPr>
                <w:p>
                  <w:pPr>
                    <w:pStyle w:val="21"/>
                    <w:adjustRightInd w:val="0"/>
                    <w:snapToGrid w:val="0"/>
                    <w:spacing w:line="360" w:lineRule="exact"/>
                    <w:ind w:firstLine="0" w:firstLineChars="0"/>
                    <w:jc w:val="center"/>
                    <w:rPr>
                      <w:szCs w:val="21"/>
                    </w:rPr>
                  </w:pPr>
                  <w:r>
                    <w:rPr>
                      <w:rFonts w:hint="eastAsia"/>
                      <w:szCs w:val="21"/>
                    </w:rPr>
                    <w:t>87.0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283" w:type="dxa"/>
                  <w:gridSpan w:val="8"/>
                  <w:vAlign w:val="center"/>
                </w:tcPr>
                <w:p>
                  <w:pPr>
                    <w:pStyle w:val="21"/>
                    <w:adjustRightInd w:val="0"/>
                    <w:snapToGrid w:val="0"/>
                    <w:spacing w:line="360" w:lineRule="exact"/>
                    <w:ind w:firstLine="0" w:firstLineChars="0"/>
                    <w:jc w:val="center"/>
                    <w:rPr>
                      <w:szCs w:val="21"/>
                    </w:rPr>
                  </w:pPr>
                  <w:r>
                    <w:rPr>
                      <w:rFonts w:hint="eastAsia"/>
                      <w:szCs w:val="21"/>
                    </w:rPr>
                    <w:t>注：TSP 执行《环境空气质量标准》（GB3095-2012）二级标准限值要求</w:t>
                  </w:r>
                </w:p>
              </w:tc>
            </w:tr>
          </w:tbl>
          <w:p>
            <w:pPr>
              <w:pStyle w:val="21"/>
              <w:adjustRightInd w:val="0"/>
              <w:snapToGrid w:val="0"/>
              <w:spacing w:line="360" w:lineRule="auto"/>
              <w:ind w:firstLine="480"/>
              <w:rPr>
                <w:sz w:val="24"/>
              </w:rPr>
            </w:pPr>
            <w:r>
              <w:rPr>
                <w:rFonts w:hint="eastAsia"/>
                <w:sz w:val="24"/>
              </w:rPr>
              <w:t>监测期间，项目所在区域TSP日均值浓度范围为0.254~0.261mg/m</w:t>
            </w:r>
            <w:r>
              <w:rPr>
                <w:rFonts w:hint="eastAsia"/>
                <w:sz w:val="24"/>
                <w:vertAlign w:val="superscript"/>
              </w:rPr>
              <w:t>3</w:t>
            </w:r>
            <w:r>
              <w:rPr>
                <w:rFonts w:hint="eastAsia"/>
                <w:sz w:val="24"/>
              </w:rPr>
              <w:t>，满足《环境空气质量标准》（GB3095-2012）二级标准要求。</w:t>
            </w:r>
          </w:p>
          <w:p>
            <w:pPr>
              <w:pStyle w:val="50"/>
              <w:ind w:firstLine="482"/>
              <w:rPr>
                <w:b/>
                <w:bCs/>
              </w:rPr>
            </w:pPr>
            <w:r>
              <w:rPr>
                <w:rFonts w:hint="eastAsia"/>
                <w:b/>
                <w:bCs/>
              </w:rPr>
              <w:t>3、地表水环境质量现状</w:t>
            </w:r>
          </w:p>
          <w:p>
            <w:pPr>
              <w:pStyle w:val="50"/>
              <w:ind w:firstLine="480"/>
            </w:pPr>
            <w:r>
              <w:rPr>
                <w:rFonts w:hint="eastAsia"/>
              </w:rPr>
              <w:t>距离本项目东侧5.5km处为苦水河，本次地表水环境质量现状评价引用</w:t>
            </w:r>
            <w:r>
              <w:rPr>
                <w:rFonts w:hint="eastAsia"/>
                <w:lang w:val="sq-AL"/>
              </w:rPr>
              <w:t>宁夏回族自治区生态环境厅发布的</w:t>
            </w:r>
            <w:r>
              <w:rPr>
                <w:rFonts w:hint="eastAsia"/>
              </w:rPr>
              <w:t>《2021年宁夏生态环境质量状况》中苦水河甘-宁交界断面的监测数据，来说明本项目所在区域地表水环境质量现状。</w:t>
            </w:r>
          </w:p>
          <w:p>
            <w:pPr>
              <w:pStyle w:val="50"/>
              <w:ind w:firstLine="480"/>
            </w:pPr>
            <w:r>
              <w:rPr>
                <w:rFonts w:hint="eastAsia"/>
              </w:rPr>
              <w:t>（1）监测因子</w:t>
            </w:r>
          </w:p>
          <w:p>
            <w:pPr>
              <w:pStyle w:val="50"/>
              <w:ind w:firstLine="480"/>
            </w:pPr>
            <w:r>
              <w:rPr>
                <w:rFonts w:hint="eastAsia"/>
              </w:rPr>
              <w:t>监测因子：监测项目为《地表水环境质量标准》(GB3838-2002)表1规定的24项，即：水温、总氮、粪大肠菌群、pH、溶解氧、高锰酸盐指数、生化需氧量、汞、氨氮、铅、挥发酚、石油类、化学需氧量、总磷、铜、锌、硒、氟化物、砷、镉、六价铬、氰化物、阴离子表面活性剂和硫化物。</w:t>
            </w:r>
          </w:p>
          <w:p>
            <w:pPr>
              <w:pStyle w:val="50"/>
              <w:ind w:firstLine="480"/>
            </w:pPr>
            <w:r>
              <w:rPr>
                <w:rFonts w:hint="eastAsia"/>
              </w:rPr>
              <w:t>（2）评价标准</w:t>
            </w:r>
          </w:p>
          <w:p>
            <w:pPr>
              <w:pStyle w:val="50"/>
              <w:ind w:firstLine="480"/>
            </w:pPr>
            <w:r>
              <w:rPr>
                <w:rFonts w:hint="eastAsia"/>
              </w:rPr>
              <w:t>依据《2021年宁夏生态环境质量状况》中“苦水河甘-宁交界断面水质”为劣</w:t>
            </w:r>
            <w:r>
              <w:rPr>
                <w:rFonts w:hint="eastAsia"/>
              </w:rPr>
              <w:fldChar w:fldCharType="begin"/>
            </w:r>
            <w:r>
              <w:rPr>
                <w:rFonts w:hint="eastAsia"/>
              </w:rPr>
              <w:instrText xml:space="preserve"> = 5 \* ROMAN \* MERGEFORMAT </w:instrText>
            </w:r>
            <w:r>
              <w:rPr>
                <w:rFonts w:hint="eastAsia"/>
              </w:rPr>
              <w:fldChar w:fldCharType="separate"/>
            </w:r>
            <w:r>
              <w:rPr>
                <w:rFonts w:hint="eastAsia"/>
              </w:rPr>
              <w:t>V</w:t>
            </w:r>
            <w:r>
              <w:rPr>
                <w:rFonts w:hint="eastAsia"/>
              </w:rPr>
              <w:fldChar w:fldCharType="end"/>
            </w:r>
            <w:r>
              <w:rPr>
                <w:rFonts w:hint="eastAsia"/>
              </w:rPr>
              <w:t>类水质，苦水河考核目标水质为</w:t>
            </w:r>
            <w:r>
              <w:rPr>
                <w:rFonts w:hint="eastAsia"/>
              </w:rPr>
              <w:fldChar w:fldCharType="begin"/>
            </w:r>
            <w:r>
              <w:rPr>
                <w:rFonts w:hint="eastAsia"/>
              </w:rPr>
              <w:instrText xml:space="preserve"> = 4 \* ROMAN </w:instrText>
            </w:r>
            <w:r>
              <w:rPr>
                <w:rFonts w:hint="eastAsia"/>
              </w:rPr>
              <w:fldChar w:fldCharType="separate"/>
            </w:r>
            <w:r>
              <w:rPr>
                <w:rFonts w:hint="eastAsia"/>
              </w:rPr>
              <w:t>V</w:t>
            </w:r>
            <w:r>
              <w:rPr>
                <w:rFonts w:hint="eastAsia"/>
              </w:rPr>
              <w:fldChar w:fldCharType="end"/>
            </w:r>
            <w:r>
              <w:rPr>
                <w:rFonts w:hint="eastAsia"/>
              </w:rPr>
              <w:t>类水质。</w:t>
            </w:r>
          </w:p>
          <w:p>
            <w:pPr>
              <w:pStyle w:val="50"/>
              <w:ind w:firstLine="480"/>
            </w:pPr>
            <w:r>
              <w:rPr>
                <w:rFonts w:hint="eastAsia"/>
              </w:rPr>
              <w:t>（3）监测结果</w:t>
            </w:r>
          </w:p>
          <w:p>
            <w:pPr>
              <w:pStyle w:val="50"/>
              <w:ind w:firstLine="480"/>
            </w:pPr>
            <w:r>
              <w:rPr>
                <w:rFonts w:hint="eastAsia"/>
              </w:rPr>
              <w:t>《2021年宁夏生态环境质量状况》中苦水河甘-宁交界断面的水质监测结果详见下表。</w:t>
            </w:r>
          </w:p>
          <w:p>
            <w:pPr>
              <w:pStyle w:val="50"/>
              <w:numPr>
                <w:ilvl w:val="0"/>
                <w:numId w:val="2"/>
              </w:numPr>
              <w:snapToGrid w:val="0"/>
              <w:spacing w:line="240" w:lineRule="auto"/>
              <w:ind w:left="420" w:firstLineChars="0"/>
              <w:jc w:val="center"/>
              <w:rPr>
                <w:b/>
                <w:bCs/>
              </w:rPr>
            </w:pPr>
            <w:r>
              <w:rPr>
                <w:rFonts w:hint="eastAsia"/>
                <w:b/>
                <w:bCs/>
              </w:rPr>
              <w:t>2021年苦水河甘-宁省界断面水质监测结果统计    单位：mg/L</w:t>
            </w:r>
          </w:p>
          <w:tbl>
            <w:tblPr>
              <w:tblStyle w:val="23"/>
              <w:tblW w:w="828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
              <w:gridCol w:w="563"/>
              <w:gridCol w:w="563"/>
              <w:gridCol w:w="1294"/>
              <w:gridCol w:w="572"/>
              <w:gridCol w:w="691"/>
              <w:gridCol w:w="696"/>
              <w:gridCol w:w="745"/>
              <w:gridCol w:w="2036"/>
              <w:gridCol w:w="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70"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序号</w:t>
                  </w:r>
                </w:p>
              </w:tc>
              <w:tc>
                <w:tcPr>
                  <w:tcW w:w="563"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断面名称</w:t>
                  </w:r>
                </w:p>
              </w:tc>
              <w:tc>
                <w:tcPr>
                  <w:tcW w:w="563"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断面类型</w:t>
                  </w:r>
                </w:p>
              </w:tc>
              <w:tc>
                <w:tcPr>
                  <w:tcW w:w="1294"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断面属性</w:t>
                  </w:r>
                </w:p>
              </w:tc>
              <w:tc>
                <w:tcPr>
                  <w:tcW w:w="572"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考核目标</w:t>
                  </w:r>
                </w:p>
              </w:tc>
              <w:tc>
                <w:tcPr>
                  <w:tcW w:w="1387" w:type="dxa"/>
                  <w:gridSpan w:val="2"/>
                  <w:tcBorders>
                    <w:tl2br w:val="nil"/>
                    <w:tr2bl w:val="nil"/>
                  </w:tcBorders>
                  <w:shd w:val="clear" w:color="auto" w:fill="auto"/>
                  <w:vAlign w:val="center"/>
                </w:tcPr>
                <w:p>
                  <w:pPr>
                    <w:spacing w:line="360" w:lineRule="exact"/>
                    <w:jc w:val="center"/>
                    <w:rPr>
                      <w:szCs w:val="21"/>
                    </w:rPr>
                  </w:pPr>
                  <w:r>
                    <w:rPr>
                      <w:rFonts w:hint="eastAsia" w:cs="宋体"/>
                      <w:szCs w:val="21"/>
                      <w:lang w:bidi="ar"/>
                    </w:rPr>
                    <w:t>水质类别</w:t>
                  </w:r>
                </w:p>
              </w:tc>
              <w:tc>
                <w:tcPr>
                  <w:tcW w:w="745"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同比水质变化情况</w:t>
                  </w:r>
                </w:p>
              </w:tc>
              <w:tc>
                <w:tcPr>
                  <w:tcW w:w="2036"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主要污染物指标浓度（超过考核目标倍数）</w:t>
                  </w:r>
                </w:p>
              </w:tc>
              <w:tc>
                <w:tcPr>
                  <w:tcW w:w="653" w:type="dxa"/>
                  <w:vMerge w:val="restart"/>
                  <w:tcBorders>
                    <w:tl2br w:val="nil"/>
                    <w:tr2bl w:val="nil"/>
                  </w:tcBorders>
                  <w:shd w:val="clear" w:color="auto" w:fill="auto"/>
                  <w:vAlign w:val="center"/>
                </w:tcPr>
                <w:p>
                  <w:pPr>
                    <w:spacing w:line="360" w:lineRule="exact"/>
                    <w:jc w:val="center"/>
                    <w:rPr>
                      <w:szCs w:val="21"/>
                    </w:rPr>
                  </w:pPr>
                  <w:r>
                    <w:rPr>
                      <w:rFonts w:hint="eastAsia" w:cs="宋体"/>
                      <w:szCs w:val="21"/>
                      <w:lang w:bidi="ar"/>
                    </w:rPr>
                    <w:t>是否本底超标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70"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c>
                <w:tcPr>
                  <w:tcW w:w="563"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c>
                <w:tcPr>
                  <w:tcW w:w="563"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c>
                <w:tcPr>
                  <w:tcW w:w="1294"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c>
                <w:tcPr>
                  <w:tcW w:w="572"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c>
                <w:tcPr>
                  <w:tcW w:w="691" w:type="dxa"/>
                  <w:tcBorders>
                    <w:tl2br w:val="nil"/>
                    <w:tr2bl w:val="nil"/>
                  </w:tcBorders>
                  <w:shd w:val="clear" w:color="auto" w:fill="auto"/>
                  <w:vAlign w:val="center"/>
                </w:tcPr>
                <w:p>
                  <w:pPr>
                    <w:spacing w:line="360" w:lineRule="exact"/>
                    <w:jc w:val="center"/>
                    <w:rPr>
                      <w:szCs w:val="21"/>
                    </w:rPr>
                  </w:pPr>
                  <w:r>
                    <w:rPr>
                      <w:szCs w:val="21"/>
                      <w:lang w:bidi="ar"/>
                    </w:rPr>
                    <w:t>2021</w:t>
                  </w:r>
                  <w:r>
                    <w:rPr>
                      <w:rFonts w:hint="eastAsia" w:cs="宋体"/>
                      <w:szCs w:val="21"/>
                      <w:lang w:bidi="ar"/>
                    </w:rPr>
                    <w:t>年</w:t>
                  </w:r>
                </w:p>
              </w:tc>
              <w:tc>
                <w:tcPr>
                  <w:tcW w:w="696" w:type="dxa"/>
                  <w:tcBorders>
                    <w:tl2br w:val="nil"/>
                    <w:tr2bl w:val="nil"/>
                  </w:tcBorders>
                  <w:shd w:val="clear" w:color="auto" w:fill="auto"/>
                  <w:vAlign w:val="center"/>
                </w:tcPr>
                <w:p>
                  <w:pPr>
                    <w:spacing w:line="360" w:lineRule="exact"/>
                    <w:jc w:val="center"/>
                    <w:rPr>
                      <w:szCs w:val="21"/>
                    </w:rPr>
                  </w:pPr>
                  <w:r>
                    <w:rPr>
                      <w:szCs w:val="21"/>
                      <w:lang w:bidi="ar"/>
                    </w:rPr>
                    <w:t>2020</w:t>
                  </w:r>
                  <w:r>
                    <w:rPr>
                      <w:rFonts w:hint="eastAsia" w:cs="宋体"/>
                      <w:szCs w:val="21"/>
                      <w:lang w:bidi="ar"/>
                    </w:rPr>
                    <w:t>年</w:t>
                  </w:r>
                </w:p>
              </w:tc>
              <w:tc>
                <w:tcPr>
                  <w:tcW w:w="745"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c>
                <w:tcPr>
                  <w:tcW w:w="2036"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c>
                <w:tcPr>
                  <w:tcW w:w="653" w:type="dxa"/>
                  <w:vMerge w:val="continue"/>
                  <w:tcBorders>
                    <w:tl2br w:val="nil"/>
                    <w:tr2bl w:val="nil"/>
                  </w:tcBorders>
                  <w:shd w:val="clear" w:color="auto" w:fill="auto"/>
                  <w:vAlign w:val="center"/>
                </w:tcPr>
                <w:p>
                  <w:pPr>
                    <w:spacing w:line="360" w:lineRule="exact"/>
                    <w:rPr>
                      <w:rFonts w:ascii="等线" w:hAnsi="等线" w:eastAsia="等线" w:cs="等线"/>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dxa"/>
                  <w:tcBorders>
                    <w:tl2br w:val="nil"/>
                    <w:tr2bl w:val="nil"/>
                  </w:tcBorders>
                  <w:shd w:val="clear" w:color="auto" w:fill="auto"/>
                  <w:vAlign w:val="center"/>
                </w:tcPr>
                <w:p>
                  <w:pPr>
                    <w:spacing w:line="360" w:lineRule="exact"/>
                    <w:jc w:val="center"/>
                    <w:rPr>
                      <w:szCs w:val="21"/>
                    </w:rPr>
                  </w:pPr>
                  <w:r>
                    <w:rPr>
                      <w:szCs w:val="21"/>
                      <w:lang w:bidi="ar"/>
                    </w:rPr>
                    <w:t>1</w:t>
                  </w:r>
                </w:p>
              </w:tc>
              <w:tc>
                <w:tcPr>
                  <w:tcW w:w="563" w:type="dxa"/>
                  <w:tcBorders>
                    <w:tl2br w:val="nil"/>
                    <w:tr2bl w:val="nil"/>
                  </w:tcBorders>
                  <w:shd w:val="clear" w:color="auto" w:fill="auto"/>
                  <w:vAlign w:val="center"/>
                </w:tcPr>
                <w:p>
                  <w:pPr>
                    <w:spacing w:line="360" w:lineRule="exact"/>
                    <w:jc w:val="center"/>
                    <w:rPr>
                      <w:szCs w:val="21"/>
                    </w:rPr>
                  </w:pPr>
                  <w:r>
                    <w:rPr>
                      <w:rFonts w:hint="eastAsia"/>
                    </w:rPr>
                    <w:t>甘-宁交界</w:t>
                  </w:r>
                </w:p>
              </w:tc>
              <w:tc>
                <w:tcPr>
                  <w:tcW w:w="563" w:type="dxa"/>
                  <w:tcBorders>
                    <w:tl2br w:val="nil"/>
                    <w:tr2bl w:val="nil"/>
                  </w:tcBorders>
                  <w:shd w:val="clear" w:color="auto" w:fill="auto"/>
                  <w:vAlign w:val="center"/>
                </w:tcPr>
                <w:p>
                  <w:pPr>
                    <w:spacing w:line="360" w:lineRule="exact"/>
                    <w:jc w:val="center"/>
                    <w:rPr>
                      <w:szCs w:val="21"/>
                    </w:rPr>
                  </w:pPr>
                  <w:r>
                    <w:rPr>
                      <w:rFonts w:hint="eastAsia" w:cs="宋体"/>
                      <w:szCs w:val="21"/>
                      <w:lang w:bidi="ar"/>
                    </w:rPr>
                    <w:t>区控</w:t>
                  </w:r>
                </w:p>
              </w:tc>
              <w:tc>
                <w:tcPr>
                  <w:tcW w:w="1294" w:type="dxa"/>
                  <w:tcBorders>
                    <w:tl2br w:val="nil"/>
                    <w:tr2bl w:val="nil"/>
                  </w:tcBorders>
                  <w:shd w:val="clear" w:color="auto" w:fill="auto"/>
                  <w:vAlign w:val="center"/>
                </w:tcPr>
                <w:p>
                  <w:pPr>
                    <w:spacing w:line="360" w:lineRule="exact"/>
                    <w:jc w:val="center"/>
                    <w:rPr>
                      <w:rFonts w:hint="eastAsia" w:eastAsia="宋体"/>
                      <w:szCs w:val="21"/>
                      <w:lang w:eastAsia="zh-CN"/>
                    </w:rPr>
                  </w:pPr>
                  <w:r>
                    <w:rPr>
                      <w:rFonts w:hint="eastAsia" w:cs="宋体"/>
                      <w:szCs w:val="21"/>
                      <w:lang w:bidi="ar"/>
                    </w:rPr>
                    <w:t>甘肃-宁夏回族自治区</w:t>
                  </w:r>
                  <w:r>
                    <w:rPr>
                      <w:rFonts w:hint="eastAsia" w:cs="宋体"/>
                      <w:szCs w:val="21"/>
                      <w:lang w:eastAsia="zh-CN" w:bidi="ar"/>
                    </w:rPr>
                    <w:t>界</w:t>
                  </w:r>
                </w:p>
              </w:tc>
              <w:tc>
                <w:tcPr>
                  <w:tcW w:w="572" w:type="dxa"/>
                  <w:tcBorders>
                    <w:tl2br w:val="nil"/>
                    <w:tr2bl w:val="nil"/>
                  </w:tcBorders>
                  <w:shd w:val="clear" w:color="auto" w:fill="auto"/>
                  <w:vAlign w:val="center"/>
                </w:tcPr>
                <w:p>
                  <w:pPr>
                    <w:spacing w:line="360" w:lineRule="exact"/>
                    <w:jc w:val="center"/>
                    <w:rPr>
                      <w:szCs w:val="21"/>
                    </w:rPr>
                  </w:pPr>
                  <w:r>
                    <w:rPr>
                      <w:szCs w:val="21"/>
                      <w:lang w:bidi="ar"/>
                    </w:rPr>
                    <w:fldChar w:fldCharType="begin"/>
                  </w:r>
                  <w:r>
                    <w:rPr>
                      <w:szCs w:val="21"/>
                      <w:lang w:bidi="ar"/>
                    </w:rPr>
                    <w:instrText xml:space="preserve"> = 4 \* ROMAN </w:instrText>
                  </w:r>
                  <w:r>
                    <w:rPr>
                      <w:szCs w:val="21"/>
                      <w:lang w:bidi="ar"/>
                    </w:rPr>
                    <w:fldChar w:fldCharType="separate"/>
                  </w:r>
                  <w:r>
                    <w:rPr>
                      <w:szCs w:val="21"/>
                      <w:lang w:bidi="ar"/>
                    </w:rPr>
                    <w:t>V</w:t>
                  </w:r>
                  <w:r>
                    <w:rPr>
                      <w:szCs w:val="21"/>
                      <w:lang w:bidi="ar"/>
                    </w:rPr>
                    <w:fldChar w:fldCharType="end"/>
                  </w:r>
                  <w:r>
                    <w:rPr>
                      <w:rFonts w:hint="eastAsia" w:cs="宋体"/>
                      <w:szCs w:val="21"/>
                      <w:lang w:bidi="ar"/>
                    </w:rPr>
                    <w:t>类</w:t>
                  </w:r>
                </w:p>
              </w:tc>
              <w:tc>
                <w:tcPr>
                  <w:tcW w:w="691" w:type="dxa"/>
                  <w:tcBorders>
                    <w:tl2br w:val="nil"/>
                    <w:tr2bl w:val="nil"/>
                  </w:tcBorders>
                  <w:shd w:val="clear" w:color="auto" w:fill="auto"/>
                  <w:vAlign w:val="center"/>
                </w:tcPr>
                <w:p>
                  <w:pPr>
                    <w:spacing w:line="360" w:lineRule="exact"/>
                    <w:jc w:val="center"/>
                    <w:rPr>
                      <w:szCs w:val="21"/>
                    </w:rPr>
                  </w:pPr>
                  <w:bookmarkStart w:id="7" w:name="_Hlk122944596"/>
                  <w:r>
                    <w:rPr>
                      <w:rFonts w:hint="eastAsia" w:cs="宋体"/>
                      <w:szCs w:val="21"/>
                      <w:lang w:bidi="ar"/>
                    </w:rPr>
                    <w:t>劣</w:t>
                  </w:r>
                  <w:r>
                    <w:rPr>
                      <w:sz w:val="24"/>
                      <w:szCs w:val="22"/>
                      <w:lang w:bidi="ar"/>
                    </w:rPr>
                    <w:fldChar w:fldCharType="begin"/>
                  </w:r>
                  <w:r>
                    <w:rPr>
                      <w:szCs w:val="21"/>
                      <w:lang w:bidi="ar"/>
                    </w:rPr>
                    <w:instrText xml:space="preserve"> = 5 \* ROMAN </w:instrText>
                  </w:r>
                  <w:r>
                    <w:rPr>
                      <w:szCs w:val="21"/>
                      <w:lang w:bidi="ar"/>
                    </w:rPr>
                    <w:fldChar w:fldCharType="separate"/>
                  </w:r>
                  <w:r>
                    <w:rPr>
                      <w:szCs w:val="21"/>
                      <w:lang w:bidi="ar"/>
                    </w:rPr>
                    <w:t>V</w:t>
                  </w:r>
                  <w:r>
                    <w:rPr>
                      <w:sz w:val="24"/>
                      <w:szCs w:val="22"/>
                      <w:lang w:bidi="ar"/>
                    </w:rPr>
                    <w:fldChar w:fldCharType="end"/>
                  </w:r>
                  <w:r>
                    <w:rPr>
                      <w:rFonts w:hint="eastAsia" w:cs="宋体"/>
                      <w:szCs w:val="21"/>
                      <w:lang w:bidi="ar"/>
                    </w:rPr>
                    <w:t>类</w:t>
                  </w:r>
                  <w:bookmarkEnd w:id="7"/>
                </w:p>
              </w:tc>
              <w:tc>
                <w:tcPr>
                  <w:tcW w:w="696" w:type="dxa"/>
                  <w:tcBorders>
                    <w:tl2br w:val="nil"/>
                    <w:tr2bl w:val="nil"/>
                  </w:tcBorders>
                  <w:shd w:val="clear" w:color="auto" w:fill="auto"/>
                  <w:vAlign w:val="center"/>
                </w:tcPr>
                <w:p>
                  <w:pPr>
                    <w:spacing w:line="360" w:lineRule="exact"/>
                    <w:jc w:val="center"/>
                    <w:rPr>
                      <w:szCs w:val="21"/>
                    </w:rPr>
                  </w:pPr>
                  <w:r>
                    <w:rPr>
                      <w:rFonts w:hint="eastAsia" w:cs="宋体"/>
                      <w:szCs w:val="21"/>
                      <w:lang w:bidi="ar"/>
                    </w:rPr>
                    <w:t>劣</w:t>
                  </w:r>
                  <w:r>
                    <w:rPr>
                      <w:sz w:val="24"/>
                      <w:szCs w:val="22"/>
                      <w:lang w:bidi="ar"/>
                    </w:rPr>
                    <w:fldChar w:fldCharType="begin"/>
                  </w:r>
                  <w:r>
                    <w:rPr>
                      <w:szCs w:val="21"/>
                      <w:lang w:bidi="ar"/>
                    </w:rPr>
                    <w:instrText xml:space="preserve"> = 5 \* ROMAN </w:instrText>
                  </w:r>
                  <w:r>
                    <w:rPr>
                      <w:szCs w:val="21"/>
                      <w:lang w:bidi="ar"/>
                    </w:rPr>
                    <w:fldChar w:fldCharType="separate"/>
                  </w:r>
                  <w:r>
                    <w:rPr>
                      <w:szCs w:val="21"/>
                      <w:lang w:bidi="ar"/>
                    </w:rPr>
                    <w:t>V</w:t>
                  </w:r>
                  <w:r>
                    <w:rPr>
                      <w:sz w:val="24"/>
                      <w:szCs w:val="22"/>
                      <w:lang w:bidi="ar"/>
                    </w:rPr>
                    <w:fldChar w:fldCharType="end"/>
                  </w:r>
                  <w:r>
                    <w:rPr>
                      <w:rFonts w:hint="eastAsia" w:cs="宋体"/>
                      <w:szCs w:val="21"/>
                      <w:lang w:bidi="ar"/>
                    </w:rPr>
                    <w:t>类</w:t>
                  </w:r>
                </w:p>
              </w:tc>
              <w:tc>
                <w:tcPr>
                  <w:tcW w:w="745" w:type="dxa"/>
                  <w:tcBorders>
                    <w:tl2br w:val="nil"/>
                    <w:tr2bl w:val="nil"/>
                  </w:tcBorders>
                  <w:shd w:val="clear" w:color="auto" w:fill="auto"/>
                  <w:vAlign w:val="center"/>
                </w:tcPr>
                <w:p>
                  <w:pPr>
                    <w:spacing w:line="360" w:lineRule="exact"/>
                    <w:jc w:val="center"/>
                    <w:rPr>
                      <w:szCs w:val="21"/>
                    </w:rPr>
                  </w:pPr>
                  <w:r>
                    <w:rPr>
                      <w:rFonts w:hint="eastAsia"/>
                      <w:szCs w:val="21"/>
                    </w:rPr>
                    <w:t>无明显变化</w:t>
                  </w:r>
                </w:p>
              </w:tc>
              <w:tc>
                <w:tcPr>
                  <w:tcW w:w="2036" w:type="dxa"/>
                  <w:tcBorders>
                    <w:tl2br w:val="nil"/>
                    <w:tr2bl w:val="nil"/>
                  </w:tcBorders>
                  <w:shd w:val="clear" w:color="auto" w:fill="auto"/>
                  <w:vAlign w:val="center"/>
                </w:tcPr>
                <w:p>
                  <w:pPr>
                    <w:spacing w:line="360" w:lineRule="exact"/>
                    <w:jc w:val="center"/>
                    <w:rPr>
                      <w:szCs w:val="21"/>
                    </w:rPr>
                  </w:pPr>
                  <w:r>
                    <w:rPr>
                      <w:rFonts w:hint="eastAsia" w:cs="宋体"/>
                      <w:szCs w:val="21"/>
                      <w:lang w:bidi="ar"/>
                    </w:rPr>
                    <w:t>氟化物（</w:t>
                  </w:r>
                  <w:r>
                    <w:rPr>
                      <w:rFonts w:hint="eastAsia"/>
                      <w:szCs w:val="21"/>
                      <w:lang w:bidi="ar"/>
                    </w:rPr>
                    <w:t>2.17</w:t>
                  </w:r>
                  <w:r>
                    <w:rPr>
                      <w:szCs w:val="21"/>
                      <w:lang w:bidi="ar"/>
                    </w:rPr>
                    <w:t>/0.</w:t>
                  </w:r>
                  <w:r>
                    <w:rPr>
                      <w:rFonts w:hint="eastAsia"/>
                      <w:szCs w:val="21"/>
                      <w:lang w:bidi="ar"/>
                    </w:rPr>
                    <w:t>45</w:t>
                  </w:r>
                  <w:r>
                    <w:rPr>
                      <w:rFonts w:hint="eastAsia" w:cs="宋体"/>
                      <w:szCs w:val="21"/>
                      <w:lang w:bidi="ar"/>
                    </w:rPr>
                    <w:t>）</w:t>
                  </w:r>
                </w:p>
              </w:tc>
              <w:tc>
                <w:tcPr>
                  <w:tcW w:w="653" w:type="dxa"/>
                  <w:tcBorders>
                    <w:tl2br w:val="nil"/>
                    <w:tr2bl w:val="nil"/>
                  </w:tcBorders>
                  <w:shd w:val="clear" w:color="auto" w:fill="auto"/>
                  <w:vAlign w:val="center"/>
                </w:tcPr>
                <w:p>
                  <w:pPr>
                    <w:spacing w:line="360" w:lineRule="exact"/>
                    <w:jc w:val="center"/>
                    <w:rPr>
                      <w:szCs w:val="21"/>
                    </w:rPr>
                  </w:pPr>
                  <w:r>
                    <w:rPr>
                      <w:rFonts w:hint="eastAsia" w:cs="宋体"/>
                      <w:szCs w:val="21"/>
                      <w:lang w:bidi="ar"/>
                    </w:rPr>
                    <w:t>氟化物</w:t>
                  </w:r>
                </w:p>
              </w:tc>
            </w:tr>
          </w:tbl>
          <w:p>
            <w:pPr>
              <w:pStyle w:val="50"/>
              <w:ind w:firstLine="480"/>
            </w:pPr>
            <w:r>
              <w:rPr>
                <w:rFonts w:hint="eastAsia"/>
              </w:rPr>
              <w:t>根据《2021年宁夏生态环境质量状况》</w:t>
            </w:r>
            <w:r>
              <w:rPr>
                <w:rFonts w:hint="eastAsia"/>
                <w:lang w:val="sq-AL"/>
              </w:rPr>
              <w:t>中苦水河甘-宁交界断面</w:t>
            </w:r>
            <w:r>
              <w:rPr>
                <w:rFonts w:hint="eastAsia"/>
              </w:rPr>
              <w:t>监测数据</w:t>
            </w:r>
            <w:r>
              <w:rPr>
                <w:rFonts w:hint="eastAsia"/>
                <w:szCs w:val="22"/>
                <w:lang w:bidi="ar"/>
              </w:rPr>
              <w:t>由上表可以看出，</w:t>
            </w:r>
            <w:r>
              <w:rPr>
                <w:rFonts w:hint="eastAsia"/>
              </w:rPr>
              <w:t>苦水河甘-宁</w:t>
            </w:r>
            <w:r>
              <w:rPr>
                <w:rFonts w:hint="eastAsia" w:eastAsia="等线"/>
              </w:rPr>
              <w:t>交</w:t>
            </w:r>
            <w:r>
              <w:rPr>
                <w:rFonts w:hint="eastAsia"/>
              </w:rPr>
              <w:t>界断面</w:t>
            </w:r>
            <w:r>
              <w:rPr>
                <w:szCs w:val="22"/>
                <w:lang w:bidi="ar"/>
              </w:rPr>
              <w:t>2021</w:t>
            </w:r>
            <w:r>
              <w:rPr>
                <w:rFonts w:hint="eastAsia"/>
                <w:szCs w:val="22"/>
                <w:lang w:bidi="ar"/>
              </w:rPr>
              <w:t>年水质类别为劣</w:t>
            </w:r>
            <w:r>
              <w:rPr>
                <w:szCs w:val="22"/>
                <w:lang w:bidi="ar"/>
              </w:rPr>
              <w:t>V</w:t>
            </w:r>
            <w:r>
              <w:rPr>
                <w:rFonts w:hint="eastAsia"/>
                <w:szCs w:val="22"/>
                <w:lang w:bidi="ar"/>
              </w:rPr>
              <w:t>类，主要污染指标为氟化物，水质无明显变化。</w:t>
            </w:r>
            <w:r>
              <w:rPr>
                <w:rFonts w:hint="eastAsia"/>
              </w:rPr>
              <w:t>氟化物超标原因主要为地质影响。</w:t>
            </w:r>
          </w:p>
          <w:p>
            <w:pPr>
              <w:pStyle w:val="50"/>
              <w:ind w:firstLine="482"/>
              <w:rPr>
                <w:b/>
                <w:bCs/>
              </w:rPr>
            </w:pPr>
            <w:r>
              <w:rPr>
                <w:rFonts w:hint="eastAsia"/>
                <w:b/>
                <w:bCs/>
              </w:rPr>
              <w:t>4、声环境质量现状</w:t>
            </w:r>
          </w:p>
          <w:p>
            <w:pPr>
              <w:pStyle w:val="50"/>
              <w:ind w:firstLine="480"/>
            </w:pPr>
            <w:r>
              <w:rPr>
                <w:rFonts w:hint="eastAsia"/>
              </w:rPr>
              <w:t>根据《关于印发《建设项目环境影响报告表》内容、格式及编制技术指南的通知环办环评〔2020〕33号》生态影响类报告表生态环境现状编制技术指南，固定声源环境质量现状监测参照《建设项目环境影响报告表 编制技术指南（污染影响类）》（试行）相关规定开展补充监测，厂界外周边50米范围内存在声环境保护目标的建设项目，应监测保护目标声环境质量现状并评价达标情况，本项目周边50米范围内不存在声环境保护目标，不需进行声环境质量现状监测。</w:t>
            </w:r>
          </w:p>
          <w:p>
            <w:pPr>
              <w:pStyle w:val="50"/>
              <w:ind w:firstLine="482"/>
              <w:rPr>
                <w:b/>
                <w:bCs/>
              </w:rPr>
            </w:pPr>
            <w:r>
              <w:rPr>
                <w:rFonts w:hint="eastAsia"/>
                <w:b/>
                <w:bCs/>
              </w:rPr>
              <w:t>5、地下水环境质量现状</w:t>
            </w:r>
          </w:p>
          <w:p>
            <w:pPr>
              <w:pStyle w:val="50"/>
              <w:ind w:firstLine="480"/>
            </w:pPr>
            <w:r>
              <w:rPr>
                <w:rFonts w:hint="eastAsia"/>
              </w:rPr>
              <w:t>本项目为白云岩矿开采项目，属于土砂石开采，本次评价仅包括露天开采部分，根据《环境影响评价技术导则•地下水》（HJ610-2016）附录A 确定本项目所属的地下水环境影响评价项目类别为Ⅳ类，不需要开展地下水评价工作。</w:t>
            </w:r>
          </w:p>
          <w:p>
            <w:pPr>
              <w:pStyle w:val="50"/>
              <w:ind w:firstLine="482"/>
              <w:rPr>
                <w:b/>
                <w:bCs/>
              </w:rPr>
            </w:pPr>
            <w:r>
              <w:rPr>
                <w:rFonts w:hint="eastAsia"/>
                <w:b/>
                <w:bCs/>
              </w:rPr>
              <w:t>6、土壤环境质量现状</w:t>
            </w:r>
          </w:p>
          <w:p>
            <w:pPr>
              <w:pStyle w:val="50"/>
              <w:ind w:firstLine="480"/>
              <w:rPr>
                <w:kern w:val="1"/>
                <w:szCs w:val="24"/>
              </w:rPr>
            </w:pPr>
            <w:r>
              <w:rPr>
                <w:rFonts w:hint="eastAsia"/>
                <w:kern w:val="1"/>
                <w:szCs w:val="24"/>
              </w:rPr>
              <w:t>本项目属于生态、污染影响型项目，根据《环境影响评价技术导则 土壤环境》（HJ964-2018）附录A，本项目采矿部分属于采矿业，为Ⅲ类项目。生态影响型建设项目所在地土壤环境敏感程度分为敏感、较敏感、不敏感，判别依据见表</w:t>
            </w:r>
            <w:r>
              <w:rPr>
                <w:kern w:val="1"/>
                <w:szCs w:val="24"/>
              </w:rPr>
              <w:t>26</w:t>
            </w:r>
            <w:r>
              <w:rPr>
                <w:rFonts w:hint="eastAsia"/>
                <w:kern w:val="1"/>
                <w:szCs w:val="24"/>
              </w:rPr>
              <w:t>，同一建设项目涉及两个或两个以上场地或地区，应分别判定其敏感程度；产生两种或两种以上生态影响后果的，敏感程度按相对最高级别判定。</w:t>
            </w:r>
          </w:p>
          <w:p>
            <w:pPr>
              <w:pStyle w:val="50"/>
              <w:numPr>
                <w:ilvl w:val="0"/>
                <w:numId w:val="2"/>
              </w:numPr>
              <w:snapToGrid w:val="0"/>
              <w:spacing w:line="240" w:lineRule="auto"/>
              <w:ind w:left="420" w:firstLineChars="0"/>
              <w:jc w:val="center"/>
              <w:rPr>
                <w:b/>
                <w:bCs/>
              </w:rPr>
            </w:pPr>
            <w:r>
              <w:rPr>
                <w:rFonts w:hint="eastAsia"/>
                <w:kern w:val="1"/>
                <w:szCs w:val="24"/>
              </w:rPr>
              <w:t xml:space="preserve"> </w:t>
            </w:r>
            <w:r>
              <w:rPr>
                <w:rFonts w:hint="eastAsia"/>
                <w:b/>
                <w:bCs/>
              </w:rPr>
              <w:t>生态影响型敏感程度分级表</w:t>
            </w:r>
          </w:p>
          <w:tbl>
            <w:tblPr>
              <w:tblStyle w:val="23"/>
              <w:tblW w:w="821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44"/>
              <w:gridCol w:w="5593"/>
              <w:gridCol w:w="992"/>
              <w:gridCol w:w="98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44" w:type="dxa"/>
                  <w:vMerge w:val="restart"/>
                  <w:shd w:val="clear" w:color="auto" w:fill="auto"/>
                  <w:vAlign w:val="center"/>
                </w:tcPr>
                <w:p>
                  <w:pPr>
                    <w:pStyle w:val="50"/>
                    <w:snapToGrid w:val="0"/>
                    <w:spacing w:line="360" w:lineRule="exact"/>
                    <w:ind w:firstLine="0" w:firstLineChars="0"/>
                    <w:jc w:val="center"/>
                    <w:rPr>
                      <w:b/>
                      <w:bCs/>
                      <w:sz w:val="21"/>
                    </w:rPr>
                  </w:pPr>
                  <w:r>
                    <w:rPr>
                      <w:rFonts w:hint="eastAsia"/>
                      <w:b/>
                      <w:bCs/>
                      <w:sz w:val="21"/>
                    </w:rPr>
                    <w:t>敏感程度</w:t>
                  </w:r>
                </w:p>
              </w:tc>
              <w:tc>
                <w:tcPr>
                  <w:tcW w:w="7570" w:type="dxa"/>
                  <w:gridSpan w:val="3"/>
                  <w:shd w:val="clear" w:color="auto" w:fill="auto"/>
                  <w:vAlign w:val="center"/>
                </w:tcPr>
                <w:p>
                  <w:pPr>
                    <w:pStyle w:val="50"/>
                    <w:snapToGrid w:val="0"/>
                    <w:spacing w:line="360" w:lineRule="exact"/>
                    <w:ind w:firstLine="0" w:firstLineChars="0"/>
                    <w:jc w:val="center"/>
                    <w:rPr>
                      <w:b/>
                      <w:bCs/>
                      <w:sz w:val="21"/>
                    </w:rPr>
                  </w:pPr>
                  <w:r>
                    <w:rPr>
                      <w:rFonts w:hint="eastAsia"/>
                      <w:b/>
                      <w:bCs/>
                      <w:sz w:val="21"/>
                    </w:rPr>
                    <w:t>判别依据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44" w:type="dxa"/>
                  <w:vMerge w:val="continue"/>
                  <w:shd w:val="clear" w:color="auto" w:fill="auto"/>
                  <w:vAlign w:val="center"/>
                </w:tcPr>
                <w:p>
                  <w:pPr>
                    <w:pStyle w:val="50"/>
                    <w:snapToGrid w:val="0"/>
                    <w:spacing w:line="360" w:lineRule="exact"/>
                    <w:ind w:firstLine="0" w:firstLineChars="0"/>
                    <w:jc w:val="center"/>
                    <w:rPr>
                      <w:b/>
                      <w:bCs/>
                      <w:sz w:val="21"/>
                    </w:rPr>
                  </w:pPr>
                </w:p>
              </w:tc>
              <w:tc>
                <w:tcPr>
                  <w:tcW w:w="5593"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盐化</w:t>
                  </w:r>
                </w:p>
              </w:tc>
              <w:tc>
                <w:tcPr>
                  <w:tcW w:w="992"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酸化</w:t>
                  </w:r>
                </w:p>
              </w:tc>
              <w:tc>
                <w:tcPr>
                  <w:tcW w:w="985"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碱化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44" w:type="dxa"/>
                  <w:shd w:val="clear" w:color="auto" w:fill="auto"/>
                  <w:vAlign w:val="center"/>
                </w:tcPr>
                <w:p>
                  <w:pPr>
                    <w:pStyle w:val="50"/>
                    <w:snapToGrid w:val="0"/>
                    <w:spacing w:line="360" w:lineRule="exact"/>
                    <w:ind w:firstLine="0" w:firstLineChars="0"/>
                    <w:jc w:val="center"/>
                    <w:rPr>
                      <w:sz w:val="21"/>
                    </w:rPr>
                  </w:pPr>
                  <w:r>
                    <w:rPr>
                      <w:rFonts w:hint="eastAsia"/>
                      <w:sz w:val="21"/>
                    </w:rPr>
                    <w:t>敏感</w:t>
                  </w:r>
                </w:p>
              </w:tc>
              <w:tc>
                <w:tcPr>
                  <w:tcW w:w="5593" w:type="dxa"/>
                  <w:shd w:val="clear" w:color="auto" w:fill="auto"/>
                  <w:vAlign w:val="center"/>
                </w:tcPr>
                <w:p>
                  <w:pPr>
                    <w:pStyle w:val="50"/>
                    <w:snapToGrid w:val="0"/>
                    <w:spacing w:line="360" w:lineRule="exact"/>
                    <w:ind w:firstLine="0" w:firstLineChars="0"/>
                    <w:jc w:val="center"/>
                    <w:rPr>
                      <w:sz w:val="21"/>
                    </w:rPr>
                  </w:pPr>
                  <w:r>
                    <w:rPr>
                      <w:rFonts w:hint="eastAsia"/>
                      <w:sz w:val="21"/>
                    </w:rPr>
                    <w:t>建设项目所在地干燥度</w:t>
                  </w:r>
                  <w:r>
                    <w:rPr>
                      <w:rFonts w:hint="eastAsia"/>
                      <w:sz w:val="21"/>
                      <w:vertAlign w:val="superscript"/>
                    </w:rPr>
                    <w:t>a</w:t>
                  </w:r>
                  <w:r>
                    <w:rPr>
                      <w:rFonts w:hint="eastAsia"/>
                      <w:sz w:val="21"/>
                    </w:rPr>
                    <w:t>＞2.5且常年地下水位平均埋深＜1.5 m的地势平坦区域；或土壤含盐量＞4g/kg的区域</w:t>
                  </w:r>
                </w:p>
              </w:tc>
              <w:tc>
                <w:tcPr>
                  <w:tcW w:w="992" w:type="dxa"/>
                  <w:shd w:val="clear" w:color="auto" w:fill="auto"/>
                  <w:vAlign w:val="center"/>
                </w:tcPr>
                <w:p>
                  <w:pPr>
                    <w:pStyle w:val="50"/>
                    <w:snapToGrid w:val="0"/>
                    <w:spacing w:line="360" w:lineRule="exact"/>
                    <w:ind w:firstLine="0" w:firstLineChars="0"/>
                    <w:jc w:val="center"/>
                    <w:rPr>
                      <w:sz w:val="21"/>
                    </w:rPr>
                  </w:pPr>
                  <w:r>
                    <w:rPr>
                      <w:rFonts w:hint="eastAsia"/>
                      <w:sz w:val="21"/>
                    </w:rPr>
                    <w:t>pH≤4.5</w:t>
                  </w:r>
                </w:p>
              </w:tc>
              <w:tc>
                <w:tcPr>
                  <w:tcW w:w="985" w:type="dxa"/>
                  <w:shd w:val="clear" w:color="auto" w:fill="auto"/>
                  <w:vAlign w:val="center"/>
                </w:tcPr>
                <w:p>
                  <w:pPr>
                    <w:pStyle w:val="50"/>
                    <w:snapToGrid w:val="0"/>
                    <w:spacing w:line="360" w:lineRule="exact"/>
                    <w:ind w:firstLine="0" w:firstLineChars="0"/>
                    <w:jc w:val="center"/>
                    <w:rPr>
                      <w:sz w:val="21"/>
                    </w:rPr>
                  </w:pPr>
                  <w:r>
                    <w:rPr>
                      <w:rFonts w:hint="eastAsia"/>
                      <w:sz w:val="21"/>
                    </w:rPr>
                    <w:t>pH≥9.0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644" w:type="dxa"/>
                  <w:shd w:val="clear" w:color="auto" w:fill="auto"/>
                  <w:vAlign w:val="center"/>
                </w:tcPr>
                <w:p>
                  <w:pPr>
                    <w:pStyle w:val="50"/>
                    <w:snapToGrid w:val="0"/>
                    <w:spacing w:line="360" w:lineRule="exact"/>
                    <w:ind w:firstLine="0" w:firstLineChars="0"/>
                    <w:jc w:val="center"/>
                    <w:rPr>
                      <w:sz w:val="21"/>
                    </w:rPr>
                  </w:pPr>
                  <w:r>
                    <w:rPr>
                      <w:rFonts w:hint="eastAsia"/>
                      <w:sz w:val="21"/>
                    </w:rPr>
                    <w:t>较敏感</w:t>
                  </w:r>
                </w:p>
              </w:tc>
              <w:tc>
                <w:tcPr>
                  <w:tcW w:w="5593" w:type="dxa"/>
                  <w:shd w:val="clear" w:color="auto" w:fill="auto"/>
                  <w:vAlign w:val="center"/>
                </w:tcPr>
                <w:p>
                  <w:pPr>
                    <w:pStyle w:val="50"/>
                    <w:snapToGrid w:val="0"/>
                    <w:spacing w:line="360" w:lineRule="exact"/>
                    <w:ind w:firstLine="0" w:firstLineChars="0"/>
                    <w:jc w:val="center"/>
                    <w:rPr>
                      <w:sz w:val="21"/>
                    </w:rPr>
                  </w:pPr>
                  <w:r>
                    <w:rPr>
                      <w:rFonts w:hint="eastAsia"/>
                      <w:sz w:val="21"/>
                    </w:rPr>
                    <w:t>建设项目所在地干燥度＞2.5且常年地下水位平均埋深≥1.5m的，或1.8＜干燥度≤2.5且常年地下水位平均埋深＜1.8m的地势平坦区域；建设项目所在地干燥度＞2.5或常年地下水位平均埋深＜1.5 m的平原区；或2g/kg＜土壤含盐量≤4g/kg的区域</w:t>
                  </w:r>
                </w:p>
              </w:tc>
              <w:tc>
                <w:tcPr>
                  <w:tcW w:w="992" w:type="dxa"/>
                  <w:shd w:val="clear" w:color="auto" w:fill="auto"/>
                  <w:vAlign w:val="center"/>
                </w:tcPr>
                <w:p>
                  <w:pPr>
                    <w:pStyle w:val="50"/>
                    <w:snapToGrid w:val="0"/>
                    <w:spacing w:line="360" w:lineRule="exact"/>
                    <w:ind w:firstLine="0" w:firstLineChars="0"/>
                    <w:jc w:val="center"/>
                    <w:rPr>
                      <w:sz w:val="21"/>
                    </w:rPr>
                  </w:pPr>
                  <w:r>
                    <w:rPr>
                      <w:rFonts w:hint="eastAsia"/>
                      <w:sz w:val="21"/>
                    </w:rPr>
                    <w:t>4.5＜pH≤5.5</w:t>
                  </w:r>
                </w:p>
              </w:tc>
              <w:tc>
                <w:tcPr>
                  <w:tcW w:w="985" w:type="dxa"/>
                  <w:shd w:val="clear" w:color="auto" w:fill="auto"/>
                  <w:vAlign w:val="center"/>
                </w:tcPr>
                <w:p>
                  <w:pPr>
                    <w:pStyle w:val="50"/>
                    <w:snapToGrid w:val="0"/>
                    <w:spacing w:line="360" w:lineRule="exact"/>
                    <w:ind w:firstLine="0" w:firstLineChars="0"/>
                    <w:jc w:val="center"/>
                    <w:rPr>
                      <w:sz w:val="21"/>
                    </w:rPr>
                  </w:pPr>
                  <w:r>
                    <w:rPr>
                      <w:rFonts w:hint="eastAsia"/>
                      <w:sz w:val="21"/>
                    </w:rPr>
                    <w:t>8.5≤pH＜9.0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44" w:type="dxa"/>
                  <w:shd w:val="clear" w:color="auto" w:fill="auto"/>
                  <w:vAlign w:val="center"/>
                </w:tcPr>
                <w:p>
                  <w:pPr>
                    <w:pStyle w:val="50"/>
                    <w:snapToGrid w:val="0"/>
                    <w:spacing w:line="360" w:lineRule="exact"/>
                    <w:ind w:firstLine="0" w:firstLineChars="0"/>
                    <w:jc w:val="center"/>
                    <w:rPr>
                      <w:sz w:val="21"/>
                    </w:rPr>
                  </w:pPr>
                  <w:r>
                    <w:rPr>
                      <w:rFonts w:hint="eastAsia"/>
                      <w:sz w:val="21"/>
                    </w:rPr>
                    <w:t>不敏感</w:t>
                  </w:r>
                </w:p>
              </w:tc>
              <w:tc>
                <w:tcPr>
                  <w:tcW w:w="5593" w:type="dxa"/>
                  <w:shd w:val="clear" w:color="auto" w:fill="auto"/>
                  <w:vAlign w:val="center"/>
                </w:tcPr>
                <w:p>
                  <w:pPr>
                    <w:pStyle w:val="50"/>
                    <w:snapToGrid w:val="0"/>
                    <w:spacing w:line="360" w:lineRule="exact"/>
                    <w:ind w:firstLine="0" w:firstLineChars="0"/>
                    <w:jc w:val="center"/>
                    <w:rPr>
                      <w:sz w:val="21"/>
                    </w:rPr>
                  </w:pPr>
                  <w:r>
                    <w:rPr>
                      <w:rFonts w:hint="eastAsia"/>
                      <w:sz w:val="21"/>
                    </w:rPr>
                    <w:t>其他</w:t>
                  </w:r>
                </w:p>
              </w:tc>
              <w:tc>
                <w:tcPr>
                  <w:tcW w:w="1977" w:type="dxa"/>
                  <w:gridSpan w:val="2"/>
                  <w:shd w:val="clear" w:color="auto" w:fill="auto"/>
                  <w:vAlign w:val="center"/>
                </w:tcPr>
                <w:p>
                  <w:pPr>
                    <w:pStyle w:val="50"/>
                    <w:snapToGrid w:val="0"/>
                    <w:spacing w:line="360" w:lineRule="exact"/>
                    <w:ind w:firstLine="0" w:firstLineChars="0"/>
                    <w:jc w:val="center"/>
                    <w:rPr>
                      <w:sz w:val="21"/>
                    </w:rPr>
                  </w:pPr>
                  <w:r>
                    <w:rPr>
                      <w:rFonts w:hint="eastAsia"/>
                      <w:sz w:val="21"/>
                    </w:rPr>
                    <w:t>5.5＜pH＜8.5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214" w:type="dxa"/>
                  <w:gridSpan w:val="4"/>
                  <w:shd w:val="clear" w:color="auto" w:fill="auto"/>
                  <w:vAlign w:val="center"/>
                </w:tcPr>
                <w:p>
                  <w:pPr>
                    <w:pStyle w:val="50"/>
                    <w:snapToGrid w:val="0"/>
                    <w:spacing w:line="360" w:lineRule="exact"/>
                    <w:ind w:firstLine="0" w:firstLineChars="0"/>
                    <w:jc w:val="center"/>
                    <w:rPr>
                      <w:sz w:val="21"/>
                    </w:rPr>
                  </w:pPr>
                  <w:r>
                    <w:rPr>
                      <w:rFonts w:hint="eastAsia"/>
                      <w:sz w:val="21"/>
                      <w:vertAlign w:val="superscript"/>
                    </w:rPr>
                    <w:t>a</w:t>
                  </w:r>
                  <w:r>
                    <w:rPr>
                      <w:rFonts w:hint="eastAsia"/>
                      <w:sz w:val="21"/>
                    </w:rPr>
                    <w:t>是指采用E601观测的多年平均水面蒸发量与降水量的比值，即蒸降比值。</w:t>
                  </w:r>
                </w:p>
              </w:tc>
            </w:tr>
          </w:tbl>
          <w:p>
            <w:pPr>
              <w:pStyle w:val="47"/>
              <w:ind w:firstLine="480"/>
              <w:rPr>
                <w:rFonts w:hint="eastAsia"/>
                <w:color w:val="auto"/>
              </w:rPr>
            </w:pPr>
            <w:r>
              <w:rPr>
                <w:rFonts w:hint="eastAsia"/>
                <w:color w:val="auto"/>
              </w:rPr>
              <w:t>根据识别的土壤环境影响评价项目类别与敏感程度分级结果划分评价工作等 级，详见下表。</w:t>
            </w:r>
          </w:p>
          <w:p>
            <w:pPr>
              <w:pStyle w:val="50"/>
              <w:numPr>
                <w:ilvl w:val="0"/>
                <w:numId w:val="2"/>
              </w:numPr>
              <w:snapToGrid w:val="0"/>
              <w:spacing w:line="240" w:lineRule="auto"/>
              <w:ind w:left="420" w:firstLineChars="0"/>
              <w:jc w:val="center"/>
              <w:rPr>
                <w:b/>
                <w:bCs/>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534670</wp:posOffset>
                      </wp:positionH>
                      <wp:positionV relativeFrom="paragraph">
                        <wp:posOffset>189865</wp:posOffset>
                      </wp:positionV>
                      <wp:extent cx="793115" cy="706120"/>
                      <wp:effectExtent l="0" t="0" r="26035" b="36830"/>
                      <wp:wrapNone/>
                      <wp:docPr id="71" name="直接连接符 1"/>
                      <wp:cNvGraphicFramePr/>
                      <a:graphic xmlns:a="http://schemas.openxmlformats.org/drawingml/2006/main">
                        <a:graphicData uri="http://schemas.microsoft.com/office/word/2010/wordprocessingShape">
                          <wps:wsp>
                            <wps:cNvCnPr/>
                            <wps:spPr>
                              <a:xfrm>
                                <a:off x="0" y="0"/>
                                <a:ext cx="793115" cy="7061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接连接符 1" o:spid="_x0000_s1026" o:spt="20" style="position:absolute;left:0pt;margin-left:42.1pt;margin-top:14.95pt;height:55.6pt;width:62.45pt;z-index:251672576;mso-width-relative:page;mso-height-relative:page;" filled="f" stroked="t" coordsize="21600,21600" o:gfxdata="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EMOm9cAAAAJAQAADwAAAAAAAAABACAAAAAiAAAAZHJzL2Rvd25yZXYu&#10;eG1sUEsBAhQAFAAAAAgAh07iQCy2cZP8AQAA2AMAAA4AAAAAAAAAAQAgAAAAJgEAAGRycy9lMm9E&#10;b2MueG1sUEsFBgAAAAAGAAYAWQEAAJQFAAAAAA==&#10;">
                      <v:fill on="f" focussize="0,0"/>
                      <v:stroke weight="0.5pt" color="#000000" miterlimit="8" joinstyle="miter"/>
                      <v:imagedata o:title=""/>
                      <o:lock v:ext="edit" aspectratio="f"/>
                    </v:line>
                  </w:pict>
                </mc:Fallback>
              </mc:AlternateContent>
            </w:r>
            <w:r>
              <w:rPr>
                <w:rFonts w:hint="eastAsia"/>
                <w:b/>
                <w:bCs/>
              </w:rPr>
              <w:t>生态影响型评价工作等级划分表</w:t>
            </w:r>
          </w:p>
          <w:tbl>
            <w:tblPr>
              <w:tblStyle w:val="23"/>
              <w:tblW w:w="8283"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70"/>
              <w:gridCol w:w="2071"/>
              <w:gridCol w:w="2071"/>
              <w:gridCol w:w="20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6" w:hRule="atLeast"/>
              </w:trPr>
              <w:tc>
                <w:tcPr>
                  <w:tcW w:w="2070"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 xml:space="preserve">         项目类别</w:t>
                  </w:r>
                </w:p>
                <w:p>
                  <w:pPr>
                    <w:pStyle w:val="50"/>
                    <w:snapToGrid w:val="0"/>
                    <w:spacing w:line="360" w:lineRule="exact"/>
                    <w:ind w:firstLine="0" w:firstLineChars="0"/>
                    <w:rPr>
                      <w:b/>
                      <w:bCs/>
                      <w:sz w:val="21"/>
                    </w:rPr>
                  </w:pPr>
                  <w:r>
                    <w:rPr>
                      <w:rFonts w:hint="eastAsia"/>
                    </w:rPr>
                    <mc:AlternateContent>
                      <mc:Choice Requires="wps">
                        <w:drawing>
                          <wp:anchor distT="0" distB="0" distL="114300" distR="114300" simplePos="0" relativeHeight="251673600" behindDoc="0" locked="0" layoutInCell="1" allowOverlap="1">
                            <wp:simplePos x="0" y="0"/>
                            <wp:positionH relativeFrom="column">
                              <wp:posOffset>-41910</wp:posOffset>
                            </wp:positionH>
                            <wp:positionV relativeFrom="paragraph">
                              <wp:posOffset>165100</wp:posOffset>
                            </wp:positionV>
                            <wp:extent cx="1285240" cy="292100"/>
                            <wp:effectExtent l="0" t="0" r="29210" b="31750"/>
                            <wp:wrapNone/>
                            <wp:docPr id="70" name="直接连接符 9"/>
                            <wp:cNvGraphicFramePr/>
                            <a:graphic xmlns:a="http://schemas.openxmlformats.org/drawingml/2006/main">
                              <a:graphicData uri="http://schemas.microsoft.com/office/word/2010/wordprocessingShape">
                                <wps:wsp>
                                  <wps:cNvCnPr/>
                                  <wps:spPr>
                                    <a:xfrm>
                                      <a:off x="0" y="0"/>
                                      <a:ext cx="1285240" cy="2921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接连接符 9" o:spid="_x0000_s1026" o:spt="20" style="position:absolute;left:0pt;margin-left:-3.3pt;margin-top:13pt;height:23pt;width:101.2pt;z-index:251673600;mso-width-relative:page;mso-height-relative:page;" filled="f" stroked="t" coordsize="21600,21600" o:gfxdata="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Wa7BXWAAAACAEAAA8AAAAAAAAAAQAgAAAAIgAAAGRycy9kb3ducmV2Lnht&#10;bFBLAQIUABQAAAAIAIdO4kAQnWES+wEAANkDAAAOAAAAAAAAAAEAIAAAACUBAABkcnMvZTJvRG9j&#10;LnhtbFBLBQYAAAAABgAGAFkBAACSBQAAAAA=&#10;">
                            <v:fill on="f" focussize="0,0"/>
                            <v:stroke weight="0.5pt" color="#000000" miterlimit="8" joinstyle="miter"/>
                            <v:imagedata o:title=""/>
                            <o:lock v:ext="edit" aspectratio="f"/>
                          </v:line>
                        </w:pict>
                      </mc:Fallback>
                    </mc:AlternateContent>
                  </w:r>
                  <w:r>
                    <w:rPr>
                      <w:rFonts w:hint="eastAsia"/>
                      <w:b/>
                      <w:bCs/>
                      <w:sz w:val="21"/>
                    </w:rPr>
                    <w:t>评价工作等级</w:t>
                  </w:r>
                </w:p>
                <w:p>
                  <w:pPr>
                    <w:pStyle w:val="50"/>
                    <w:snapToGrid w:val="0"/>
                    <w:spacing w:line="360" w:lineRule="exact"/>
                    <w:ind w:firstLine="0" w:firstLineChars="0"/>
                    <w:rPr>
                      <w:b/>
                      <w:bCs/>
                      <w:sz w:val="21"/>
                    </w:rPr>
                  </w:pPr>
                  <w:r>
                    <w:rPr>
                      <w:rFonts w:hint="eastAsia"/>
                      <w:b/>
                      <w:bCs/>
                      <w:sz w:val="21"/>
                    </w:rPr>
                    <w:t>敏感程度</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Ⅰ类</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Ⅱ类</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70"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敏感</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一级</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二级</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三级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70"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较敏感</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二级</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二级</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三级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70"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不敏感</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三级</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三级</w:t>
                  </w:r>
                </w:p>
              </w:tc>
              <w:tc>
                <w:tcPr>
                  <w:tcW w:w="2071"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8283" w:type="dxa"/>
                  <w:gridSpan w:val="4"/>
                  <w:shd w:val="clear" w:color="auto" w:fill="auto"/>
                  <w:vAlign w:val="center"/>
                </w:tcPr>
                <w:p>
                  <w:pPr>
                    <w:pStyle w:val="50"/>
                    <w:snapToGrid w:val="0"/>
                    <w:spacing w:line="360" w:lineRule="exact"/>
                    <w:ind w:firstLine="0" w:firstLineChars="0"/>
                    <w:jc w:val="center"/>
                    <w:rPr>
                      <w:b/>
                      <w:bCs/>
                      <w:sz w:val="21"/>
                    </w:rPr>
                  </w:pPr>
                  <w:r>
                    <w:rPr>
                      <w:rFonts w:hint="eastAsia"/>
                      <w:b/>
                      <w:bCs/>
                      <w:sz w:val="21"/>
                    </w:rPr>
                    <w:t>注：“—”表示可不开展土壤环境影响评价工作。</w:t>
                  </w:r>
                </w:p>
              </w:tc>
            </w:tr>
          </w:tbl>
          <w:p>
            <w:pPr>
              <w:pStyle w:val="50"/>
              <w:ind w:firstLine="480"/>
              <w:rPr>
                <w:kern w:val="1"/>
                <w:szCs w:val="24"/>
              </w:rPr>
            </w:pPr>
            <w:r>
              <w:rPr>
                <w:rFonts w:hint="eastAsia"/>
                <w:kern w:val="1"/>
                <w:szCs w:val="24"/>
              </w:rPr>
              <w:t>建设项目所在地干燥度约＞2.5且常年地下水位平均埋深≥1.5m，地处青龙山矿区，不属于</w:t>
            </w:r>
            <w:r>
              <w:rPr>
                <w:rFonts w:hint="eastAsia"/>
                <w:szCs w:val="24"/>
              </w:rPr>
              <w:t>建设项目所在地干燥度＞2.5且常年地下水位平均埋深≥1.5m的的地势平坦区域，</w:t>
            </w:r>
            <w:r>
              <w:rPr>
                <w:rFonts w:hint="eastAsia"/>
                <w:kern w:val="1"/>
                <w:szCs w:val="24"/>
              </w:rPr>
              <w:t>经现场土壤检测，项目所在区域土壤全盐量为0</w:t>
            </w:r>
            <w:r>
              <w:rPr>
                <w:kern w:val="1"/>
                <w:szCs w:val="24"/>
              </w:rPr>
              <w:t>.471~0.970</w:t>
            </w:r>
            <w:r>
              <w:rPr>
                <w:rFonts w:hint="eastAsia"/>
                <w:szCs w:val="24"/>
              </w:rPr>
              <w:t>g/kg＜2g/kg</w:t>
            </w:r>
            <w:r>
              <w:rPr>
                <w:rFonts w:hint="eastAsia"/>
                <w:kern w:val="1"/>
                <w:szCs w:val="24"/>
              </w:rPr>
              <w:t>，土壤</w:t>
            </w:r>
            <w:r>
              <w:rPr>
                <w:kern w:val="1"/>
                <w:szCs w:val="24"/>
              </w:rPr>
              <w:t>PH</w:t>
            </w:r>
            <w:r>
              <w:rPr>
                <w:rFonts w:hint="eastAsia"/>
                <w:kern w:val="1"/>
                <w:szCs w:val="24"/>
              </w:rPr>
              <w:t>为8</w:t>
            </w:r>
            <w:r>
              <w:rPr>
                <w:kern w:val="1"/>
                <w:szCs w:val="24"/>
              </w:rPr>
              <w:t>.42~8.87</w:t>
            </w:r>
            <w:r>
              <w:rPr>
                <w:rFonts w:hint="eastAsia"/>
                <w:kern w:val="1"/>
                <w:szCs w:val="24"/>
              </w:rPr>
              <w:t>，5.5＜pH＜8.5，土壤环境敏感程度为不敏感。根据《环境影响评价技术导则 土壤环境》（HJ964-2018）中评价工作等级划分依据，本项目不需要开展土壤评价工作。</w:t>
            </w:r>
          </w:p>
          <w:p>
            <w:pPr>
              <w:pStyle w:val="50"/>
              <w:ind w:firstLine="480"/>
              <w:rPr>
                <w:kern w:val="1"/>
                <w:szCs w:val="24"/>
              </w:rPr>
            </w:pPr>
            <w:r>
              <w:rPr>
                <w:rFonts w:hint="eastAsia"/>
                <w:kern w:val="1"/>
                <w:szCs w:val="24"/>
              </w:rPr>
              <w:t>工业场地主要为矿石破碎，属于污染影响型项目，参照《环境影响评价技术导则 土壤环境（试行）》（</w:t>
            </w:r>
            <w:r>
              <w:rPr>
                <w:kern w:val="1"/>
                <w:szCs w:val="24"/>
              </w:rPr>
              <w:t>HJ964—2018</w:t>
            </w:r>
            <w:r>
              <w:rPr>
                <w:rFonts w:hint="eastAsia"/>
                <w:kern w:val="1"/>
                <w:szCs w:val="24"/>
              </w:rPr>
              <w:t>）附录A，属于其他行业，为</w:t>
            </w:r>
            <w:r>
              <w:rPr>
                <w:kern w:val="1"/>
                <w:szCs w:val="24"/>
              </w:rPr>
              <w:fldChar w:fldCharType="begin"/>
            </w:r>
            <w:r>
              <w:rPr>
                <w:kern w:val="1"/>
                <w:szCs w:val="24"/>
              </w:rPr>
              <w:instrText xml:space="preserve"> </w:instrText>
            </w:r>
            <w:r>
              <w:rPr>
                <w:rFonts w:hint="eastAsia"/>
                <w:kern w:val="1"/>
                <w:szCs w:val="24"/>
              </w:rPr>
              <w:instrText xml:space="preserve">= 4 \* ROMAN</w:instrText>
            </w:r>
            <w:r>
              <w:rPr>
                <w:kern w:val="1"/>
                <w:szCs w:val="24"/>
              </w:rPr>
              <w:instrText xml:space="preserve"> </w:instrText>
            </w:r>
            <w:r>
              <w:rPr>
                <w:kern w:val="1"/>
                <w:szCs w:val="24"/>
              </w:rPr>
              <w:fldChar w:fldCharType="separate"/>
            </w:r>
            <w:r>
              <w:rPr>
                <w:kern w:val="1"/>
                <w:szCs w:val="24"/>
              </w:rPr>
              <w:t>IV</w:t>
            </w:r>
            <w:r>
              <w:rPr>
                <w:kern w:val="1"/>
                <w:szCs w:val="24"/>
              </w:rPr>
              <w:fldChar w:fldCharType="end"/>
            </w:r>
            <w:r>
              <w:rPr>
                <w:rFonts w:hint="eastAsia"/>
                <w:kern w:val="1"/>
                <w:szCs w:val="24"/>
              </w:rPr>
              <w:t>项目，其中Ⅳ类建设项目可不开展土壤环境影响评价，本项目不需要开展土壤评价工作。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8" w:hRule="atLeast"/>
          <w:jc w:val="center"/>
        </w:trPr>
        <w:tc>
          <w:tcPr>
            <w:tcW w:w="577" w:type="dxa"/>
            <w:vAlign w:val="center"/>
          </w:tcPr>
          <w:p>
            <w:pPr>
              <w:adjustRightInd w:val="0"/>
              <w:snapToGrid w:val="0"/>
              <w:jc w:val="center"/>
              <w:rPr>
                <w:kern w:val="0"/>
                <w:sz w:val="24"/>
              </w:rPr>
            </w:pPr>
            <w:r>
              <w:rPr>
                <w:rFonts w:hint="eastAsia"/>
                <w:bCs/>
                <w:szCs w:val="21"/>
              </w:rPr>
              <w:t>与项目有关的原有环境污染和生态破坏问题</w:t>
            </w:r>
          </w:p>
        </w:tc>
        <w:tc>
          <w:tcPr>
            <w:tcW w:w="8529" w:type="dxa"/>
            <w:vAlign w:val="center"/>
          </w:tcPr>
          <w:p>
            <w:pPr>
              <w:pStyle w:val="63"/>
              <w:ind w:firstLine="480"/>
            </w:pPr>
            <w:r>
              <w:rPr>
                <w:rFonts w:hint="eastAsia"/>
              </w:rPr>
              <w:drawing>
                <wp:anchor distT="0" distB="0" distL="114300" distR="114300" simplePos="0" relativeHeight="251682816" behindDoc="0" locked="0" layoutInCell="1" allowOverlap="1">
                  <wp:simplePos x="0" y="0"/>
                  <wp:positionH relativeFrom="column">
                    <wp:posOffset>972820</wp:posOffset>
                  </wp:positionH>
                  <wp:positionV relativeFrom="paragraph">
                    <wp:posOffset>1623695</wp:posOffset>
                  </wp:positionV>
                  <wp:extent cx="3002915" cy="2000885"/>
                  <wp:effectExtent l="0" t="0" r="14605" b="1079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02915" cy="2000885"/>
                          </a:xfrm>
                          <a:prstGeom prst="rect">
                            <a:avLst/>
                          </a:prstGeom>
                          <a:noFill/>
                        </pic:spPr>
                      </pic:pic>
                    </a:graphicData>
                  </a:graphic>
                </wp:anchor>
              </w:drawing>
            </w:r>
            <w:r>
              <w:rPr>
                <w:rFonts w:hint="eastAsia"/>
              </w:rPr>
              <w:t>本矿区位于青龙山北段，2008年以前青龙山矿区共有数十家小矿进行开采，根据勘探报告，目前露天开采区内遗留有</w:t>
            </w:r>
            <w:r>
              <w:t>2</w:t>
            </w:r>
            <w:r>
              <w:rPr>
                <w:rFonts w:hint="eastAsia"/>
              </w:rPr>
              <w:t>条开采坑道以及因开采坑道失稳而产生的3个塌陷区，本项目闭矿期将和本项目一起进行地质修复和生态修复；矿山东南侧（12勘探线东侧）目前遗留有1处前人开采矿山时修建的工业场地，场地内遗留有数座砖砌房屋、地磅、卸矿平台等，本矿山拟建的工业场地即位于该区域。</w:t>
            </w: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2048" w:firstLineChars="850"/>
              <w:rPr>
                <w:rFonts w:hint="eastAsia"/>
                <w:b/>
                <w:bCs/>
              </w:rPr>
            </w:pPr>
          </w:p>
          <w:p>
            <w:pPr>
              <w:pStyle w:val="63"/>
              <w:ind w:firstLine="2048" w:firstLineChars="850"/>
              <w:rPr>
                <w:b/>
                <w:bCs/>
              </w:rPr>
            </w:pPr>
            <w:r>
              <w:rPr>
                <w:rFonts w:hint="eastAsia"/>
                <w:b/>
                <w:bCs/>
              </w:rPr>
              <w:t>矿区南部坑道全景（镜向南）</w:t>
            </w:r>
          </w:p>
          <w:p>
            <w:pPr>
              <w:pStyle w:val="63"/>
              <w:ind w:firstLine="480"/>
            </w:pPr>
            <w:r>
              <w:rPr>
                <w:rFonts w:hint="eastAsia"/>
              </w:rPr>
              <w:drawing>
                <wp:anchor distT="0" distB="0" distL="114300" distR="114300" simplePos="0" relativeHeight="251683840" behindDoc="0" locked="0" layoutInCell="1" allowOverlap="1">
                  <wp:simplePos x="0" y="0"/>
                  <wp:positionH relativeFrom="column">
                    <wp:posOffset>841375</wp:posOffset>
                  </wp:positionH>
                  <wp:positionV relativeFrom="paragraph">
                    <wp:posOffset>65405</wp:posOffset>
                  </wp:positionV>
                  <wp:extent cx="3698240" cy="2482850"/>
                  <wp:effectExtent l="0" t="0" r="5080"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98240" cy="2482850"/>
                          </a:xfrm>
                          <a:prstGeom prst="rect">
                            <a:avLst/>
                          </a:prstGeom>
                          <a:noFill/>
                        </pic:spPr>
                      </pic:pic>
                    </a:graphicData>
                  </a:graphic>
                </wp:anchor>
              </w:drawing>
            </w: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0" w:firstLineChars="0"/>
            </w:pPr>
          </w:p>
          <w:p>
            <w:pPr>
              <w:pStyle w:val="63"/>
              <w:ind w:firstLine="482"/>
              <w:jc w:val="center"/>
              <w:rPr>
                <w:rFonts w:hint="eastAsia"/>
                <w:b/>
                <w:bCs/>
              </w:rPr>
            </w:pPr>
          </w:p>
          <w:p>
            <w:pPr>
              <w:pStyle w:val="63"/>
              <w:ind w:firstLine="482"/>
              <w:jc w:val="center"/>
              <w:rPr>
                <w:b/>
                <w:bCs/>
              </w:rPr>
            </w:pPr>
            <w:r>
              <w:rPr>
                <w:rFonts w:hint="eastAsia"/>
                <w:b/>
                <w:bCs/>
              </w:rPr>
              <w:t>矿区北部坑道全景（镜向北）</w:t>
            </w:r>
          </w:p>
          <w:p>
            <w:pPr>
              <w:pStyle w:val="63"/>
              <w:ind w:firstLine="480"/>
            </w:pPr>
            <w:r>
              <w:rPr>
                <w:rFonts w:hint="eastAsia"/>
              </w:rPr>
              <w:drawing>
                <wp:anchor distT="0" distB="0" distL="114300" distR="114300" simplePos="0" relativeHeight="251684864" behindDoc="0" locked="0" layoutInCell="1" allowOverlap="1">
                  <wp:simplePos x="0" y="0"/>
                  <wp:positionH relativeFrom="column">
                    <wp:posOffset>858520</wp:posOffset>
                  </wp:positionH>
                  <wp:positionV relativeFrom="paragraph">
                    <wp:posOffset>146050</wp:posOffset>
                  </wp:positionV>
                  <wp:extent cx="3424555" cy="2566035"/>
                  <wp:effectExtent l="0" t="0" r="4445"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24555" cy="2566035"/>
                          </a:xfrm>
                          <a:prstGeom prst="rect">
                            <a:avLst/>
                          </a:prstGeom>
                          <a:noFill/>
                        </pic:spPr>
                      </pic:pic>
                    </a:graphicData>
                  </a:graphic>
                </wp:anchor>
              </w:drawing>
            </w: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480"/>
            </w:pPr>
          </w:p>
          <w:p>
            <w:pPr>
              <w:pStyle w:val="63"/>
              <w:ind w:firstLine="0" w:firstLineChars="0"/>
              <w:jc w:val="center"/>
              <w:rPr>
                <w:rFonts w:hint="eastAsia"/>
                <w:b/>
                <w:bCs/>
              </w:rPr>
            </w:pPr>
          </w:p>
          <w:p>
            <w:pPr>
              <w:pStyle w:val="63"/>
              <w:ind w:firstLine="0" w:firstLineChars="0"/>
              <w:jc w:val="center"/>
              <w:rPr>
                <w:b/>
                <w:bCs/>
              </w:rPr>
            </w:pPr>
            <w:r>
              <w:rPr>
                <w:rFonts w:hint="eastAsia"/>
                <w:b/>
                <w:bCs/>
              </w:rPr>
              <w:t>坑道局部近景（镜向西）</w:t>
            </w:r>
          </w:p>
          <w:p>
            <w:pPr>
              <w:pStyle w:val="63"/>
              <w:ind w:firstLine="440"/>
            </w:pPr>
            <w:r>
              <w:rPr>
                <w:rFonts w:ascii="宋体" w:hAnsi="宋体" w:cs="宋体"/>
                <w:kern w:val="0"/>
                <w:sz w:val="22"/>
                <w:szCs w:val="22"/>
              </w:rPr>
              <w:drawing>
                <wp:anchor distT="0" distB="0" distL="114300" distR="114300" simplePos="0" relativeHeight="251685888" behindDoc="0" locked="0" layoutInCell="1" allowOverlap="1">
                  <wp:simplePos x="0" y="0"/>
                  <wp:positionH relativeFrom="column">
                    <wp:posOffset>879475</wp:posOffset>
                  </wp:positionH>
                  <wp:positionV relativeFrom="paragraph">
                    <wp:posOffset>6985</wp:posOffset>
                  </wp:positionV>
                  <wp:extent cx="3435985" cy="2571750"/>
                  <wp:effectExtent l="0" t="0" r="8255"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35985" cy="2571750"/>
                          </a:xfrm>
                          <a:prstGeom prst="rect">
                            <a:avLst/>
                          </a:prstGeom>
                          <a:noFill/>
                          <a:ln>
                            <a:noFill/>
                          </a:ln>
                        </pic:spPr>
                      </pic:pic>
                    </a:graphicData>
                  </a:graphic>
                </wp:anchor>
              </w:drawing>
            </w:r>
          </w:p>
          <w:p>
            <w:pPr>
              <w:pStyle w:val="63"/>
              <w:ind w:firstLine="440"/>
            </w:pPr>
          </w:p>
          <w:p>
            <w:pPr>
              <w:pStyle w:val="63"/>
              <w:ind w:firstLine="440"/>
            </w:pPr>
          </w:p>
          <w:p>
            <w:pPr>
              <w:pStyle w:val="63"/>
              <w:ind w:firstLine="440"/>
            </w:pPr>
          </w:p>
          <w:p>
            <w:pPr>
              <w:pStyle w:val="63"/>
              <w:ind w:firstLine="440"/>
            </w:pPr>
          </w:p>
          <w:p>
            <w:pPr>
              <w:pStyle w:val="63"/>
              <w:ind w:firstLine="440"/>
            </w:pPr>
          </w:p>
          <w:p>
            <w:pPr>
              <w:pStyle w:val="63"/>
              <w:ind w:firstLine="480"/>
            </w:pPr>
          </w:p>
          <w:p>
            <w:pPr>
              <w:pStyle w:val="63"/>
              <w:ind w:firstLine="480"/>
            </w:pPr>
          </w:p>
          <w:p>
            <w:pPr>
              <w:pStyle w:val="63"/>
              <w:ind w:firstLine="480"/>
            </w:pPr>
          </w:p>
          <w:p>
            <w:pPr>
              <w:pStyle w:val="63"/>
              <w:ind w:left="0" w:leftChars="0" w:firstLine="0" w:firstLineChars="0"/>
              <w:jc w:val="center"/>
              <w:rPr>
                <w:b/>
                <w:bCs/>
              </w:rPr>
            </w:pPr>
            <w:r>
              <w:rPr>
                <w:rFonts w:hint="eastAsia"/>
                <w:b/>
                <w:bCs/>
              </w:rPr>
              <w:t>坑道局部近景（镜向南）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31" w:hRule="atLeast"/>
          <w:jc w:val="center"/>
        </w:trPr>
        <w:tc>
          <w:tcPr>
            <w:tcW w:w="577" w:type="dxa"/>
            <w:vAlign w:val="center"/>
          </w:tcPr>
          <w:p>
            <w:pPr>
              <w:adjustRightInd w:val="0"/>
              <w:snapToGrid w:val="0"/>
              <w:jc w:val="center"/>
              <w:rPr>
                <w:kern w:val="0"/>
                <w:szCs w:val="21"/>
              </w:rPr>
            </w:pPr>
            <w:r>
              <w:rPr>
                <w:rFonts w:hint="eastAsia"/>
                <w:kern w:val="0"/>
                <w:szCs w:val="21"/>
              </w:rPr>
              <w:t>生态环境保护目标</w:t>
            </w:r>
          </w:p>
        </w:tc>
        <w:tc>
          <w:tcPr>
            <w:tcW w:w="8529" w:type="dxa"/>
            <w:vAlign w:val="center"/>
          </w:tcPr>
          <w:p>
            <w:pPr>
              <w:pStyle w:val="50"/>
              <w:ind w:firstLine="480"/>
            </w:pPr>
            <w:r>
              <w:rPr>
                <w:rFonts w:hint="eastAsia"/>
              </w:rPr>
              <w:t>经现场踏勘，本项目评价范围内无自然保护区、世界文化及自然遗产地等特殊生态敏感区及风景名胜区、森林公园、地质公园、重要湿地、原始天然林、珍稀濒危野生动植物天然集中分布区、重要水生生物的自然产卵场、索饵场、越冬场和迴游通道、天然渔场等重要生态敏感区。项目远离城市，项目生产加工区周围500m范围内有青龙山居民。根据现场勘查，本项目环境敏感保护目标及保护要求见下表，本项目环境目标详见附图二。</w:t>
            </w:r>
          </w:p>
          <w:p>
            <w:pPr>
              <w:pStyle w:val="50"/>
              <w:numPr>
                <w:ilvl w:val="0"/>
                <w:numId w:val="2"/>
              </w:numPr>
              <w:snapToGrid w:val="0"/>
              <w:spacing w:line="240" w:lineRule="auto"/>
              <w:ind w:left="420" w:firstLineChars="0"/>
              <w:jc w:val="center"/>
              <w:rPr>
                <w:b/>
                <w:bCs/>
              </w:rPr>
            </w:pPr>
            <w:r>
              <w:rPr>
                <w:rFonts w:hint="eastAsia"/>
                <w:b/>
                <w:bCs/>
              </w:rPr>
              <w:t>本项目敏感保护目标一览表</w:t>
            </w:r>
          </w:p>
          <w:tbl>
            <w:tblPr>
              <w:tblStyle w:val="22"/>
              <w:tblW w:w="82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63"/>
              <w:gridCol w:w="603"/>
              <w:gridCol w:w="495"/>
              <w:gridCol w:w="414"/>
              <w:gridCol w:w="1054"/>
              <w:gridCol w:w="953"/>
              <w:gridCol w:w="967"/>
              <w:gridCol w:w="444"/>
              <w:gridCol w:w="269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761" w:type="dxa"/>
                  <w:gridSpan w:val="3"/>
                  <w:vMerge w:val="restart"/>
                  <w:shd w:val="clear" w:color="auto" w:fill="auto"/>
                  <w:vAlign w:val="center"/>
                </w:tcPr>
                <w:p>
                  <w:pPr>
                    <w:pStyle w:val="69"/>
                    <w:spacing w:line="360" w:lineRule="exact"/>
                    <w:rPr>
                      <w:b/>
                      <w:bCs/>
                      <w:szCs w:val="21"/>
                    </w:rPr>
                  </w:pPr>
                  <w:r>
                    <w:rPr>
                      <w:rFonts w:hint="eastAsia"/>
                      <w:b/>
                      <w:bCs/>
                      <w:szCs w:val="21"/>
                    </w:rPr>
                    <w:t>敏感保护目标</w:t>
                  </w:r>
                </w:p>
              </w:tc>
              <w:tc>
                <w:tcPr>
                  <w:tcW w:w="414" w:type="dxa"/>
                  <w:vMerge w:val="restart"/>
                  <w:shd w:val="clear" w:color="auto" w:fill="auto"/>
                  <w:vAlign w:val="center"/>
                </w:tcPr>
                <w:p>
                  <w:pPr>
                    <w:pStyle w:val="69"/>
                    <w:spacing w:line="360" w:lineRule="exact"/>
                    <w:rPr>
                      <w:b/>
                      <w:bCs/>
                      <w:szCs w:val="21"/>
                    </w:rPr>
                  </w:pPr>
                  <w:r>
                    <w:rPr>
                      <w:rFonts w:hint="eastAsia"/>
                      <w:b/>
                      <w:bCs/>
                      <w:szCs w:val="21"/>
                    </w:rPr>
                    <w:t>名称</w:t>
                  </w:r>
                </w:p>
              </w:tc>
              <w:tc>
                <w:tcPr>
                  <w:tcW w:w="2007" w:type="dxa"/>
                  <w:gridSpan w:val="2"/>
                  <w:shd w:val="clear" w:color="auto" w:fill="auto"/>
                  <w:vAlign w:val="center"/>
                </w:tcPr>
                <w:p>
                  <w:pPr>
                    <w:pStyle w:val="69"/>
                    <w:spacing w:line="360" w:lineRule="exact"/>
                    <w:rPr>
                      <w:b/>
                      <w:bCs/>
                      <w:szCs w:val="21"/>
                    </w:rPr>
                  </w:pPr>
                  <w:r>
                    <w:rPr>
                      <w:rFonts w:hint="eastAsia"/>
                      <w:b/>
                      <w:bCs/>
                      <w:szCs w:val="21"/>
                    </w:rPr>
                    <w:t>坐标/m（WGS84坐标系UTM投影）</w:t>
                  </w:r>
                </w:p>
              </w:tc>
              <w:tc>
                <w:tcPr>
                  <w:tcW w:w="967" w:type="dxa"/>
                  <w:vMerge w:val="restart"/>
                  <w:shd w:val="clear" w:color="auto" w:fill="auto"/>
                  <w:vAlign w:val="center"/>
                </w:tcPr>
                <w:p>
                  <w:pPr>
                    <w:pStyle w:val="69"/>
                    <w:spacing w:line="360" w:lineRule="exact"/>
                    <w:rPr>
                      <w:b/>
                      <w:bCs/>
                      <w:szCs w:val="21"/>
                    </w:rPr>
                  </w:pPr>
                  <w:r>
                    <w:rPr>
                      <w:rFonts w:hint="eastAsia"/>
                      <w:b/>
                      <w:bCs/>
                      <w:szCs w:val="21"/>
                    </w:rPr>
                    <w:t>与本项目方位/距离（m）</w:t>
                  </w:r>
                </w:p>
              </w:tc>
              <w:tc>
                <w:tcPr>
                  <w:tcW w:w="444" w:type="dxa"/>
                  <w:vMerge w:val="restart"/>
                  <w:shd w:val="clear" w:color="auto" w:fill="auto"/>
                  <w:vAlign w:val="center"/>
                </w:tcPr>
                <w:p>
                  <w:pPr>
                    <w:pStyle w:val="69"/>
                    <w:spacing w:line="360" w:lineRule="exact"/>
                    <w:rPr>
                      <w:b/>
                      <w:bCs/>
                      <w:szCs w:val="21"/>
                    </w:rPr>
                  </w:pPr>
                  <w:r>
                    <w:rPr>
                      <w:rFonts w:hint="eastAsia"/>
                      <w:b/>
                      <w:bCs/>
                      <w:szCs w:val="21"/>
                    </w:rPr>
                    <w:t>功能及规模</w:t>
                  </w:r>
                </w:p>
              </w:tc>
              <w:tc>
                <w:tcPr>
                  <w:tcW w:w="2690" w:type="dxa"/>
                  <w:vMerge w:val="restart"/>
                  <w:shd w:val="clear" w:color="auto" w:fill="auto"/>
                  <w:vAlign w:val="center"/>
                </w:tcPr>
                <w:p>
                  <w:pPr>
                    <w:pStyle w:val="69"/>
                    <w:spacing w:line="360" w:lineRule="exact"/>
                    <w:rPr>
                      <w:b/>
                      <w:bCs/>
                      <w:szCs w:val="21"/>
                    </w:rPr>
                  </w:pPr>
                  <w:r>
                    <w:rPr>
                      <w:rFonts w:hint="eastAsia"/>
                      <w:b/>
                      <w:bCs/>
                      <w:szCs w:val="21"/>
                    </w:rPr>
                    <w:t>保护要求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761" w:type="dxa"/>
                  <w:gridSpan w:val="3"/>
                  <w:vMerge w:val="continue"/>
                  <w:shd w:val="clear" w:color="auto" w:fill="auto"/>
                  <w:vAlign w:val="center"/>
                </w:tcPr>
                <w:p>
                  <w:pPr>
                    <w:pStyle w:val="69"/>
                    <w:spacing w:line="360" w:lineRule="exact"/>
                    <w:rPr>
                      <w:szCs w:val="21"/>
                    </w:rPr>
                  </w:pPr>
                </w:p>
              </w:tc>
              <w:tc>
                <w:tcPr>
                  <w:tcW w:w="414" w:type="dxa"/>
                  <w:vMerge w:val="continue"/>
                  <w:shd w:val="clear" w:color="auto" w:fill="auto"/>
                  <w:vAlign w:val="center"/>
                </w:tcPr>
                <w:p>
                  <w:pPr>
                    <w:pStyle w:val="69"/>
                    <w:spacing w:line="360" w:lineRule="exact"/>
                    <w:rPr>
                      <w:szCs w:val="21"/>
                    </w:rPr>
                  </w:pPr>
                </w:p>
              </w:tc>
              <w:tc>
                <w:tcPr>
                  <w:tcW w:w="1054" w:type="dxa"/>
                  <w:shd w:val="clear" w:color="auto" w:fill="auto"/>
                  <w:vAlign w:val="center"/>
                </w:tcPr>
                <w:p>
                  <w:pPr>
                    <w:pStyle w:val="69"/>
                    <w:spacing w:line="360" w:lineRule="exact"/>
                    <w:rPr>
                      <w:b/>
                      <w:bCs/>
                      <w:szCs w:val="21"/>
                    </w:rPr>
                  </w:pPr>
                  <w:r>
                    <w:rPr>
                      <w:rFonts w:hint="eastAsia"/>
                      <w:b/>
                      <w:bCs/>
                      <w:szCs w:val="21"/>
                    </w:rPr>
                    <w:t>X</w:t>
                  </w:r>
                </w:p>
              </w:tc>
              <w:tc>
                <w:tcPr>
                  <w:tcW w:w="953" w:type="dxa"/>
                  <w:shd w:val="clear" w:color="auto" w:fill="auto"/>
                  <w:vAlign w:val="center"/>
                </w:tcPr>
                <w:p>
                  <w:pPr>
                    <w:pStyle w:val="69"/>
                    <w:spacing w:line="360" w:lineRule="exact"/>
                    <w:rPr>
                      <w:b/>
                      <w:bCs/>
                      <w:szCs w:val="21"/>
                    </w:rPr>
                  </w:pPr>
                  <w:r>
                    <w:rPr>
                      <w:rFonts w:hint="eastAsia"/>
                      <w:b/>
                      <w:bCs/>
                      <w:szCs w:val="21"/>
                    </w:rPr>
                    <w:t>Y</w:t>
                  </w:r>
                </w:p>
              </w:tc>
              <w:tc>
                <w:tcPr>
                  <w:tcW w:w="967" w:type="dxa"/>
                  <w:vMerge w:val="continue"/>
                  <w:shd w:val="clear" w:color="auto" w:fill="auto"/>
                  <w:vAlign w:val="center"/>
                </w:tcPr>
                <w:p>
                  <w:pPr>
                    <w:pStyle w:val="69"/>
                    <w:spacing w:line="360" w:lineRule="exact"/>
                    <w:rPr>
                      <w:szCs w:val="21"/>
                    </w:rPr>
                  </w:pPr>
                </w:p>
              </w:tc>
              <w:tc>
                <w:tcPr>
                  <w:tcW w:w="444" w:type="dxa"/>
                  <w:vMerge w:val="continue"/>
                  <w:shd w:val="clear" w:color="auto" w:fill="auto"/>
                  <w:vAlign w:val="center"/>
                </w:tcPr>
                <w:p>
                  <w:pPr>
                    <w:pStyle w:val="69"/>
                    <w:spacing w:line="360" w:lineRule="exact"/>
                    <w:rPr>
                      <w:szCs w:val="21"/>
                    </w:rPr>
                  </w:pPr>
                </w:p>
              </w:tc>
              <w:tc>
                <w:tcPr>
                  <w:tcW w:w="2690" w:type="dxa"/>
                  <w:vMerge w:val="continue"/>
                  <w:shd w:val="clear" w:color="auto" w:fill="auto"/>
                  <w:vAlign w:val="center"/>
                </w:tcPr>
                <w:p>
                  <w:pPr>
                    <w:pStyle w:val="69"/>
                    <w:spacing w:line="360" w:lineRule="exact"/>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663" w:type="dxa"/>
                  <w:shd w:val="clear" w:color="auto" w:fill="auto"/>
                  <w:vAlign w:val="center"/>
                </w:tcPr>
                <w:p>
                  <w:pPr>
                    <w:pStyle w:val="69"/>
                    <w:snapToGrid w:val="0"/>
                    <w:spacing w:line="360" w:lineRule="exact"/>
                    <w:rPr>
                      <w:szCs w:val="21"/>
                    </w:rPr>
                  </w:pPr>
                  <w:r>
                    <w:rPr>
                      <w:rFonts w:hint="eastAsia"/>
                      <w:szCs w:val="21"/>
                    </w:rPr>
                    <w:t>大气环境</w:t>
                  </w:r>
                </w:p>
              </w:tc>
              <w:tc>
                <w:tcPr>
                  <w:tcW w:w="1098" w:type="dxa"/>
                  <w:gridSpan w:val="2"/>
                  <w:shd w:val="clear" w:color="auto" w:fill="auto"/>
                  <w:vAlign w:val="center"/>
                </w:tcPr>
                <w:p>
                  <w:pPr>
                    <w:pStyle w:val="69"/>
                    <w:snapToGrid w:val="0"/>
                    <w:spacing w:line="360" w:lineRule="exact"/>
                    <w:rPr>
                      <w:szCs w:val="21"/>
                    </w:rPr>
                  </w:pPr>
                  <w:r>
                    <w:rPr>
                      <w:rFonts w:hint="eastAsia"/>
                      <w:szCs w:val="21"/>
                    </w:rPr>
                    <w:t>500m范围内</w:t>
                  </w:r>
                </w:p>
              </w:tc>
              <w:tc>
                <w:tcPr>
                  <w:tcW w:w="414" w:type="dxa"/>
                  <w:shd w:val="clear" w:color="auto" w:fill="auto"/>
                  <w:vAlign w:val="center"/>
                </w:tcPr>
                <w:p>
                  <w:pPr>
                    <w:pStyle w:val="69"/>
                    <w:snapToGrid w:val="0"/>
                    <w:spacing w:line="360" w:lineRule="exact"/>
                    <w:rPr>
                      <w:szCs w:val="21"/>
                    </w:rPr>
                  </w:pPr>
                  <w:r>
                    <w:rPr>
                      <w:rFonts w:hint="eastAsia"/>
                      <w:szCs w:val="21"/>
                    </w:rPr>
                    <w:t>青龙山村</w:t>
                  </w:r>
                </w:p>
              </w:tc>
              <w:tc>
                <w:tcPr>
                  <w:tcW w:w="1054" w:type="dxa"/>
                  <w:shd w:val="clear" w:color="auto" w:fill="auto"/>
                  <w:vAlign w:val="center"/>
                </w:tcPr>
                <w:p>
                  <w:pPr>
                    <w:pStyle w:val="69"/>
                    <w:snapToGrid w:val="0"/>
                    <w:spacing w:line="360" w:lineRule="exact"/>
                    <w:rPr>
                      <w:szCs w:val="21"/>
                    </w:rPr>
                  </w:pPr>
                </w:p>
              </w:tc>
              <w:tc>
                <w:tcPr>
                  <w:tcW w:w="953" w:type="dxa"/>
                  <w:shd w:val="clear" w:color="auto" w:fill="auto"/>
                  <w:vAlign w:val="center"/>
                </w:tcPr>
                <w:p>
                  <w:pPr>
                    <w:pStyle w:val="69"/>
                    <w:snapToGrid w:val="0"/>
                    <w:spacing w:line="360" w:lineRule="exact"/>
                    <w:rPr>
                      <w:szCs w:val="21"/>
                    </w:rPr>
                  </w:pPr>
                </w:p>
              </w:tc>
              <w:tc>
                <w:tcPr>
                  <w:tcW w:w="967" w:type="dxa"/>
                  <w:shd w:val="clear" w:color="auto" w:fill="auto"/>
                  <w:vAlign w:val="center"/>
                </w:tcPr>
                <w:p>
                  <w:pPr>
                    <w:pStyle w:val="69"/>
                    <w:snapToGrid w:val="0"/>
                    <w:spacing w:line="360" w:lineRule="exact"/>
                    <w:rPr>
                      <w:szCs w:val="21"/>
                    </w:rPr>
                  </w:pPr>
                </w:p>
              </w:tc>
              <w:tc>
                <w:tcPr>
                  <w:tcW w:w="444" w:type="dxa"/>
                  <w:shd w:val="clear" w:color="auto" w:fill="auto"/>
                  <w:vAlign w:val="center"/>
                </w:tcPr>
                <w:p>
                  <w:pPr>
                    <w:pStyle w:val="69"/>
                    <w:snapToGrid w:val="0"/>
                    <w:spacing w:line="360" w:lineRule="exact"/>
                    <w:rPr>
                      <w:szCs w:val="21"/>
                    </w:rPr>
                  </w:pPr>
                  <w:r>
                    <w:rPr>
                      <w:rFonts w:hint="eastAsia"/>
                      <w:szCs w:val="21"/>
                    </w:rPr>
                    <w:t>村庄60人</w:t>
                  </w:r>
                </w:p>
              </w:tc>
              <w:tc>
                <w:tcPr>
                  <w:tcW w:w="2690" w:type="dxa"/>
                  <w:shd w:val="clear" w:color="auto" w:fill="auto"/>
                  <w:vAlign w:val="center"/>
                </w:tcPr>
                <w:p>
                  <w:pPr>
                    <w:pStyle w:val="69"/>
                    <w:snapToGrid w:val="0"/>
                    <w:spacing w:line="360" w:lineRule="exact"/>
                    <w:rPr>
                      <w:szCs w:val="21"/>
                    </w:rPr>
                  </w:pPr>
                  <w:r>
                    <w:rPr>
                      <w:rFonts w:hint="eastAsia"/>
                      <w:szCs w:val="21"/>
                    </w:rPr>
                    <w:t>环境空气满足《环境空气质量标准》</w:t>
                  </w:r>
                </w:p>
                <w:p>
                  <w:pPr>
                    <w:pStyle w:val="69"/>
                    <w:snapToGrid w:val="0"/>
                    <w:spacing w:line="360" w:lineRule="exact"/>
                    <w:rPr>
                      <w:szCs w:val="21"/>
                    </w:rPr>
                  </w:pPr>
                  <w:r>
                    <w:rPr>
                      <w:rFonts w:hint="eastAsia"/>
                      <w:szCs w:val="21"/>
                    </w:rPr>
                    <w:t>（GB3095-2012）二级标准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3" w:type="dxa"/>
                  <w:shd w:val="clear" w:color="auto" w:fill="auto"/>
                  <w:vAlign w:val="center"/>
                </w:tcPr>
                <w:p>
                  <w:pPr>
                    <w:pStyle w:val="69"/>
                    <w:snapToGrid w:val="0"/>
                    <w:spacing w:line="360" w:lineRule="exact"/>
                    <w:rPr>
                      <w:szCs w:val="21"/>
                    </w:rPr>
                  </w:pPr>
                  <w:r>
                    <w:rPr>
                      <w:rFonts w:hint="eastAsia"/>
                      <w:szCs w:val="21"/>
                    </w:rPr>
                    <w:t>声环境</w:t>
                  </w:r>
                </w:p>
              </w:tc>
              <w:tc>
                <w:tcPr>
                  <w:tcW w:w="1098" w:type="dxa"/>
                  <w:gridSpan w:val="2"/>
                  <w:shd w:val="clear" w:color="auto" w:fill="auto"/>
                  <w:vAlign w:val="center"/>
                </w:tcPr>
                <w:p>
                  <w:pPr>
                    <w:pStyle w:val="69"/>
                    <w:snapToGrid w:val="0"/>
                    <w:spacing w:line="360" w:lineRule="exact"/>
                    <w:rPr>
                      <w:szCs w:val="21"/>
                    </w:rPr>
                  </w:pPr>
                  <w:r>
                    <w:rPr>
                      <w:rFonts w:hint="eastAsia"/>
                      <w:szCs w:val="21"/>
                    </w:rPr>
                    <w:t>200m范围内</w:t>
                  </w:r>
                </w:p>
              </w:tc>
              <w:tc>
                <w:tcPr>
                  <w:tcW w:w="414" w:type="dxa"/>
                  <w:shd w:val="clear" w:color="auto" w:fill="auto"/>
                  <w:vAlign w:val="center"/>
                </w:tcPr>
                <w:p>
                  <w:pPr>
                    <w:pStyle w:val="69"/>
                    <w:snapToGrid w:val="0"/>
                    <w:spacing w:line="360" w:lineRule="exact"/>
                    <w:rPr>
                      <w:szCs w:val="21"/>
                    </w:rPr>
                  </w:pPr>
                  <w:r>
                    <w:rPr>
                      <w:rFonts w:hint="eastAsia"/>
                      <w:szCs w:val="21"/>
                    </w:rPr>
                    <w:t>无</w:t>
                  </w:r>
                </w:p>
              </w:tc>
              <w:tc>
                <w:tcPr>
                  <w:tcW w:w="1054" w:type="dxa"/>
                  <w:shd w:val="clear" w:color="auto" w:fill="auto"/>
                  <w:vAlign w:val="center"/>
                </w:tcPr>
                <w:p>
                  <w:pPr>
                    <w:pStyle w:val="69"/>
                    <w:snapToGrid w:val="0"/>
                    <w:spacing w:line="360" w:lineRule="exact"/>
                    <w:rPr>
                      <w:szCs w:val="21"/>
                    </w:rPr>
                  </w:pPr>
                  <w:r>
                    <w:rPr>
                      <w:rFonts w:hint="eastAsia"/>
                      <w:szCs w:val="21"/>
                    </w:rPr>
                    <w:t>/</w:t>
                  </w:r>
                </w:p>
              </w:tc>
              <w:tc>
                <w:tcPr>
                  <w:tcW w:w="953" w:type="dxa"/>
                  <w:shd w:val="clear" w:color="auto" w:fill="auto"/>
                  <w:vAlign w:val="center"/>
                </w:tcPr>
                <w:p>
                  <w:pPr>
                    <w:pStyle w:val="69"/>
                    <w:snapToGrid w:val="0"/>
                    <w:spacing w:line="360" w:lineRule="exact"/>
                    <w:rPr>
                      <w:szCs w:val="21"/>
                    </w:rPr>
                  </w:pPr>
                  <w:r>
                    <w:rPr>
                      <w:rFonts w:hint="eastAsia"/>
                      <w:szCs w:val="21"/>
                    </w:rPr>
                    <w:t>/</w:t>
                  </w:r>
                </w:p>
              </w:tc>
              <w:tc>
                <w:tcPr>
                  <w:tcW w:w="967" w:type="dxa"/>
                  <w:shd w:val="clear" w:color="auto" w:fill="auto"/>
                  <w:vAlign w:val="center"/>
                </w:tcPr>
                <w:p>
                  <w:pPr>
                    <w:pStyle w:val="69"/>
                    <w:snapToGrid w:val="0"/>
                    <w:spacing w:line="360" w:lineRule="exact"/>
                    <w:rPr>
                      <w:szCs w:val="21"/>
                    </w:rPr>
                  </w:pPr>
                  <w:r>
                    <w:rPr>
                      <w:rFonts w:hint="eastAsia"/>
                      <w:szCs w:val="21"/>
                    </w:rPr>
                    <w:t>/</w:t>
                  </w:r>
                </w:p>
              </w:tc>
              <w:tc>
                <w:tcPr>
                  <w:tcW w:w="444" w:type="dxa"/>
                  <w:shd w:val="clear" w:color="auto" w:fill="auto"/>
                  <w:vAlign w:val="center"/>
                </w:tcPr>
                <w:p>
                  <w:pPr>
                    <w:pStyle w:val="69"/>
                    <w:snapToGrid w:val="0"/>
                    <w:spacing w:line="360" w:lineRule="exact"/>
                    <w:rPr>
                      <w:szCs w:val="21"/>
                    </w:rPr>
                  </w:pPr>
                  <w:r>
                    <w:rPr>
                      <w:rFonts w:hint="eastAsia"/>
                      <w:szCs w:val="21"/>
                    </w:rPr>
                    <w:t>/</w:t>
                  </w:r>
                </w:p>
              </w:tc>
              <w:tc>
                <w:tcPr>
                  <w:tcW w:w="2690" w:type="dxa"/>
                  <w:shd w:val="clear" w:color="auto" w:fill="auto"/>
                  <w:vAlign w:val="center"/>
                </w:tcPr>
                <w:p>
                  <w:pPr>
                    <w:pStyle w:val="69"/>
                    <w:snapToGrid w:val="0"/>
                    <w:spacing w:line="360" w:lineRule="exact"/>
                    <w:rPr>
                      <w:szCs w:val="21"/>
                    </w:rPr>
                  </w:pPr>
                  <w:r>
                    <w:rPr>
                      <w:rFonts w:hint="eastAsia"/>
                      <w:szCs w:val="21"/>
                    </w:rPr>
                    <w:t>范围内无声环境保护目标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663" w:type="dxa"/>
                  <w:shd w:val="clear" w:color="auto" w:fill="auto"/>
                  <w:vAlign w:val="center"/>
                </w:tcPr>
                <w:p>
                  <w:pPr>
                    <w:pStyle w:val="69"/>
                    <w:snapToGrid w:val="0"/>
                    <w:spacing w:line="360" w:lineRule="exact"/>
                    <w:rPr>
                      <w:szCs w:val="21"/>
                    </w:rPr>
                  </w:pPr>
                  <w:r>
                    <w:rPr>
                      <w:rFonts w:hint="eastAsia"/>
                      <w:szCs w:val="21"/>
                    </w:rPr>
                    <w:t>生态环境</w:t>
                  </w:r>
                </w:p>
              </w:tc>
              <w:tc>
                <w:tcPr>
                  <w:tcW w:w="7620" w:type="dxa"/>
                  <w:gridSpan w:val="8"/>
                  <w:shd w:val="clear" w:color="auto" w:fill="auto"/>
                  <w:vAlign w:val="center"/>
                </w:tcPr>
                <w:p>
                  <w:pPr>
                    <w:adjustRightInd w:val="0"/>
                    <w:snapToGrid w:val="0"/>
                    <w:spacing w:line="360" w:lineRule="exact"/>
                    <w:jc w:val="center"/>
                  </w:pPr>
                  <w:r>
                    <w:rPr>
                      <w:rFonts w:hint="eastAsia"/>
                    </w:rPr>
                    <w:t>保护项目区外500m范围内区域及道路两侧500m 范围内带状区域的植被、动物生境不受项目建设影响。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3" w:type="dxa"/>
                  <w:shd w:val="clear" w:color="auto" w:fill="auto"/>
                  <w:vAlign w:val="center"/>
                </w:tcPr>
                <w:p>
                  <w:pPr>
                    <w:pStyle w:val="69"/>
                    <w:snapToGrid w:val="0"/>
                    <w:spacing w:line="360" w:lineRule="exact"/>
                    <w:rPr>
                      <w:szCs w:val="21"/>
                    </w:rPr>
                  </w:pPr>
                  <w:r>
                    <w:rPr>
                      <w:rFonts w:hint="eastAsia"/>
                      <w:szCs w:val="21"/>
                    </w:rPr>
                    <w:t>地表水环境</w:t>
                  </w:r>
                </w:p>
              </w:tc>
              <w:tc>
                <w:tcPr>
                  <w:tcW w:w="603" w:type="dxa"/>
                  <w:vMerge w:val="restart"/>
                  <w:shd w:val="clear" w:color="auto" w:fill="auto"/>
                  <w:vAlign w:val="center"/>
                </w:tcPr>
                <w:p>
                  <w:pPr>
                    <w:pStyle w:val="69"/>
                    <w:snapToGrid w:val="0"/>
                    <w:spacing w:line="360" w:lineRule="exact"/>
                    <w:rPr>
                      <w:szCs w:val="21"/>
                    </w:rPr>
                  </w:pPr>
                  <w:r>
                    <w:rPr>
                      <w:rFonts w:hint="eastAsia"/>
                      <w:szCs w:val="21"/>
                    </w:rPr>
                    <w:t>评价范围内</w:t>
                  </w:r>
                </w:p>
              </w:tc>
              <w:tc>
                <w:tcPr>
                  <w:tcW w:w="909" w:type="dxa"/>
                  <w:gridSpan w:val="2"/>
                  <w:shd w:val="clear" w:color="auto" w:fill="auto"/>
                  <w:vAlign w:val="center"/>
                </w:tcPr>
                <w:p>
                  <w:pPr>
                    <w:pStyle w:val="69"/>
                    <w:snapToGrid w:val="0"/>
                    <w:spacing w:line="360" w:lineRule="exact"/>
                    <w:rPr>
                      <w:szCs w:val="21"/>
                    </w:rPr>
                  </w:pPr>
                  <w:r>
                    <w:rPr>
                      <w:rFonts w:hint="eastAsia"/>
                      <w:szCs w:val="21"/>
                    </w:rPr>
                    <w:t>/</w:t>
                  </w:r>
                </w:p>
              </w:tc>
              <w:tc>
                <w:tcPr>
                  <w:tcW w:w="1054" w:type="dxa"/>
                  <w:shd w:val="clear" w:color="auto" w:fill="auto"/>
                  <w:vAlign w:val="center"/>
                </w:tcPr>
                <w:p>
                  <w:pPr>
                    <w:pStyle w:val="69"/>
                    <w:snapToGrid w:val="0"/>
                    <w:spacing w:line="360" w:lineRule="exact"/>
                    <w:rPr>
                      <w:szCs w:val="21"/>
                    </w:rPr>
                  </w:pPr>
                  <w:r>
                    <w:rPr>
                      <w:rFonts w:hint="eastAsia"/>
                      <w:szCs w:val="21"/>
                    </w:rPr>
                    <w:t>/</w:t>
                  </w:r>
                </w:p>
              </w:tc>
              <w:tc>
                <w:tcPr>
                  <w:tcW w:w="953" w:type="dxa"/>
                  <w:shd w:val="clear" w:color="auto" w:fill="auto"/>
                  <w:vAlign w:val="center"/>
                </w:tcPr>
                <w:p>
                  <w:pPr>
                    <w:pStyle w:val="69"/>
                    <w:snapToGrid w:val="0"/>
                    <w:spacing w:line="360" w:lineRule="exact"/>
                    <w:rPr>
                      <w:szCs w:val="21"/>
                    </w:rPr>
                  </w:pPr>
                  <w:r>
                    <w:rPr>
                      <w:rFonts w:hint="eastAsia"/>
                      <w:szCs w:val="21"/>
                    </w:rPr>
                    <w:t>/</w:t>
                  </w:r>
                </w:p>
              </w:tc>
              <w:tc>
                <w:tcPr>
                  <w:tcW w:w="967" w:type="dxa"/>
                  <w:shd w:val="clear" w:color="auto" w:fill="auto"/>
                  <w:vAlign w:val="center"/>
                </w:tcPr>
                <w:p>
                  <w:pPr>
                    <w:pStyle w:val="69"/>
                    <w:snapToGrid w:val="0"/>
                    <w:spacing w:line="360" w:lineRule="exact"/>
                    <w:rPr>
                      <w:szCs w:val="21"/>
                    </w:rPr>
                  </w:pPr>
                  <w:r>
                    <w:rPr>
                      <w:rFonts w:hint="eastAsia"/>
                      <w:szCs w:val="21"/>
                    </w:rPr>
                    <w:t>/</w:t>
                  </w:r>
                </w:p>
              </w:tc>
              <w:tc>
                <w:tcPr>
                  <w:tcW w:w="444" w:type="dxa"/>
                  <w:shd w:val="clear" w:color="auto" w:fill="auto"/>
                  <w:vAlign w:val="center"/>
                </w:tcPr>
                <w:p>
                  <w:pPr>
                    <w:pStyle w:val="69"/>
                    <w:snapToGrid w:val="0"/>
                    <w:spacing w:line="360" w:lineRule="exact"/>
                    <w:rPr>
                      <w:szCs w:val="21"/>
                    </w:rPr>
                  </w:pPr>
                  <w:r>
                    <w:rPr>
                      <w:rFonts w:hint="eastAsia"/>
                      <w:szCs w:val="21"/>
                    </w:rPr>
                    <w:t>/</w:t>
                  </w:r>
                </w:p>
              </w:tc>
              <w:tc>
                <w:tcPr>
                  <w:tcW w:w="2690" w:type="dxa"/>
                  <w:shd w:val="clear" w:color="auto" w:fill="auto"/>
                  <w:vAlign w:val="center"/>
                </w:tcPr>
                <w:p>
                  <w:pPr>
                    <w:pStyle w:val="69"/>
                    <w:snapToGrid w:val="0"/>
                    <w:spacing w:line="360" w:lineRule="exact"/>
                    <w:rPr>
                      <w:szCs w:val="21"/>
                    </w:rPr>
                  </w:pPr>
                  <w:r>
                    <w:rPr>
                      <w:rFonts w:hint="eastAsia"/>
                      <w:szCs w:val="21"/>
                    </w:rPr>
                    <w:t>范围内无地表水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3" w:type="dxa"/>
                  <w:shd w:val="clear" w:color="auto" w:fill="auto"/>
                  <w:vAlign w:val="center"/>
                </w:tcPr>
                <w:p>
                  <w:pPr>
                    <w:pStyle w:val="69"/>
                    <w:snapToGrid w:val="0"/>
                    <w:spacing w:line="360" w:lineRule="exact"/>
                    <w:rPr>
                      <w:szCs w:val="21"/>
                    </w:rPr>
                  </w:pPr>
                  <w:r>
                    <w:rPr>
                      <w:rFonts w:hint="eastAsia"/>
                      <w:szCs w:val="21"/>
                    </w:rPr>
                    <w:t>地下水环境</w:t>
                  </w:r>
                </w:p>
              </w:tc>
              <w:tc>
                <w:tcPr>
                  <w:tcW w:w="603" w:type="dxa"/>
                  <w:vMerge w:val="continue"/>
                  <w:shd w:val="clear" w:color="auto" w:fill="auto"/>
                  <w:vAlign w:val="center"/>
                </w:tcPr>
                <w:p>
                  <w:pPr>
                    <w:pStyle w:val="69"/>
                    <w:snapToGrid w:val="0"/>
                    <w:spacing w:line="360" w:lineRule="exact"/>
                    <w:rPr>
                      <w:szCs w:val="21"/>
                    </w:rPr>
                  </w:pPr>
                </w:p>
              </w:tc>
              <w:tc>
                <w:tcPr>
                  <w:tcW w:w="909" w:type="dxa"/>
                  <w:gridSpan w:val="2"/>
                  <w:shd w:val="clear" w:color="auto" w:fill="auto"/>
                  <w:vAlign w:val="center"/>
                </w:tcPr>
                <w:p>
                  <w:pPr>
                    <w:pStyle w:val="69"/>
                    <w:snapToGrid w:val="0"/>
                    <w:spacing w:line="360" w:lineRule="exact"/>
                    <w:rPr>
                      <w:szCs w:val="21"/>
                    </w:rPr>
                  </w:pPr>
                  <w:r>
                    <w:rPr>
                      <w:rFonts w:hint="eastAsia"/>
                      <w:szCs w:val="21"/>
                    </w:rPr>
                    <w:t>/</w:t>
                  </w:r>
                </w:p>
              </w:tc>
              <w:tc>
                <w:tcPr>
                  <w:tcW w:w="1054" w:type="dxa"/>
                  <w:shd w:val="clear" w:color="auto" w:fill="auto"/>
                  <w:vAlign w:val="center"/>
                </w:tcPr>
                <w:p>
                  <w:pPr>
                    <w:pStyle w:val="69"/>
                    <w:snapToGrid w:val="0"/>
                    <w:spacing w:line="360" w:lineRule="exact"/>
                    <w:rPr>
                      <w:szCs w:val="21"/>
                    </w:rPr>
                  </w:pPr>
                  <w:r>
                    <w:rPr>
                      <w:rFonts w:hint="eastAsia"/>
                      <w:szCs w:val="21"/>
                    </w:rPr>
                    <w:t>/</w:t>
                  </w:r>
                </w:p>
              </w:tc>
              <w:tc>
                <w:tcPr>
                  <w:tcW w:w="953" w:type="dxa"/>
                  <w:shd w:val="clear" w:color="auto" w:fill="auto"/>
                  <w:vAlign w:val="center"/>
                </w:tcPr>
                <w:p>
                  <w:pPr>
                    <w:pStyle w:val="69"/>
                    <w:snapToGrid w:val="0"/>
                    <w:spacing w:line="360" w:lineRule="exact"/>
                    <w:rPr>
                      <w:szCs w:val="21"/>
                    </w:rPr>
                  </w:pPr>
                  <w:r>
                    <w:rPr>
                      <w:rFonts w:hint="eastAsia"/>
                      <w:szCs w:val="21"/>
                    </w:rPr>
                    <w:t>/</w:t>
                  </w:r>
                </w:p>
              </w:tc>
              <w:tc>
                <w:tcPr>
                  <w:tcW w:w="967" w:type="dxa"/>
                  <w:shd w:val="clear" w:color="auto" w:fill="auto"/>
                  <w:vAlign w:val="center"/>
                </w:tcPr>
                <w:p>
                  <w:pPr>
                    <w:pStyle w:val="69"/>
                    <w:snapToGrid w:val="0"/>
                    <w:spacing w:line="360" w:lineRule="exact"/>
                    <w:rPr>
                      <w:szCs w:val="21"/>
                    </w:rPr>
                  </w:pPr>
                  <w:r>
                    <w:rPr>
                      <w:rFonts w:hint="eastAsia"/>
                      <w:szCs w:val="21"/>
                    </w:rPr>
                    <w:t>/</w:t>
                  </w:r>
                </w:p>
              </w:tc>
              <w:tc>
                <w:tcPr>
                  <w:tcW w:w="444" w:type="dxa"/>
                  <w:shd w:val="clear" w:color="auto" w:fill="auto"/>
                  <w:vAlign w:val="center"/>
                </w:tcPr>
                <w:p>
                  <w:pPr>
                    <w:pStyle w:val="69"/>
                    <w:snapToGrid w:val="0"/>
                    <w:spacing w:line="360" w:lineRule="exact"/>
                    <w:rPr>
                      <w:szCs w:val="21"/>
                    </w:rPr>
                  </w:pPr>
                  <w:r>
                    <w:rPr>
                      <w:rFonts w:hint="eastAsia"/>
                      <w:szCs w:val="21"/>
                    </w:rPr>
                    <w:t>/</w:t>
                  </w:r>
                </w:p>
              </w:tc>
              <w:tc>
                <w:tcPr>
                  <w:tcW w:w="2690" w:type="dxa"/>
                  <w:shd w:val="clear" w:color="auto" w:fill="auto"/>
                  <w:vAlign w:val="center"/>
                </w:tcPr>
                <w:p>
                  <w:pPr>
                    <w:pStyle w:val="69"/>
                    <w:snapToGrid w:val="0"/>
                    <w:spacing w:line="360" w:lineRule="exact"/>
                    <w:rPr>
                      <w:szCs w:val="21"/>
                    </w:rPr>
                  </w:pPr>
                  <w:r>
                    <w:rPr>
                      <w:rFonts w:hint="eastAsia"/>
                      <w:szCs w:val="21"/>
                    </w:rPr>
                    <w:t>范围内无地下水保护目标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6" w:hRule="atLeast"/>
                <w:jc w:val="center"/>
              </w:trPr>
              <w:tc>
                <w:tcPr>
                  <w:tcW w:w="663" w:type="dxa"/>
                  <w:shd w:val="clear" w:color="auto" w:fill="auto"/>
                  <w:vAlign w:val="center"/>
                </w:tcPr>
                <w:p>
                  <w:pPr>
                    <w:pStyle w:val="69"/>
                    <w:snapToGrid w:val="0"/>
                    <w:spacing w:line="360" w:lineRule="exact"/>
                    <w:rPr>
                      <w:szCs w:val="21"/>
                    </w:rPr>
                  </w:pPr>
                  <w:r>
                    <w:rPr>
                      <w:rFonts w:hint="eastAsia"/>
                      <w:szCs w:val="21"/>
                    </w:rPr>
                    <w:t>土壤</w:t>
                  </w:r>
                </w:p>
              </w:tc>
              <w:tc>
                <w:tcPr>
                  <w:tcW w:w="4930" w:type="dxa"/>
                  <w:gridSpan w:val="7"/>
                  <w:shd w:val="clear" w:color="auto" w:fill="auto"/>
                  <w:vAlign w:val="center"/>
                </w:tcPr>
                <w:p>
                  <w:pPr>
                    <w:pStyle w:val="69"/>
                    <w:snapToGrid w:val="0"/>
                    <w:spacing w:line="360" w:lineRule="exact"/>
                    <w:rPr>
                      <w:szCs w:val="21"/>
                    </w:rPr>
                  </w:pPr>
                  <w:r>
                    <w:rPr>
                      <w:rFonts w:hint="eastAsia"/>
                      <w:snapToGrid w:val="0"/>
                      <w:szCs w:val="21"/>
                    </w:rPr>
                    <w:t>项目占地范围内</w:t>
                  </w:r>
                </w:p>
              </w:tc>
              <w:tc>
                <w:tcPr>
                  <w:tcW w:w="2690" w:type="dxa"/>
                  <w:shd w:val="clear" w:color="auto" w:fill="auto"/>
                  <w:vAlign w:val="center"/>
                </w:tcPr>
                <w:p>
                  <w:pPr>
                    <w:pStyle w:val="69"/>
                    <w:snapToGrid w:val="0"/>
                    <w:spacing w:line="360" w:lineRule="exact"/>
                    <w:rPr>
                      <w:szCs w:val="21"/>
                    </w:rPr>
                  </w:pPr>
                  <w:r>
                    <w:rPr>
                      <w:rFonts w:hint="eastAsia"/>
                      <w:szCs w:val="21"/>
                    </w:rPr>
                    <w:t>（GB36600-2018）表1第二类用地筛选值</w:t>
                  </w:r>
                </w:p>
              </w:tc>
            </w:tr>
          </w:tbl>
          <w:p>
            <w:pPr>
              <w:adjustRightInd w:val="0"/>
              <w:snapToGrid w:val="0"/>
              <w:rPr>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577" w:type="dxa"/>
            <w:vAlign w:val="center"/>
          </w:tcPr>
          <w:p>
            <w:pPr>
              <w:adjustRightInd w:val="0"/>
              <w:snapToGrid w:val="0"/>
              <w:jc w:val="center"/>
              <w:rPr>
                <w:kern w:val="0"/>
                <w:szCs w:val="21"/>
              </w:rPr>
            </w:pPr>
            <w:r>
              <w:rPr>
                <w:rFonts w:hint="eastAsia"/>
                <w:kern w:val="0"/>
                <w:szCs w:val="21"/>
              </w:rPr>
              <w:t>评价</w:t>
            </w:r>
          </w:p>
          <w:p>
            <w:pPr>
              <w:adjustRightInd w:val="0"/>
              <w:snapToGrid w:val="0"/>
              <w:jc w:val="center"/>
              <w:rPr>
                <w:kern w:val="0"/>
                <w:szCs w:val="21"/>
              </w:rPr>
            </w:pPr>
            <w:r>
              <w:rPr>
                <w:rFonts w:hint="eastAsia"/>
                <w:kern w:val="0"/>
                <w:szCs w:val="21"/>
              </w:rPr>
              <w:t>标准</w:t>
            </w:r>
          </w:p>
        </w:tc>
        <w:tc>
          <w:tcPr>
            <w:tcW w:w="8529" w:type="dxa"/>
            <w:vAlign w:val="center"/>
          </w:tcPr>
          <w:p>
            <w:pPr>
              <w:pStyle w:val="50"/>
              <w:ind w:firstLine="482"/>
              <w:rPr>
                <w:b/>
                <w:bCs/>
              </w:rPr>
            </w:pPr>
            <w:r>
              <w:rPr>
                <w:rFonts w:hint="eastAsia"/>
                <w:b/>
                <w:bCs/>
              </w:rPr>
              <w:t>1、环境质量标准</w:t>
            </w:r>
          </w:p>
          <w:p>
            <w:pPr>
              <w:pStyle w:val="50"/>
              <w:ind w:firstLine="480"/>
            </w:pPr>
            <w:r>
              <w:rPr>
                <w:rFonts w:hint="eastAsia"/>
              </w:rPr>
              <w:t>（1）大气环境质量</w:t>
            </w:r>
          </w:p>
          <w:p>
            <w:pPr>
              <w:pStyle w:val="50"/>
              <w:ind w:firstLine="480"/>
            </w:pPr>
            <w:r>
              <w:rPr>
                <w:rFonts w:hint="eastAsia"/>
              </w:rPr>
              <w:t>评价区环境空气质量执行《环境空气质量标准》（GB3095-2012）及2018修改单中二级标准，具体标准详见下表。</w:t>
            </w:r>
          </w:p>
          <w:p>
            <w:pPr>
              <w:pStyle w:val="50"/>
              <w:ind w:firstLine="480"/>
            </w:pPr>
          </w:p>
          <w:p>
            <w:pPr>
              <w:pStyle w:val="50"/>
              <w:numPr>
                <w:ilvl w:val="0"/>
                <w:numId w:val="2"/>
              </w:numPr>
              <w:snapToGrid w:val="0"/>
              <w:spacing w:line="240" w:lineRule="auto"/>
              <w:ind w:left="420" w:firstLineChars="0"/>
              <w:jc w:val="center"/>
              <w:rPr>
                <w:b/>
                <w:bCs/>
              </w:rPr>
            </w:pPr>
            <w:r>
              <w:rPr>
                <w:rFonts w:hint="eastAsia"/>
                <w:b/>
                <w:bCs/>
              </w:rPr>
              <w:t>本项目环境空气质量标准一览表</w:t>
            </w:r>
          </w:p>
          <w:tbl>
            <w:tblPr>
              <w:tblStyle w:val="23"/>
              <w:tblW w:w="828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2"/>
              <w:gridCol w:w="1015"/>
              <w:gridCol w:w="2120"/>
              <w:gridCol w:w="1318"/>
              <w:gridCol w:w="1280"/>
              <w:gridCol w:w="185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项目</w:t>
                  </w:r>
                </w:p>
              </w:tc>
              <w:tc>
                <w:tcPr>
                  <w:tcW w:w="1015"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污染物</w:t>
                  </w:r>
                </w:p>
              </w:tc>
              <w:tc>
                <w:tcPr>
                  <w:tcW w:w="2120"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取值时间</w:t>
                  </w:r>
                </w:p>
              </w:tc>
              <w:tc>
                <w:tcPr>
                  <w:tcW w:w="1318"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单位</w:t>
                  </w:r>
                </w:p>
              </w:tc>
              <w:tc>
                <w:tcPr>
                  <w:tcW w:w="1280"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浓度限制</w:t>
                  </w:r>
                </w:p>
              </w:tc>
              <w:tc>
                <w:tcPr>
                  <w:tcW w:w="1855" w:type="dxa"/>
                  <w:shd w:val="clear" w:color="auto" w:fill="auto"/>
                  <w:vAlign w:val="center"/>
                </w:tcPr>
                <w:p>
                  <w:pPr>
                    <w:pStyle w:val="50"/>
                    <w:snapToGrid w:val="0"/>
                    <w:spacing w:line="360" w:lineRule="exact"/>
                    <w:ind w:firstLine="0" w:firstLineChars="0"/>
                    <w:jc w:val="center"/>
                    <w:rPr>
                      <w:b/>
                      <w:bCs/>
                      <w:sz w:val="21"/>
                    </w:rPr>
                  </w:pPr>
                  <w:r>
                    <w:rPr>
                      <w:rFonts w:hint="eastAsia"/>
                      <w:b/>
                      <w:bCs/>
                      <w:sz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restart"/>
                  <w:shd w:val="clear" w:color="auto" w:fill="auto"/>
                  <w:vAlign w:val="center"/>
                </w:tcPr>
                <w:p>
                  <w:pPr>
                    <w:pStyle w:val="50"/>
                    <w:snapToGrid w:val="0"/>
                    <w:spacing w:line="360" w:lineRule="exact"/>
                    <w:ind w:firstLine="0" w:firstLineChars="0"/>
                    <w:jc w:val="center"/>
                    <w:rPr>
                      <w:sz w:val="21"/>
                    </w:rPr>
                  </w:pPr>
                  <w:r>
                    <w:rPr>
                      <w:rFonts w:hint="eastAsia"/>
                      <w:sz w:val="21"/>
                    </w:rPr>
                    <w:t>环境空气</w:t>
                  </w:r>
                </w:p>
              </w:tc>
              <w:tc>
                <w:tcPr>
                  <w:tcW w:w="1015" w:type="dxa"/>
                  <w:vMerge w:val="restart"/>
                  <w:shd w:val="clear" w:color="auto" w:fill="auto"/>
                  <w:vAlign w:val="center"/>
                </w:tcPr>
                <w:p>
                  <w:pPr>
                    <w:adjustRightInd w:val="0"/>
                    <w:snapToGrid w:val="0"/>
                    <w:spacing w:line="360" w:lineRule="exact"/>
                    <w:jc w:val="center"/>
                    <w:rPr>
                      <w:szCs w:val="21"/>
                    </w:rPr>
                  </w:pPr>
                  <w:r>
                    <w:rPr>
                      <w:rFonts w:hint="eastAsia"/>
                      <w:kern w:val="0"/>
                      <w:szCs w:val="21"/>
                    </w:rPr>
                    <w:t>SO</w:t>
                  </w:r>
                  <w:r>
                    <w:rPr>
                      <w:rFonts w:hint="eastAsia"/>
                      <w:kern w:val="0"/>
                      <w:szCs w:val="21"/>
                      <w:vertAlign w:val="subscript"/>
                    </w:rPr>
                    <w:t>2</w:t>
                  </w: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年平均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60</w:t>
                  </w:r>
                </w:p>
              </w:tc>
              <w:tc>
                <w:tcPr>
                  <w:tcW w:w="1855" w:type="dxa"/>
                  <w:vMerge w:val="restart"/>
                  <w:shd w:val="clear" w:color="auto" w:fill="auto"/>
                  <w:vAlign w:val="center"/>
                </w:tcPr>
                <w:p>
                  <w:pPr>
                    <w:pStyle w:val="50"/>
                    <w:snapToGrid w:val="0"/>
                    <w:spacing w:line="360" w:lineRule="exact"/>
                    <w:ind w:firstLine="0" w:firstLineChars="0"/>
                    <w:jc w:val="center"/>
                    <w:rPr>
                      <w:sz w:val="21"/>
                    </w:rPr>
                  </w:pPr>
                  <w:r>
                    <w:rPr>
                      <w:rFonts w:hint="eastAsia"/>
                      <w:sz w:val="21"/>
                    </w:rPr>
                    <w:t>《环境空气质量标准》（GB3095-2012）及2018修改单中的二级标准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24小时平均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150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1小时平均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500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restart"/>
                  <w:shd w:val="clear" w:color="auto" w:fill="auto"/>
                  <w:vAlign w:val="center"/>
                </w:tcPr>
                <w:p>
                  <w:pPr>
                    <w:adjustRightInd w:val="0"/>
                    <w:snapToGrid w:val="0"/>
                    <w:spacing w:line="360" w:lineRule="exact"/>
                    <w:jc w:val="center"/>
                    <w:rPr>
                      <w:szCs w:val="21"/>
                    </w:rPr>
                  </w:pPr>
                  <w:r>
                    <w:rPr>
                      <w:rFonts w:hint="eastAsia"/>
                      <w:kern w:val="0"/>
                      <w:szCs w:val="21"/>
                    </w:rPr>
                    <w:t>NO</w:t>
                  </w:r>
                  <w:r>
                    <w:rPr>
                      <w:rFonts w:hint="eastAsia"/>
                      <w:kern w:val="0"/>
                      <w:szCs w:val="21"/>
                      <w:vertAlign w:val="subscript"/>
                    </w:rPr>
                    <w:t>2</w:t>
                  </w:r>
                </w:p>
              </w:tc>
              <w:tc>
                <w:tcPr>
                  <w:tcW w:w="2120" w:type="dxa"/>
                  <w:shd w:val="clear" w:color="auto" w:fill="auto"/>
                  <w:vAlign w:val="center"/>
                </w:tcPr>
                <w:p>
                  <w:pPr>
                    <w:adjustRightInd w:val="0"/>
                    <w:snapToGrid w:val="0"/>
                    <w:spacing w:line="360" w:lineRule="exact"/>
                    <w:jc w:val="center"/>
                    <w:textAlignment w:val="baseline"/>
                    <w:rPr>
                      <w:szCs w:val="21"/>
                    </w:rPr>
                  </w:pPr>
                  <w:r>
                    <w:rPr>
                      <w:rFonts w:hint="eastAsia"/>
                      <w:kern w:val="0"/>
                      <w:szCs w:val="21"/>
                    </w:rPr>
                    <w:t>年平均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40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24小时平均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80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1小时平均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200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restart"/>
                  <w:shd w:val="clear" w:color="auto" w:fill="auto"/>
                  <w:vAlign w:val="center"/>
                </w:tcPr>
                <w:p>
                  <w:pPr>
                    <w:adjustRightInd w:val="0"/>
                    <w:snapToGrid w:val="0"/>
                    <w:spacing w:line="360" w:lineRule="exact"/>
                    <w:jc w:val="center"/>
                    <w:rPr>
                      <w:szCs w:val="21"/>
                    </w:rPr>
                  </w:pPr>
                  <w:r>
                    <w:rPr>
                      <w:rFonts w:hint="eastAsia"/>
                      <w:kern w:val="0"/>
                      <w:szCs w:val="21"/>
                    </w:rPr>
                    <w:t>CO</w:t>
                  </w: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24小时平均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mg/m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4</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1小时平均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mg/m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10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restart"/>
                  <w:shd w:val="clear" w:color="auto" w:fill="auto"/>
                  <w:vAlign w:val="center"/>
                </w:tcPr>
                <w:p>
                  <w:pPr>
                    <w:adjustRightInd w:val="0"/>
                    <w:snapToGrid w:val="0"/>
                    <w:spacing w:line="360" w:lineRule="exact"/>
                    <w:jc w:val="center"/>
                    <w:rPr>
                      <w:szCs w:val="21"/>
                    </w:rPr>
                  </w:pPr>
                  <w:r>
                    <w:rPr>
                      <w:rFonts w:hint="eastAsia"/>
                      <w:kern w:val="0"/>
                      <w:szCs w:val="21"/>
                    </w:rPr>
                    <w:t>O</w:t>
                  </w:r>
                  <w:r>
                    <w:rPr>
                      <w:rFonts w:hint="eastAsia"/>
                      <w:kern w:val="0"/>
                      <w:szCs w:val="21"/>
                      <w:vertAlign w:val="subscript"/>
                    </w:rPr>
                    <w:t>3</w:t>
                  </w: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日最大8小时平均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160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1小时平均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200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restart"/>
                  <w:shd w:val="clear" w:color="auto" w:fill="auto"/>
                  <w:vAlign w:val="center"/>
                </w:tcPr>
                <w:p>
                  <w:pPr>
                    <w:adjustRightInd w:val="0"/>
                    <w:snapToGrid w:val="0"/>
                    <w:spacing w:line="360" w:lineRule="exact"/>
                    <w:jc w:val="center"/>
                    <w:rPr>
                      <w:szCs w:val="21"/>
                    </w:rPr>
                  </w:pPr>
                  <w:r>
                    <w:rPr>
                      <w:rFonts w:hint="eastAsia"/>
                      <w:kern w:val="0"/>
                      <w:szCs w:val="21"/>
                    </w:rPr>
                    <w:t>PM</w:t>
                  </w:r>
                  <w:r>
                    <w:rPr>
                      <w:rFonts w:hint="eastAsia"/>
                      <w:kern w:val="0"/>
                      <w:szCs w:val="21"/>
                      <w:vertAlign w:val="subscript"/>
                    </w:rPr>
                    <w:t>10</w:t>
                  </w: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年平均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70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24小时平均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150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restart"/>
                  <w:shd w:val="clear" w:color="auto" w:fill="auto"/>
                  <w:vAlign w:val="center"/>
                </w:tcPr>
                <w:p>
                  <w:pPr>
                    <w:adjustRightInd w:val="0"/>
                    <w:snapToGrid w:val="0"/>
                    <w:spacing w:line="360" w:lineRule="exact"/>
                    <w:jc w:val="center"/>
                    <w:rPr>
                      <w:szCs w:val="21"/>
                    </w:rPr>
                  </w:pPr>
                  <w:r>
                    <w:rPr>
                      <w:rFonts w:hint="eastAsia"/>
                      <w:kern w:val="0"/>
                      <w:szCs w:val="21"/>
                    </w:rPr>
                    <w:t>PM</w:t>
                  </w:r>
                  <w:r>
                    <w:rPr>
                      <w:rFonts w:hint="eastAsia"/>
                      <w:kern w:val="0"/>
                      <w:szCs w:val="21"/>
                      <w:vertAlign w:val="subscript"/>
                    </w:rPr>
                    <w:t>2.5</w:t>
                  </w: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年平均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35</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szCs w:val="21"/>
                    </w:rPr>
                  </w:pPr>
                  <w:r>
                    <w:rPr>
                      <w:rFonts w:hint="eastAsia"/>
                      <w:kern w:val="0"/>
                      <w:szCs w:val="21"/>
                    </w:rPr>
                    <w:t>24小时平均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szCs w:val="21"/>
                    </w:rPr>
                  </w:pPr>
                  <w:r>
                    <w:rPr>
                      <w:rFonts w:hint="eastAsia"/>
                      <w:kern w:val="0"/>
                      <w:szCs w:val="21"/>
                    </w:rPr>
                    <w:t>75</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restart"/>
                  <w:shd w:val="clear" w:color="auto" w:fill="auto"/>
                  <w:vAlign w:val="center"/>
                </w:tcPr>
                <w:p>
                  <w:pPr>
                    <w:adjustRightInd w:val="0"/>
                    <w:snapToGrid w:val="0"/>
                    <w:spacing w:line="360" w:lineRule="exact"/>
                    <w:jc w:val="center"/>
                    <w:rPr>
                      <w:szCs w:val="21"/>
                    </w:rPr>
                  </w:pPr>
                  <w:r>
                    <w:rPr>
                      <w:rFonts w:hint="eastAsia"/>
                      <w:szCs w:val="21"/>
                    </w:rPr>
                    <w:t>TSP</w:t>
                  </w:r>
                </w:p>
              </w:tc>
              <w:tc>
                <w:tcPr>
                  <w:tcW w:w="2120" w:type="dxa"/>
                  <w:shd w:val="clear" w:color="auto" w:fill="auto"/>
                  <w:vAlign w:val="center"/>
                </w:tcPr>
                <w:p>
                  <w:pPr>
                    <w:adjustRightInd w:val="0"/>
                    <w:snapToGrid w:val="0"/>
                    <w:spacing w:line="360" w:lineRule="exact"/>
                    <w:jc w:val="center"/>
                    <w:rPr>
                      <w:kern w:val="0"/>
                      <w:szCs w:val="21"/>
                    </w:rPr>
                  </w:pPr>
                  <w:r>
                    <w:rPr>
                      <w:rFonts w:hint="eastAsia"/>
                      <w:kern w:val="0"/>
                      <w:szCs w:val="21"/>
                    </w:rPr>
                    <w:t>年平均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kern w:val="0"/>
                      <w:szCs w:val="21"/>
                    </w:rPr>
                  </w:pPr>
                  <w:r>
                    <w:rPr>
                      <w:rFonts w:hint="eastAsia"/>
                      <w:kern w:val="0"/>
                      <w:szCs w:val="21"/>
                    </w:rPr>
                    <w:t>200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50"/>
                    <w:snapToGrid w:val="0"/>
                    <w:spacing w:line="360" w:lineRule="exact"/>
                    <w:ind w:firstLine="0" w:firstLineChars="0"/>
                    <w:jc w:val="center"/>
                    <w:rPr>
                      <w:sz w:val="21"/>
                    </w:rPr>
                  </w:pPr>
                </w:p>
              </w:tc>
              <w:tc>
                <w:tcPr>
                  <w:tcW w:w="1015" w:type="dxa"/>
                  <w:vMerge w:val="continue"/>
                  <w:shd w:val="clear" w:color="auto" w:fill="auto"/>
                  <w:vAlign w:val="center"/>
                </w:tcPr>
                <w:p>
                  <w:pPr>
                    <w:adjustRightInd w:val="0"/>
                    <w:snapToGrid w:val="0"/>
                    <w:spacing w:line="360" w:lineRule="exact"/>
                    <w:jc w:val="center"/>
                    <w:rPr>
                      <w:szCs w:val="21"/>
                    </w:rPr>
                  </w:pPr>
                </w:p>
              </w:tc>
              <w:tc>
                <w:tcPr>
                  <w:tcW w:w="2120" w:type="dxa"/>
                  <w:shd w:val="clear" w:color="auto" w:fill="auto"/>
                  <w:vAlign w:val="center"/>
                </w:tcPr>
                <w:p>
                  <w:pPr>
                    <w:adjustRightInd w:val="0"/>
                    <w:snapToGrid w:val="0"/>
                    <w:spacing w:line="360" w:lineRule="exact"/>
                    <w:jc w:val="center"/>
                    <w:rPr>
                      <w:kern w:val="0"/>
                      <w:szCs w:val="21"/>
                    </w:rPr>
                  </w:pPr>
                  <w:r>
                    <w:rPr>
                      <w:rFonts w:hint="eastAsia"/>
                      <w:kern w:val="0"/>
                      <w:szCs w:val="21"/>
                    </w:rPr>
                    <w:t>24小时平均</w:t>
                  </w:r>
                </w:p>
              </w:tc>
              <w:tc>
                <w:tcPr>
                  <w:tcW w:w="1318" w:type="dxa"/>
                  <w:shd w:val="clear" w:color="auto" w:fill="auto"/>
                  <w:vAlign w:val="center"/>
                </w:tcPr>
                <w:p>
                  <w:pPr>
                    <w:pStyle w:val="50"/>
                    <w:snapToGrid w:val="0"/>
                    <w:spacing w:line="360" w:lineRule="exact"/>
                    <w:ind w:firstLine="0" w:firstLineChars="0"/>
                    <w:jc w:val="center"/>
                    <w:rPr>
                      <w:sz w:val="21"/>
                    </w:rPr>
                  </w:pPr>
                  <w:r>
                    <w:rPr>
                      <w:rFonts w:hint="eastAsia"/>
                      <w:sz w:val="21"/>
                    </w:rPr>
                    <w:t>μg/m</w:t>
                  </w:r>
                  <w:r>
                    <w:rPr>
                      <w:rFonts w:hint="eastAsia"/>
                      <w:sz w:val="21"/>
                      <w:vertAlign w:val="superscript"/>
                    </w:rPr>
                    <w:t>3</w:t>
                  </w:r>
                </w:p>
              </w:tc>
              <w:tc>
                <w:tcPr>
                  <w:tcW w:w="1280" w:type="dxa"/>
                  <w:shd w:val="clear" w:color="auto" w:fill="auto"/>
                  <w:vAlign w:val="center"/>
                </w:tcPr>
                <w:p>
                  <w:pPr>
                    <w:adjustRightInd w:val="0"/>
                    <w:snapToGrid w:val="0"/>
                    <w:spacing w:line="360" w:lineRule="exact"/>
                    <w:jc w:val="center"/>
                    <w:rPr>
                      <w:kern w:val="0"/>
                      <w:szCs w:val="21"/>
                    </w:rPr>
                  </w:pPr>
                  <w:r>
                    <w:rPr>
                      <w:rFonts w:hint="eastAsia"/>
                      <w:kern w:val="0"/>
                      <w:szCs w:val="21"/>
                    </w:rPr>
                    <w:t>300</w:t>
                  </w:r>
                </w:p>
              </w:tc>
              <w:tc>
                <w:tcPr>
                  <w:tcW w:w="1855" w:type="dxa"/>
                  <w:vMerge w:val="continue"/>
                  <w:shd w:val="clear" w:color="auto" w:fill="auto"/>
                  <w:vAlign w:val="center"/>
                </w:tcPr>
                <w:p>
                  <w:pPr>
                    <w:pStyle w:val="50"/>
                    <w:snapToGrid w:val="0"/>
                    <w:spacing w:line="360" w:lineRule="exact"/>
                    <w:ind w:firstLine="0" w:firstLineChars="0"/>
                    <w:jc w:val="center"/>
                    <w:rPr>
                      <w:sz w:val="21"/>
                    </w:rPr>
                  </w:pPr>
                </w:p>
              </w:tc>
            </w:tr>
          </w:tbl>
          <w:p>
            <w:pPr>
              <w:pStyle w:val="50"/>
              <w:ind w:firstLine="480"/>
            </w:pPr>
            <w:r>
              <w:rPr>
                <w:rFonts w:hint="eastAsia"/>
              </w:rPr>
              <w:t>（2）声环境质量</w:t>
            </w:r>
          </w:p>
          <w:p>
            <w:pPr>
              <w:pStyle w:val="50"/>
              <w:ind w:firstLine="480"/>
            </w:pPr>
            <w:r>
              <w:rPr>
                <w:rFonts w:hint="eastAsia"/>
              </w:rPr>
              <w:t>评价区声环境质量执行《声环境质量标准》（GB3096-2008）中2类标准，具体标准详见下表。</w:t>
            </w:r>
          </w:p>
          <w:p>
            <w:pPr>
              <w:pStyle w:val="50"/>
              <w:numPr>
                <w:ilvl w:val="0"/>
                <w:numId w:val="2"/>
              </w:numPr>
              <w:snapToGrid w:val="0"/>
              <w:spacing w:line="240" w:lineRule="auto"/>
              <w:ind w:firstLineChars="0"/>
              <w:jc w:val="center"/>
              <w:rPr>
                <w:b/>
                <w:bCs/>
              </w:rPr>
            </w:pPr>
            <w:r>
              <w:rPr>
                <w:rFonts w:hint="eastAsia"/>
                <w:b/>
                <w:bCs/>
              </w:rPr>
              <w:t>本项目声环境质量标准一览表</w:t>
            </w:r>
          </w:p>
          <w:tbl>
            <w:tblPr>
              <w:tblStyle w:val="23"/>
              <w:tblW w:w="82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1085"/>
              <w:gridCol w:w="1350"/>
              <w:gridCol w:w="1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tcBorders>
                    <w:tl2br w:val="nil"/>
                    <w:tr2bl w:val="nil"/>
                  </w:tcBorders>
                  <w:vAlign w:val="center"/>
                </w:tcPr>
                <w:p>
                  <w:pPr>
                    <w:pStyle w:val="50"/>
                    <w:snapToGrid w:val="0"/>
                    <w:spacing w:line="240" w:lineRule="auto"/>
                    <w:ind w:firstLine="0" w:firstLineChars="0"/>
                    <w:jc w:val="center"/>
                    <w:rPr>
                      <w:b/>
                      <w:bCs/>
                      <w:sz w:val="21"/>
                    </w:rPr>
                  </w:pPr>
                  <w:r>
                    <w:rPr>
                      <w:rFonts w:hint="eastAsia"/>
                      <w:b/>
                      <w:bCs/>
                      <w:sz w:val="21"/>
                    </w:rPr>
                    <w:t>标准来源</w:t>
                  </w:r>
                </w:p>
              </w:tc>
              <w:tc>
                <w:tcPr>
                  <w:tcW w:w="1085" w:type="dxa"/>
                  <w:tcBorders>
                    <w:tl2br w:val="nil"/>
                    <w:tr2bl w:val="nil"/>
                  </w:tcBorders>
                  <w:vAlign w:val="center"/>
                </w:tcPr>
                <w:p>
                  <w:pPr>
                    <w:pStyle w:val="50"/>
                    <w:snapToGrid w:val="0"/>
                    <w:spacing w:line="240" w:lineRule="auto"/>
                    <w:ind w:firstLine="0" w:firstLineChars="0"/>
                    <w:jc w:val="center"/>
                    <w:rPr>
                      <w:b/>
                      <w:bCs/>
                      <w:sz w:val="21"/>
                    </w:rPr>
                  </w:pPr>
                  <w:r>
                    <w:rPr>
                      <w:rFonts w:hint="eastAsia"/>
                      <w:b/>
                      <w:bCs/>
                      <w:sz w:val="21"/>
                    </w:rPr>
                    <w:t>类别</w:t>
                  </w:r>
                </w:p>
              </w:tc>
              <w:tc>
                <w:tcPr>
                  <w:tcW w:w="1350" w:type="dxa"/>
                  <w:tcBorders>
                    <w:tl2br w:val="nil"/>
                    <w:tr2bl w:val="nil"/>
                  </w:tcBorders>
                  <w:vAlign w:val="center"/>
                </w:tcPr>
                <w:p>
                  <w:pPr>
                    <w:jc w:val="center"/>
                    <w:rPr>
                      <w:b/>
                      <w:bCs/>
                      <w:szCs w:val="21"/>
                    </w:rPr>
                  </w:pPr>
                  <w:r>
                    <w:rPr>
                      <w:rFonts w:hint="eastAsia"/>
                      <w:b/>
                      <w:snapToGrid w:val="0"/>
                      <w:kern w:val="0"/>
                      <w:szCs w:val="21"/>
                    </w:rPr>
                    <w:t>昼间</w:t>
                  </w:r>
                  <w:r>
                    <w:rPr>
                      <w:rFonts w:hint="eastAsia"/>
                      <w:snapToGrid w:val="0"/>
                      <w:kern w:val="0"/>
                      <w:szCs w:val="21"/>
                    </w:rPr>
                    <w:t>dB(A)</w:t>
                  </w:r>
                </w:p>
              </w:tc>
              <w:tc>
                <w:tcPr>
                  <w:tcW w:w="1428" w:type="dxa"/>
                  <w:tcBorders>
                    <w:tl2br w:val="nil"/>
                    <w:tr2bl w:val="nil"/>
                  </w:tcBorders>
                  <w:vAlign w:val="center"/>
                </w:tcPr>
                <w:p>
                  <w:pPr>
                    <w:jc w:val="center"/>
                    <w:rPr>
                      <w:b/>
                      <w:bCs/>
                      <w:szCs w:val="21"/>
                    </w:rPr>
                  </w:pPr>
                  <w:r>
                    <w:rPr>
                      <w:rFonts w:hint="eastAsia"/>
                      <w:b/>
                      <w:snapToGrid w:val="0"/>
                      <w:kern w:val="0"/>
                      <w:szCs w:val="21"/>
                    </w:rPr>
                    <w:t>夜间</w:t>
                  </w:r>
                  <w:r>
                    <w:rPr>
                      <w:rFonts w:hint="eastAsia"/>
                      <w:snapToGrid w:val="0"/>
                      <w:kern w:val="0"/>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《声环境质量标准》（GB3096-2008）</w:t>
                  </w:r>
                </w:p>
              </w:tc>
              <w:tc>
                <w:tcPr>
                  <w:tcW w:w="1085"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2类</w:t>
                  </w:r>
                </w:p>
              </w:tc>
              <w:tc>
                <w:tcPr>
                  <w:tcW w:w="1350" w:type="dxa"/>
                  <w:tcBorders>
                    <w:tl2br w:val="nil"/>
                    <w:tr2bl w:val="nil"/>
                  </w:tcBorders>
                  <w:vAlign w:val="center"/>
                </w:tcPr>
                <w:p>
                  <w:pPr>
                    <w:jc w:val="center"/>
                    <w:rPr>
                      <w:szCs w:val="21"/>
                    </w:rPr>
                  </w:pPr>
                  <w:r>
                    <w:rPr>
                      <w:rFonts w:hint="eastAsia"/>
                      <w:snapToGrid w:val="0"/>
                      <w:kern w:val="0"/>
                      <w:szCs w:val="21"/>
                    </w:rPr>
                    <w:t>60</w:t>
                  </w:r>
                </w:p>
              </w:tc>
              <w:tc>
                <w:tcPr>
                  <w:tcW w:w="1428" w:type="dxa"/>
                  <w:tcBorders>
                    <w:tl2br w:val="nil"/>
                    <w:tr2bl w:val="nil"/>
                  </w:tcBorders>
                  <w:vAlign w:val="center"/>
                </w:tcPr>
                <w:p>
                  <w:pPr>
                    <w:jc w:val="center"/>
                    <w:rPr>
                      <w:szCs w:val="21"/>
                    </w:rPr>
                  </w:pPr>
                  <w:r>
                    <w:rPr>
                      <w:rFonts w:hint="eastAsia"/>
                      <w:snapToGrid w:val="0"/>
                      <w:kern w:val="0"/>
                      <w:szCs w:val="21"/>
                    </w:rPr>
                    <w:t>50</w:t>
                  </w:r>
                </w:p>
              </w:tc>
            </w:tr>
          </w:tbl>
          <w:p>
            <w:pPr>
              <w:spacing w:line="360" w:lineRule="auto"/>
              <w:ind w:firstLine="480" w:firstLineChars="200"/>
              <w:rPr>
                <w:sz w:val="24"/>
              </w:rPr>
            </w:pPr>
            <w:r>
              <w:rPr>
                <w:rFonts w:hint="eastAsia"/>
                <w:sz w:val="24"/>
              </w:rPr>
              <w:t>（3）地表水</w:t>
            </w:r>
          </w:p>
          <w:p>
            <w:pPr>
              <w:pStyle w:val="50"/>
              <w:ind w:firstLine="480"/>
            </w:pPr>
            <w:r>
              <w:rPr>
                <w:rFonts w:hint="eastAsia"/>
                <w:szCs w:val="24"/>
              </w:rPr>
              <w:t>苦水河位于本项目东侧5.5km处，</w:t>
            </w:r>
            <w:r>
              <w:rPr>
                <w:rFonts w:hint="eastAsia"/>
              </w:rPr>
              <w:t>依据《202</w:t>
            </w:r>
            <w:r>
              <w:t>1</w:t>
            </w:r>
            <w:r>
              <w:rPr>
                <w:rFonts w:hint="eastAsia"/>
              </w:rPr>
              <w:t>年宁夏生态环境质量状况》中“苦水河甘-宁省界断面水质”为劣</w:t>
            </w:r>
            <w:r>
              <w:rPr>
                <w:rFonts w:hint="eastAsia"/>
              </w:rPr>
              <w:fldChar w:fldCharType="begin"/>
            </w:r>
            <w:r>
              <w:rPr>
                <w:rFonts w:hint="eastAsia"/>
              </w:rPr>
              <w:instrText xml:space="preserve"> = 5 \* ROMAN \* MERGEFORMAT </w:instrText>
            </w:r>
            <w:r>
              <w:rPr>
                <w:rFonts w:hint="eastAsia"/>
              </w:rPr>
              <w:fldChar w:fldCharType="separate"/>
            </w:r>
            <w:r>
              <w:rPr>
                <w:rFonts w:hint="eastAsia"/>
              </w:rPr>
              <w:t>V</w:t>
            </w:r>
            <w:r>
              <w:rPr>
                <w:rFonts w:hint="eastAsia"/>
              </w:rPr>
              <w:fldChar w:fldCharType="end"/>
            </w:r>
            <w:r>
              <w:rPr>
                <w:rFonts w:hint="eastAsia"/>
              </w:rPr>
              <w:t>类水质，苦水河目标水质为</w:t>
            </w:r>
            <w:r>
              <w:rPr>
                <w:rFonts w:hint="eastAsia"/>
              </w:rPr>
              <w:fldChar w:fldCharType="begin"/>
            </w:r>
            <w:r>
              <w:rPr>
                <w:rFonts w:hint="eastAsia"/>
              </w:rPr>
              <w:instrText xml:space="preserve"> = 4 \* ROMAN </w:instrText>
            </w:r>
            <w:r>
              <w:rPr>
                <w:rFonts w:hint="eastAsia"/>
              </w:rPr>
              <w:fldChar w:fldCharType="separate"/>
            </w:r>
            <w:r>
              <w:rPr>
                <w:rFonts w:hint="eastAsia"/>
              </w:rPr>
              <w:t>V</w:t>
            </w:r>
            <w:r>
              <w:rPr>
                <w:rFonts w:hint="eastAsia"/>
              </w:rPr>
              <w:fldChar w:fldCharType="end"/>
            </w:r>
            <w:r>
              <w:rPr>
                <w:rFonts w:hint="eastAsia"/>
              </w:rPr>
              <w:t>类水质。因此本项目地表水选用《地表水环境质量标准》（GB3838-2002）</w:t>
            </w:r>
            <w:r>
              <w:rPr>
                <w:rFonts w:hint="eastAsia"/>
              </w:rPr>
              <w:fldChar w:fldCharType="begin"/>
            </w:r>
            <w:r>
              <w:rPr>
                <w:rFonts w:hint="eastAsia"/>
              </w:rPr>
              <w:instrText xml:space="preserve"> = 4 \* ROMAN </w:instrText>
            </w:r>
            <w:r>
              <w:rPr>
                <w:rFonts w:hint="eastAsia"/>
              </w:rPr>
              <w:fldChar w:fldCharType="separate"/>
            </w:r>
            <w:r>
              <w:rPr>
                <w:rFonts w:hint="eastAsia"/>
              </w:rPr>
              <w:t>V</w:t>
            </w:r>
            <w:r>
              <w:rPr>
                <w:rFonts w:hint="eastAsia"/>
              </w:rPr>
              <w:fldChar w:fldCharType="end"/>
            </w:r>
            <w:r>
              <w:rPr>
                <w:rFonts w:hint="eastAsia"/>
              </w:rPr>
              <w:t>类标准进行表征，</w:t>
            </w:r>
            <w:r>
              <w:rPr>
                <w:rFonts w:hint="eastAsia"/>
                <w:szCs w:val="24"/>
              </w:rPr>
              <w:t>标准限值见下表。</w:t>
            </w:r>
          </w:p>
          <w:p>
            <w:pPr>
              <w:pStyle w:val="50"/>
              <w:numPr>
                <w:ilvl w:val="0"/>
                <w:numId w:val="2"/>
              </w:numPr>
              <w:snapToGrid w:val="0"/>
              <w:spacing w:line="240" w:lineRule="auto"/>
              <w:ind w:left="420" w:firstLineChars="0"/>
              <w:jc w:val="center"/>
              <w:rPr>
                <w:b/>
                <w:bCs/>
              </w:rPr>
            </w:pPr>
            <w:r>
              <w:rPr>
                <w:rFonts w:hint="eastAsia"/>
                <w:b/>
                <w:bCs/>
              </w:rPr>
              <w:t>地表水环境质量</w:t>
            </w:r>
          </w:p>
          <w:tbl>
            <w:tblPr>
              <w:tblStyle w:val="22"/>
              <w:tblW w:w="82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5"/>
              <w:gridCol w:w="2077"/>
              <w:gridCol w:w="1246"/>
              <w:gridCol w:w="1098"/>
              <w:gridCol w:w="1380"/>
              <w:gridCol w:w="13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12" w:space="0"/>
                    <w:left w:val="single" w:color="auto" w:sz="12" w:space="0"/>
                    <w:bottom w:val="single" w:color="auto" w:sz="6" w:space="0"/>
                    <w:right w:val="single" w:color="auto" w:sz="6" w:space="0"/>
                  </w:tcBorders>
                  <w:vAlign w:val="center"/>
                </w:tcPr>
                <w:p>
                  <w:pPr>
                    <w:adjustRightInd w:val="0"/>
                    <w:snapToGrid w:val="0"/>
                    <w:ind w:firstLine="482"/>
                    <w:jc w:val="center"/>
                    <w:rPr>
                      <w:b/>
                      <w:szCs w:val="21"/>
                    </w:rPr>
                  </w:pPr>
                  <w:r>
                    <w:rPr>
                      <w:rFonts w:ascii="宋体" w:hAnsi="宋体"/>
                      <w:b/>
                      <w:szCs w:val="21"/>
                    </w:rPr>
                    <w:t>序号</w:t>
                  </w:r>
                </w:p>
              </w:tc>
              <w:tc>
                <w:tcPr>
                  <w:tcW w:w="2077"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b/>
                      <w:szCs w:val="21"/>
                    </w:rPr>
                  </w:pPr>
                  <w:r>
                    <w:rPr>
                      <w:rFonts w:ascii="宋体" w:hAnsi="宋体"/>
                      <w:b/>
                      <w:szCs w:val="21"/>
                    </w:rPr>
                    <w:t>项目</w:t>
                  </w:r>
                </w:p>
              </w:tc>
              <w:tc>
                <w:tcPr>
                  <w:tcW w:w="1246"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b/>
                      <w:szCs w:val="21"/>
                    </w:rPr>
                  </w:pPr>
                  <w:r>
                    <w:rPr>
                      <w:rFonts w:ascii="宋体" w:hAnsi="宋体"/>
                      <w:b/>
                      <w:szCs w:val="21"/>
                    </w:rPr>
                    <w:t>标准值</w:t>
                  </w:r>
                </w:p>
              </w:tc>
              <w:tc>
                <w:tcPr>
                  <w:tcW w:w="1098"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b/>
                      <w:szCs w:val="21"/>
                    </w:rPr>
                  </w:pPr>
                  <w:r>
                    <w:rPr>
                      <w:rFonts w:ascii="宋体" w:hAnsi="宋体"/>
                      <w:b/>
                      <w:szCs w:val="21"/>
                    </w:rPr>
                    <w:t>序号</w:t>
                  </w:r>
                </w:p>
              </w:tc>
              <w:tc>
                <w:tcPr>
                  <w:tcW w:w="1380"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b/>
                      <w:szCs w:val="21"/>
                    </w:rPr>
                  </w:pPr>
                  <w:r>
                    <w:rPr>
                      <w:rFonts w:ascii="宋体" w:hAnsi="宋体"/>
                      <w:b/>
                      <w:szCs w:val="21"/>
                    </w:rPr>
                    <w:t>项目</w:t>
                  </w:r>
                </w:p>
              </w:tc>
              <w:tc>
                <w:tcPr>
                  <w:tcW w:w="1387" w:type="dxa"/>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b/>
                      <w:szCs w:val="21"/>
                    </w:rPr>
                  </w:pPr>
                  <w:r>
                    <w:rPr>
                      <w:rFonts w:ascii="宋体" w:hAnsi="宋体"/>
                      <w:b/>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1</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pH</w:t>
                  </w:r>
                  <w:r>
                    <w:rPr>
                      <w:rFonts w:ascii="宋体" w:hAnsi="宋体"/>
                      <w:szCs w:val="21"/>
                    </w:rPr>
                    <w:t>值（无量纲）</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6</w:t>
                  </w:r>
                  <w:r>
                    <w:rPr>
                      <w:rFonts w:ascii="宋体" w:hAnsi="宋体"/>
                      <w:szCs w:val="21"/>
                    </w:rPr>
                    <w:t>～</w:t>
                  </w:r>
                  <w:r>
                    <w:rPr>
                      <w:szCs w:val="21"/>
                    </w:rPr>
                    <w:t>9</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13</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铜</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2</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溶解氧</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≥2</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14</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锌</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3</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高锰酸盐指数</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≤15</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15</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氟化物</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4</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hint="eastAsia" w:ascii="宋体" w:hAnsi="宋体"/>
                      <w:szCs w:val="21"/>
                    </w:rPr>
                    <w:t>五日</w:t>
                  </w:r>
                  <w:r>
                    <w:rPr>
                      <w:rFonts w:ascii="宋体" w:hAnsi="宋体"/>
                      <w:szCs w:val="21"/>
                    </w:rPr>
                    <w:t>生化需氧量</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≤10</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16</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硒</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5</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氨氮</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≤2.0</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17</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砷</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6</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汞</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≤0.001</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18</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镉</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7</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铅</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≤0.1</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19</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六价铬</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8</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挥发酚</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≤0.1</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20</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氰化物</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9</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石油类</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≤1.0</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21</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硫化物</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10</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化学需氧量</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≤40</w:t>
                  </w:r>
                </w:p>
              </w:tc>
              <w:tc>
                <w:tcPr>
                  <w:tcW w:w="109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22</w:t>
                  </w:r>
                </w:p>
              </w:tc>
              <w:tc>
                <w:tcPr>
                  <w:tcW w:w="138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阴离子表面活性剂</w:t>
                  </w:r>
                </w:p>
              </w:tc>
              <w:tc>
                <w:tcPr>
                  <w:tcW w:w="1387"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szCs w:val="21"/>
                    </w:rPr>
                  </w:pPr>
                  <w:r>
                    <w:rPr>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szCs w:val="21"/>
                    </w:rPr>
                    <w:t>11</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ascii="宋体" w:hAnsi="宋体"/>
                      <w:szCs w:val="21"/>
                    </w:rPr>
                    <w:t>总磷</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≤0.4</w:t>
                  </w:r>
                </w:p>
              </w:tc>
              <w:tc>
                <w:tcPr>
                  <w:tcW w:w="1098" w:type="dxa"/>
                  <w:vMerge w:val="restart"/>
                  <w:tcBorders>
                    <w:top w:val="single" w:color="auto" w:sz="6" w:space="0"/>
                    <w:left w:val="single" w:color="auto" w:sz="6" w:space="0"/>
                    <w:right w:val="single" w:color="auto" w:sz="6" w:space="0"/>
                  </w:tcBorders>
                  <w:vAlign w:val="center"/>
                </w:tcPr>
                <w:p>
                  <w:pPr>
                    <w:widowControl/>
                    <w:jc w:val="center"/>
                    <w:rPr>
                      <w:szCs w:val="21"/>
                    </w:rPr>
                  </w:pPr>
                  <w:r>
                    <w:rPr>
                      <w:rFonts w:hint="eastAsia"/>
                      <w:szCs w:val="21"/>
                    </w:rPr>
                    <w:t>2</w:t>
                  </w:r>
                  <w:r>
                    <w:rPr>
                      <w:szCs w:val="21"/>
                    </w:rPr>
                    <w:t>3</w:t>
                  </w:r>
                </w:p>
              </w:tc>
              <w:tc>
                <w:tcPr>
                  <w:tcW w:w="1380" w:type="dxa"/>
                  <w:vMerge w:val="restart"/>
                  <w:tcBorders>
                    <w:top w:val="single" w:color="auto" w:sz="6" w:space="0"/>
                    <w:left w:val="single" w:color="auto" w:sz="6" w:space="0"/>
                    <w:right w:val="single" w:color="auto" w:sz="6" w:space="0"/>
                  </w:tcBorders>
                  <w:vAlign w:val="center"/>
                </w:tcPr>
                <w:p>
                  <w:pPr>
                    <w:widowControl/>
                    <w:jc w:val="left"/>
                    <w:rPr>
                      <w:szCs w:val="21"/>
                    </w:rPr>
                  </w:pPr>
                  <w:r>
                    <w:rPr>
                      <w:rFonts w:hint="eastAsia"/>
                      <w:szCs w:val="21"/>
                    </w:rPr>
                    <w:t>粪大肠菌群</w:t>
                  </w:r>
                </w:p>
              </w:tc>
              <w:tc>
                <w:tcPr>
                  <w:tcW w:w="1387" w:type="dxa"/>
                  <w:vMerge w:val="restart"/>
                  <w:tcBorders>
                    <w:top w:val="single" w:color="auto" w:sz="6" w:space="0"/>
                    <w:left w:val="single" w:color="auto" w:sz="6" w:space="0"/>
                    <w:right w:val="single" w:color="auto" w:sz="12" w:space="0"/>
                  </w:tcBorders>
                  <w:vAlign w:val="center"/>
                </w:tcPr>
                <w:p>
                  <w:pPr>
                    <w:widowControl/>
                    <w:jc w:val="center"/>
                    <w:rPr>
                      <w:szCs w:val="21"/>
                    </w:rPr>
                  </w:pPr>
                  <w:r>
                    <w:rPr>
                      <w:szCs w:val="21"/>
                    </w:rPr>
                    <w:t>≤40000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095"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szCs w:val="21"/>
                    </w:rPr>
                  </w:pPr>
                  <w:r>
                    <w:rPr>
                      <w:rFonts w:hint="eastAsia"/>
                      <w:szCs w:val="21"/>
                    </w:rPr>
                    <w:t>1</w:t>
                  </w:r>
                  <w:r>
                    <w:rPr>
                      <w:szCs w:val="21"/>
                    </w:rPr>
                    <w:t>2</w:t>
                  </w:r>
                </w:p>
              </w:tc>
              <w:tc>
                <w:tcPr>
                  <w:tcW w:w="207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szCs w:val="21"/>
                    </w:rPr>
                  </w:pPr>
                  <w:r>
                    <w:rPr>
                      <w:rFonts w:hint="eastAsia" w:ascii="宋体" w:hAnsi="宋体"/>
                      <w:szCs w:val="21"/>
                    </w:rPr>
                    <w:t>总氮</w:t>
                  </w:r>
                </w:p>
              </w:tc>
              <w:tc>
                <w:tcPr>
                  <w:tcW w:w="124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≤2.0</w:t>
                  </w:r>
                </w:p>
              </w:tc>
              <w:tc>
                <w:tcPr>
                  <w:tcW w:w="1098" w:type="dxa"/>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1380" w:type="dxa"/>
                  <w:vMerge w:val="continue"/>
                  <w:tcBorders>
                    <w:left w:val="single" w:color="auto" w:sz="6" w:space="0"/>
                    <w:bottom w:val="single" w:color="auto" w:sz="6" w:space="0"/>
                    <w:right w:val="single" w:color="auto" w:sz="6" w:space="0"/>
                  </w:tcBorders>
                  <w:vAlign w:val="center"/>
                </w:tcPr>
                <w:p>
                  <w:pPr>
                    <w:widowControl/>
                    <w:jc w:val="left"/>
                    <w:rPr>
                      <w:szCs w:val="21"/>
                    </w:rPr>
                  </w:pPr>
                </w:p>
              </w:tc>
              <w:tc>
                <w:tcPr>
                  <w:tcW w:w="1387" w:type="dxa"/>
                  <w:vMerge w:val="continue"/>
                  <w:tcBorders>
                    <w:left w:val="single" w:color="auto" w:sz="6" w:space="0"/>
                    <w:bottom w:val="single" w:color="auto" w:sz="6" w:space="0"/>
                    <w:right w:val="single" w:color="auto" w:sz="12" w:space="0"/>
                  </w:tcBorders>
                  <w:vAlign w:val="center"/>
                </w:tcPr>
                <w:p>
                  <w:pPr>
                    <w:widowControl/>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95" w:type="dxa"/>
                  <w:tcBorders>
                    <w:top w:val="single" w:color="auto" w:sz="6" w:space="0"/>
                    <w:left w:val="single" w:color="auto" w:sz="12" w:space="0"/>
                    <w:bottom w:val="single" w:color="auto" w:sz="12" w:space="0"/>
                    <w:right w:val="single" w:color="auto" w:sz="6" w:space="0"/>
                  </w:tcBorders>
                  <w:vAlign w:val="center"/>
                </w:tcPr>
                <w:p>
                  <w:pPr>
                    <w:adjustRightInd w:val="0"/>
                    <w:snapToGrid w:val="0"/>
                    <w:jc w:val="center"/>
                    <w:rPr>
                      <w:szCs w:val="21"/>
                    </w:rPr>
                  </w:pPr>
                  <w:r>
                    <w:rPr>
                      <w:rFonts w:ascii="宋体" w:hAnsi="宋体"/>
                      <w:szCs w:val="21"/>
                    </w:rPr>
                    <w:t>单位</w:t>
                  </w:r>
                </w:p>
              </w:tc>
              <w:tc>
                <w:tcPr>
                  <w:tcW w:w="7188"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jc w:val="center"/>
                    <w:rPr>
                      <w:szCs w:val="21"/>
                    </w:rPr>
                  </w:pPr>
                  <w:r>
                    <w:rPr>
                      <w:szCs w:val="21"/>
                    </w:rPr>
                    <w:t>mg/L</w:t>
                  </w:r>
                  <w:r>
                    <w:rPr>
                      <w:rFonts w:ascii="宋体" w:hAnsi="宋体"/>
                      <w:szCs w:val="21"/>
                    </w:rPr>
                    <w:t>，</w:t>
                  </w:r>
                  <w:r>
                    <w:rPr>
                      <w:szCs w:val="21"/>
                    </w:rPr>
                    <w:t>pH</w:t>
                  </w:r>
                  <w:r>
                    <w:rPr>
                      <w:rFonts w:ascii="宋体" w:hAnsi="宋体"/>
                      <w:szCs w:val="21"/>
                    </w:rPr>
                    <w:t>无量纲</w:t>
                  </w:r>
                </w:p>
              </w:tc>
            </w:tr>
          </w:tbl>
          <w:p>
            <w:pPr>
              <w:pStyle w:val="50"/>
              <w:ind w:firstLine="482"/>
              <w:rPr>
                <w:b/>
                <w:bCs/>
              </w:rPr>
            </w:pPr>
            <w:r>
              <w:rPr>
                <w:rFonts w:hint="eastAsia"/>
                <w:b/>
                <w:bCs/>
              </w:rPr>
              <w:t>2、污染物排放标准</w:t>
            </w:r>
          </w:p>
          <w:p>
            <w:pPr>
              <w:pStyle w:val="50"/>
              <w:ind w:firstLine="480"/>
            </w:pPr>
            <w:r>
              <w:rPr>
                <w:rFonts w:hint="eastAsia"/>
              </w:rPr>
              <w:t>（1）废气</w:t>
            </w:r>
          </w:p>
          <w:p>
            <w:pPr>
              <w:pStyle w:val="50"/>
              <w:ind w:firstLine="480"/>
            </w:pPr>
            <w:r>
              <w:rPr>
                <w:rFonts w:hint="eastAsia"/>
              </w:rPr>
              <w:t>本项目施工期、生产期粉尘执行《大气污染物综合排放标准》（GB16297-1996）中排放标准限值，具体标准详见下表：</w:t>
            </w:r>
          </w:p>
          <w:p>
            <w:pPr>
              <w:pStyle w:val="50"/>
              <w:numPr>
                <w:ilvl w:val="0"/>
                <w:numId w:val="2"/>
              </w:numPr>
              <w:snapToGrid w:val="0"/>
              <w:spacing w:line="240" w:lineRule="auto"/>
              <w:ind w:left="420" w:firstLineChars="0"/>
              <w:jc w:val="center"/>
              <w:rPr>
                <w:b/>
                <w:bCs/>
              </w:rPr>
            </w:pPr>
            <w:r>
              <w:rPr>
                <w:rFonts w:hint="eastAsia"/>
                <w:b/>
                <w:bCs/>
              </w:rPr>
              <w:t>大气污染物排放标准限值</w:t>
            </w:r>
          </w:p>
          <w:tbl>
            <w:tblPr>
              <w:tblStyle w:val="22"/>
              <w:tblW w:w="82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59"/>
              <w:gridCol w:w="1560"/>
              <w:gridCol w:w="1275"/>
              <w:gridCol w:w="1134"/>
              <w:gridCol w:w="1560"/>
              <w:gridCol w:w="18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59" w:type="dxa"/>
                  <w:vMerge w:val="restart"/>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污染物</w:t>
                  </w:r>
                </w:p>
              </w:tc>
              <w:tc>
                <w:tcPr>
                  <w:tcW w:w="1560" w:type="dxa"/>
                  <w:vMerge w:val="restart"/>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最高允许排放浓度mg/m</w:t>
                  </w:r>
                  <w:r>
                    <w:rPr>
                      <w:rFonts w:hint="eastAsia"/>
                      <w:b/>
                      <w:bCs/>
                      <w:snapToGrid w:val="0"/>
                      <w:kern w:val="0"/>
                      <w:szCs w:val="21"/>
                      <w:vertAlign w:val="superscript"/>
                    </w:rPr>
                    <w:t>3</w:t>
                  </w:r>
                </w:p>
              </w:tc>
              <w:tc>
                <w:tcPr>
                  <w:tcW w:w="2409" w:type="dxa"/>
                  <w:gridSpan w:val="2"/>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最高允许排放速率kg/h</w:t>
                  </w:r>
                </w:p>
              </w:tc>
              <w:tc>
                <w:tcPr>
                  <w:tcW w:w="3455" w:type="dxa"/>
                  <w:gridSpan w:val="2"/>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59" w:type="dxa"/>
                  <w:vMerge w:val="continue"/>
                  <w:shd w:val="clear" w:color="auto" w:fill="auto"/>
                  <w:vAlign w:val="center"/>
                </w:tcPr>
                <w:p>
                  <w:pPr>
                    <w:adjustRightInd w:val="0"/>
                    <w:snapToGrid w:val="0"/>
                    <w:spacing w:line="360" w:lineRule="exact"/>
                    <w:jc w:val="center"/>
                    <w:rPr>
                      <w:b/>
                      <w:bCs/>
                      <w:snapToGrid w:val="0"/>
                      <w:kern w:val="0"/>
                      <w:szCs w:val="21"/>
                    </w:rPr>
                  </w:pPr>
                </w:p>
              </w:tc>
              <w:tc>
                <w:tcPr>
                  <w:tcW w:w="1560" w:type="dxa"/>
                  <w:vMerge w:val="continue"/>
                  <w:shd w:val="clear" w:color="auto" w:fill="auto"/>
                  <w:vAlign w:val="center"/>
                </w:tcPr>
                <w:p>
                  <w:pPr>
                    <w:adjustRightInd w:val="0"/>
                    <w:snapToGrid w:val="0"/>
                    <w:spacing w:line="360" w:lineRule="exact"/>
                    <w:jc w:val="center"/>
                    <w:rPr>
                      <w:b/>
                      <w:bCs/>
                      <w:snapToGrid w:val="0"/>
                      <w:kern w:val="0"/>
                      <w:szCs w:val="21"/>
                    </w:rPr>
                  </w:pPr>
                </w:p>
              </w:tc>
              <w:tc>
                <w:tcPr>
                  <w:tcW w:w="1275" w:type="dxa"/>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排气筒高度</w:t>
                  </w:r>
                </w:p>
              </w:tc>
              <w:tc>
                <w:tcPr>
                  <w:tcW w:w="1134" w:type="dxa"/>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二级</w:t>
                  </w:r>
                </w:p>
              </w:tc>
              <w:tc>
                <w:tcPr>
                  <w:tcW w:w="1560" w:type="dxa"/>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监控点</w:t>
                  </w:r>
                </w:p>
              </w:tc>
              <w:tc>
                <w:tcPr>
                  <w:tcW w:w="1895" w:type="dxa"/>
                  <w:shd w:val="clear" w:color="auto" w:fill="auto"/>
                  <w:vAlign w:val="center"/>
                </w:tcPr>
                <w:p>
                  <w:pPr>
                    <w:adjustRightInd w:val="0"/>
                    <w:snapToGrid w:val="0"/>
                    <w:spacing w:line="360" w:lineRule="exact"/>
                    <w:jc w:val="center"/>
                    <w:rPr>
                      <w:b/>
                      <w:bCs/>
                      <w:snapToGrid w:val="0"/>
                      <w:kern w:val="0"/>
                      <w:szCs w:val="21"/>
                    </w:rPr>
                  </w:pPr>
                  <w:r>
                    <w:rPr>
                      <w:rFonts w:hint="eastAsia"/>
                      <w:b/>
                      <w:bCs/>
                      <w:snapToGrid w:val="0"/>
                      <w:kern w:val="0"/>
                      <w:szCs w:val="21"/>
                    </w:rPr>
                    <w:t>浓度限值(mg/m</w:t>
                  </w:r>
                  <w:r>
                    <w:rPr>
                      <w:rFonts w:hint="eastAsia"/>
                      <w:b/>
                      <w:bCs/>
                      <w:snapToGrid w:val="0"/>
                      <w:kern w:val="0"/>
                      <w:szCs w:val="21"/>
                      <w:vertAlign w:val="superscript"/>
                    </w:rPr>
                    <w:t>3</w:t>
                  </w:r>
                  <w:r>
                    <w:rPr>
                      <w:rFonts w:hint="eastAsia"/>
                      <w:b/>
                      <w:bCs/>
                      <w:snapToGrid w:val="0"/>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59" w:type="dxa"/>
                  <w:shd w:val="clear" w:color="auto" w:fill="auto"/>
                  <w:vAlign w:val="center"/>
                </w:tcPr>
                <w:p>
                  <w:pPr>
                    <w:adjustRightInd w:val="0"/>
                    <w:snapToGrid w:val="0"/>
                    <w:spacing w:line="360" w:lineRule="exact"/>
                    <w:jc w:val="center"/>
                    <w:rPr>
                      <w:snapToGrid w:val="0"/>
                      <w:kern w:val="0"/>
                      <w:szCs w:val="21"/>
                    </w:rPr>
                  </w:pPr>
                  <w:r>
                    <w:rPr>
                      <w:rFonts w:hint="eastAsia"/>
                      <w:snapToGrid w:val="0"/>
                      <w:kern w:val="0"/>
                      <w:szCs w:val="21"/>
                    </w:rPr>
                    <w:t>颗粒物</w:t>
                  </w:r>
                </w:p>
              </w:tc>
              <w:tc>
                <w:tcPr>
                  <w:tcW w:w="1560" w:type="dxa"/>
                  <w:shd w:val="clear" w:color="auto" w:fill="auto"/>
                  <w:vAlign w:val="center"/>
                </w:tcPr>
                <w:p>
                  <w:pPr>
                    <w:adjustRightInd w:val="0"/>
                    <w:snapToGrid w:val="0"/>
                    <w:spacing w:line="360" w:lineRule="exact"/>
                    <w:jc w:val="center"/>
                    <w:rPr>
                      <w:snapToGrid w:val="0"/>
                      <w:kern w:val="0"/>
                      <w:szCs w:val="21"/>
                    </w:rPr>
                  </w:pPr>
                  <w:r>
                    <w:rPr>
                      <w:rFonts w:hint="eastAsia"/>
                      <w:snapToGrid w:val="0"/>
                      <w:kern w:val="0"/>
                      <w:szCs w:val="21"/>
                    </w:rPr>
                    <w:t>120</w:t>
                  </w:r>
                </w:p>
              </w:tc>
              <w:tc>
                <w:tcPr>
                  <w:tcW w:w="1275" w:type="dxa"/>
                  <w:shd w:val="clear" w:color="auto" w:fill="auto"/>
                  <w:vAlign w:val="center"/>
                </w:tcPr>
                <w:p>
                  <w:pPr>
                    <w:adjustRightInd w:val="0"/>
                    <w:snapToGrid w:val="0"/>
                    <w:spacing w:line="360" w:lineRule="exact"/>
                    <w:jc w:val="center"/>
                    <w:rPr>
                      <w:snapToGrid w:val="0"/>
                      <w:kern w:val="0"/>
                      <w:szCs w:val="21"/>
                    </w:rPr>
                  </w:pPr>
                  <w:r>
                    <w:rPr>
                      <w:rFonts w:hint="eastAsia"/>
                      <w:snapToGrid w:val="0"/>
                      <w:kern w:val="0"/>
                      <w:szCs w:val="21"/>
                    </w:rPr>
                    <w:t>15</w:t>
                  </w:r>
                </w:p>
              </w:tc>
              <w:tc>
                <w:tcPr>
                  <w:tcW w:w="1134" w:type="dxa"/>
                  <w:shd w:val="clear" w:color="auto" w:fill="auto"/>
                  <w:vAlign w:val="center"/>
                </w:tcPr>
                <w:p>
                  <w:pPr>
                    <w:adjustRightInd w:val="0"/>
                    <w:snapToGrid w:val="0"/>
                    <w:spacing w:line="360" w:lineRule="exact"/>
                    <w:jc w:val="center"/>
                    <w:rPr>
                      <w:snapToGrid w:val="0"/>
                      <w:kern w:val="0"/>
                      <w:szCs w:val="21"/>
                    </w:rPr>
                  </w:pPr>
                  <w:r>
                    <w:rPr>
                      <w:rFonts w:hint="eastAsia"/>
                      <w:snapToGrid w:val="0"/>
                      <w:kern w:val="0"/>
                      <w:szCs w:val="21"/>
                    </w:rPr>
                    <w:t>3.5</w:t>
                  </w:r>
                </w:p>
              </w:tc>
              <w:tc>
                <w:tcPr>
                  <w:tcW w:w="1560" w:type="dxa"/>
                  <w:shd w:val="clear" w:color="auto" w:fill="auto"/>
                  <w:vAlign w:val="center"/>
                </w:tcPr>
                <w:p>
                  <w:pPr>
                    <w:adjustRightInd w:val="0"/>
                    <w:snapToGrid w:val="0"/>
                    <w:spacing w:line="360" w:lineRule="exact"/>
                    <w:jc w:val="center"/>
                    <w:rPr>
                      <w:snapToGrid w:val="0"/>
                      <w:kern w:val="0"/>
                      <w:szCs w:val="21"/>
                    </w:rPr>
                  </w:pPr>
                  <w:r>
                    <w:rPr>
                      <w:rFonts w:hint="eastAsia"/>
                      <w:snapToGrid w:val="0"/>
                      <w:kern w:val="0"/>
                      <w:szCs w:val="21"/>
                    </w:rPr>
                    <w:t>周界外浓度最高点</w:t>
                  </w:r>
                </w:p>
              </w:tc>
              <w:tc>
                <w:tcPr>
                  <w:tcW w:w="1895" w:type="dxa"/>
                  <w:shd w:val="clear" w:color="auto" w:fill="auto"/>
                  <w:vAlign w:val="center"/>
                </w:tcPr>
                <w:p>
                  <w:pPr>
                    <w:adjustRightInd w:val="0"/>
                    <w:snapToGrid w:val="0"/>
                    <w:spacing w:line="360" w:lineRule="exact"/>
                    <w:jc w:val="center"/>
                    <w:rPr>
                      <w:snapToGrid w:val="0"/>
                      <w:kern w:val="0"/>
                      <w:szCs w:val="21"/>
                    </w:rPr>
                  </w:pPr>
                  <w:r>
                    <w:rPr>
                      <w:rFonts w:hint="eastAsia"/>
                      <w:snapToGrid w:val="0"/>
                      <w:kern w:val="0"/>
                      <w:szCs w:val="21"/>
                    </w:rPr>
                    <w:t>1.0</w:t>
                  </w:r>
                </w:p>
              </w:tc>
            </w:tr>
          </w:tbl>
          <w:p>
            <w:pPr>
              <w:pStyle w:val="50"/>
              <w:ind w:firstLine="480"/>
            </w:pPr>
            <w:r>
              <w:rPr>
                <w:rFonts w:hint="eastAsia"/>
              </w:rPr>
              <w:t>（2）噪声</w:t>
            </w:r>
          </w:p>
          <w:p>
            <w:pPr>
              <w:pStyle w:val="50"/>
              <w:ind w:firstLine="480"/>
            </w:pPr>
            <w:r>
              <w:rPr>
                <w:rFonts w:hint="eastAsia"/>
              </w:rPr>
              <w:t>本项目施工期噪声执行《建筑施工场界环境噪声排放标准》（GB12523-2011），运营期噪声执行《工业企业厂界环境噪声排放标准》(GB12348-2008)中2类区标准，具体标准详见下表；</w:t>
            </w:r>
          </w:p>
          <w:p>
            <w:pPr>
              <w:pStyle w:val="50"/>
              <w:numPr>
                <w:ilvl w:val="0"/>
                <w:numId w:val="2"/>
              </w:numPr>
              <w:snapToGrid w:val="0"/>
              <w:spacing w:line="240" w:lineRule="auto"/>
              <w:ind w:left="420" w:firstLineChars="0"/>
              <w:jc w:val="center"/>
              <w:rPr>
                <w:b/>
                <w:bCs/>
              </w:rPr>
            </w:pPr>
            <w:r>
              <w:rPr>
                <w:rFonts w:hint="eastAsia"/>
                <w:b/>
                <w:bCs/>
              </w:rPr>
              <w:t>本项目噪声排放标准限值</w:t>
            </w:r>
          </w:p>
          <w:tbl>
            <w:tblPr>
              <w:tblStyle w:val="23"/>
              <w:tblW w:w="82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2"/>
              <w:gridCol w:w="1271"/>
              <w:gridCol w:w="1350"/>
              <w:gridCol w:w="3699"/>
              <w:gridCol w:w="125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vMerge w:val="restart"/>
                  <w:shd w:val="clear" w:color="auto" w:fill="auto"/>
                  <w:vAlign w:val="center"/>
                </w:tcPr>
                <w:p>
                  <w:pPr>
                    <w:pStyle w:val="50"/>
                    <w:snapToGrid w:val="0"/>
                    <w:spacing w:line="360" w:lineRule="exact"/>
                    <w:ind w:firstLine="0" w:firstLineChars="0"/>
                    <w:jc w:val="center"/>
                    <w:rPr>
                      <w:b/>
                      <w:bCs/>
                      <w:sz w:val="21"/>
                    </w:rPr>
                  </w:pPr>
                  <w:r>
                    <w:rPr>
                      <w:rFonts w:hint="eastAsia"/>
                      <w:b/>
                      <w:bCs/>
                      <w:sz w:val="21"/>
                    </w:rPr>
                    <w:t>项目</w:t>
                  </w:r>
                </w:p>
              </w:tc>
              <w:tc>
                <w:tcPr>
                  <w:tcW w:w="2621" w:type="dxa"/>
                  <w:gridSpan w:val="2"/>
                  <w:shd w:val="clear" w:color="auto" w:fill="auto"/>
                  <w:vAlign w:val="center"/>
                </w:tcPr>
                <w:p>
                  <w:pPr>
                    <w:pStyle w:val="50"/>
                    <w:snapToGrid w:val="0"/>
                    <w:spacing w:line="360" w:lineRule="exact"/>
                    <w:ind w:firstLine="0" w:firstLineChars="0"/>
                    <w:jc w:val="center"/>
                    <w:rPr>
                      <w:b/>
                      <w:bCs/>
                      <w:sz w:val="21"/>
                    </w:rPr>
                  </w:pPr>
                  <w:r>
                    <w:rPr>
                      <w:rFonts w:hint="eastAsia"/>
                      <w:b/>
                      <w:bCs/>
                      <w:sz w:val="21"/>
                    </w:rPr>
                    <w:t>标准限值</w:t>
                  </w:r>
                  <w:r>
                    <w:rPr>
                      <w:rFonts w:hint="eastAsia"/>
                      <w:b/>
                      <w:bCs/>
                      <w:snapToGrid w:val="0"/>
                      <w:sz w:val="21"/>
                    </w:rPr>
                    <w:t>dB(A)</w:t>
                  </w:r>
                </w:p>
              </w:tc>
              <w:tc>
                <w:tcPr>
                  <w:tcW w:w="3699" w:type="dxa"/>
                  <w:vMerge w:val="restart"/>
                  <w:shd w:val="clear" w:color="auto" w:fill="auto"/>
                  <w:vAlign w:val="center"/>
                </w:tcPr>
                <w:p>
                  <w:pPr>
                    <w:pStyle w:val="50"/>
                    <w:snapToGrid w:val="0"/>
                    <w:spacing w:line="360" w:lineRule="exact"/>
                    <w:ind w:firstLine="0" w:firstLineChars="0"/>
                    <w:jc w:val="center"/>
                    <w:rPr>
                      <w:b/>
                      <w:bCs/>
                      <w:sz w:val="21"/>
                    </w:rPr>
                  </w:pPr>
                  <w:r>
                    <w:rPr>
                      <w:rFonts w:hint="eastAsia"/>
                      <w:b/>
                      <w:bCs/>
                      <w:sz w:val="21"/>
                    </w:rPr>
                    <w:t>标准来源</w:t>
                  </w:r>
                </w:p>
              </w:tc>
              <w:tc>
                <w:tcPr>
                  <w:tcW w:w="1251" w:type="dxa"/>
                  <w:vMerge w:val="restart"/>
                  <w:shd w:val="clear" w:color="auto" w:fill="auto"/>
                  <w:vAlign w:val="center"/>
                </w:tcPr>
                <w:p>
                  <w:pPr>
                    <w:pStyle w:val="50"/>
                    <w:snapToGrid w:val="0"/>
                    <w:spacing w:line="360" w:lineRule="exact"/>
                    <w:ind w:firstLine="0" w:firstLineChars="0"/>
                    <w:jc w:val="center"/>
                    <w:rPr>
                      <w:b/>
                      <w:bCs/>
                      <w:sz w:val="21"/>
                    </w:rPr>
                  </w:pPr>
                  <w:r>
                    <w:rPr>
                      <w:rFonts w:hint="eastAsia"/>
                      <w:b/>
                      <w:bCs/>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vMerge w:val="continue"/>
                  <w:shd w:val="clear" w:color="auto" w:fill="auto"/>
                  <w:vAlign w:val="center"/>
                </w:tcPr>
                <w:p>
                  <w:pPr>
                    <w:pStyle w:val="50"/>
                    <w:snapToGrid w:val="0"/>
                    <w:spacing w:line="360" w:lineRule="exact"/>
                    <w:ind w:firstLine="0" w:firstLineChars="0"/>
                    <w:jc w:val="center"/>
                    <w:rPr>
                      <w:sz w:val="21"/>
                    </w:rPr>
                  </w:pPr>
                </w:p>
              </w:tc>
              <w:tc>
                <w:tcPr>
                  <w:tcW w:w="1271" w:type="dxa"/>
                  <w:shd w:val="clear" w:color="auto" w:fill="auto"/>
                  <w:vAlign w:val="center"/>
                </w:tcPr>
                <w:p>
                  <w:pPr>
                    <w:pStyle w:val="50"/>
                    <w:snapToGrid w:val="0"/>
                    <w:spacing w:line="360" w:lineRule="exact"/>
                    <w:ind w:firstLine="0" w:firstLineChars="0"/>
                    <w:jc w:val="center"/>
                    <w:rPr>
                      <w:sz w:val="21"/>
                    </w:rPr>
                  </w:pPr>
                  <w:r>
                    <w:rPr>
                      <w:rFonts w:hint="eastAsia"/>
                      <w:sz w:val="21"/>
                    </w:rPr>
                    <w:t>昼间</w:t>
                  </w:r>
                </w:p>
              </w:tc>
              <w:tc>
                <w:tcPr>
                  <w:tcW w:w="1350" w:type="dxa"/>
                  <w:shd w:val="clear" w:color="auto" w:fill="auto"/>
                  <w:vAlign w:val="center"/>
                </w:tcPr>
                <w:p>
                  <w:pPr>
                    <w:pStyle w:val="50"/>
                    <w:snapToGrid w:val="0"/>
                    <w:spacing w:line="360" w:lineRule="exact"/>
                    <w:ind w:firstLine="0" w:firstLineChars="0"/>
                    <w:jc w:val="center"/>
                    <w:rPr>
                      <w:sz w:val="21"/>
                    </w:rPr>
                  </w:pPr>
                  <w:r>
                    <w:rPr>
                      <w:rFonts w:hint="eastAsia"/>
                      <w:sz w:val="21"/>
                    </w:rPr>
                    <w:t>夜间</w:t>
                  </w:r>
                </w:p>
              </w:tc>
              <w:tc>
                <w:tcPr>
                  <w:tcW w:w="3699" w:type="dxa"/>
                  <w:vMerge w:val="continue"/>
                  <w:shd w:val="clear" w:color="auto" w:fill="auto"/>
                  <w:vAlign w:val="center"/>
                </w:tcPr>
                <w:p>
                  <w:pPr>
                    <w:pStyle w:val="50"/>
                    <w:snapToGrid w:val="0"/>
                    <w:spacing w:line="360" w:lineRule="exact"/>
                    <w:ind w:firstLine="0" w:firstLineChars="0"/>
                    <w:jc w:val="center"/>
                    <w:rPr>
                      <w:sz w:val="21"/>
                    </w:rPr>
                  </w:pPr>
                </w:p>
              </w:tc>
              <w:tc>
                <w:tcPr>
                  <w:tcW w:w="1251" w:type="dxa"/>
                  <w:vMerge w:val="continue"/>
                  <w:shd w:val="clear" w:color="auto" w:fill="auto"/>
                  <w:vAlign w:val="center"/>
                </w:tcPr>
                <w:p>
                  <w:pPr>
                    <w:pStyle w:val="50"/>
                    <w:snapToGrid w:val="0"/>
                    <w:spacing w:line="360" w:lineRule="exact"/>
                    <w:ind w:firstLine="0" w:firstLineChars="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vMerge w:val="restart"/>
                  <w:shd w:val="clear" w:color="auto" w:fill="auto"/>
                  <w:vAlign w:val="center"/>
                </w:tcPr>
                <w:p>
                  <w:pPr>
                    <w:pStyle w:val="50"/>
                    <w:snapToGrid w:val="0"/>
                    <w:spacing w:line="360" w:lineRule="exact"/>
                    <w:ind w:firstLine="0" w:firstLineChars="0"/>
                    <w:jc w:val="center"/>
                    <w:rPr>
                      <w:sz w:val="21"/>
                    </w:rPr>
                  </w:pPr>
                  <w:r>
                    <w:rPr>
                      <w:rFonts w:hint="eastAsia"/>
                      <w:sz w:val="21"/>
                    </w:rPr>
                    <w:t>厂界噪声</w:t>
                  </w:r>
                </w:p>
              </w:tc>
              <w:tc>
                <w:tcPr>
                  <w:tcW w:w="1271" w:type="dxa"/>
                  <w:shd w:val="clear" w:color="auto" w:fill="auto"/>
                  <w:vAlign w:val="center"/>
                </w:tcPr>
                <w:p>
                  <w:pPr>
                    <w:pStyle w:val="50"/>
                    <w:snapToGrid w:val="0"/>
                    <w:spacing w:line="360" w:lineRule="exact"/>
                    <w:ind w:firstLine="0" w:firstLineChars="0"/>
                    <w:jc w:val="center"/>
                    <w:rPr>
                      <w:sz w:val="21"/>
                    </w:rPr>
                  </w:pPr>
                  <w:r>
                    <w:rPr>
                      <w:rFonts w:hint="eastAsia"/>
                      <w:sz w:val="21"/>
                    </w:rPr>
                    <w:t>60</w:t>
                  </w:r>
                </w:p>
              </w:tc>
              <w:tc>
                <w:tcPr>
                  <w:tcW w:w="1350" w:type="dxa"/>
                  <w:shd w:val="clear" w:color="auto" w:fill="auto"/>
                  <w:vAlign w:val="center"/>
                </w:tcPr>
                <w:p>
                  <w:pPr>
                    <w:pStyle w:val="50"/>
                    <w:snapToGrid w:val="0"/>
                    <w:spacing w:line="360" w:lineRule="exact"/>
                    <w:ind w:firstLine="0" w:firstLineChars="0"/>
                    <w:jc w:val="center"/>
                    <w:rPr>
                      <w:sz w:val="21"/>
                    </w:rPr>
                  </w:pPr>
                  <w:r>
                    <w:rPr>
                      <w:rFonts w:hint="eastAsia"/>
                      <w:sz w:val="21"/>
                    </w:rPr>
                    <w:t>50</w:t>
                  </w:r>
                </w:p>
              </w:tc>
              <w:tc>
                <w:tcPr>
                  <w:tcW w:w="3699" w:type="dxa"/>
                  <w:shd w:val="clear" w:color="auto" w:fill="auto"/>
                  <w:vAlign w:val="center"/>
                </w:tcPr>
                <w:p>
                  <w:pPr>
                    <w:pStyle w:val="50"/>
                    <w:snapToGrid w:val="0"/>
                    <w:spacing w:line="360" w:lineRule="exact"/>
                    <w:ind w:firstLine="0" w:firstLineChars="0"/>
                    <w:jc w:val="center"/>
                    <w:rPr>
                      <w:sz w:val="21"/>
                    </w:rPr>
                  </w:pPr>
                  <w:r>
                    <w:rPr>
                      <w:rFonts w:hint="eastAsia"/>
                      <w:sz w:val="21"/>
                    </w:rPr>
                    <w:t>(GB12348-2008)中2类区标准</w:t>
                  </w:r>
                </w:p>
              </w:tc>
              <w:tc>
                <w:tcPr>
                  <w:tcW w:w="1251" w:type="dxa"/>
                  <w:shd w:val="clear" w:color="auto" w:fill="auto"/>
                  <w:vAlign w:val="center"/>
                </w:tcPr>
                <w:p>
                  <w:pPr>
                    <w:pStyle w:val="50"/>
                    <w:snapToGrid w:val="0"/>
                    <w:spacing w:line="360" w:lineRule="exact"/>
                    <w:ind w:firstLine="0" w:firstLineChars="0"/>
                    <w:jc w:val="center"/>
                    <w:rPr>
                      <w:sz w:val="21"/>
                    </w:rPr>
                  </w:pPr>
                  <w:r>
                    <w:rPr>
                      <w:rFonts w:hint="eastAsia"/>
                      <w:sz w:val="21"/>
                    </w:rPr>
                    <w:t>运营期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712" w:type="dxa"/>
                  <w:vMerge w:val="continue"/>
                  <w:shd w:val="clear" w:color="auto" w:fill="auto"/>
                  <w:vAlign w:val="center"/>
                </w:tcPr>
                <w:p>
                  <w:pPr>
                    <w:pStyle w:val="50"/>
                    <w:snapToGrid w:val="0"/>
                    <w:spacing w:line="360" w:lineRule="exact"/>
                    <w:ind w:firstLine="0" w:firstLineChars="0"/>
                    <w:jc w:val="center"/>
                    <w:rPr>
                      <w:sz w:val="21"/>
                    </w:rPr>
                  </w:pPr>
                </w:p>
              </w:tc>
              <w:tc>
                <w:tcPr>
                  <w:tcW w:w="1271" w:type="dxa"/>
                  <w:shd w:val="clear" w:color="auto" w:fill="auto"/>
                  <w:vAlign w:val="center"/>
                </w:tcPr>
                <w:p>
                  <w:pPr>
                    <w:pStyle w:val="50"/>
                    <w:snapToGrid w:val="0"/>
                    <w:spacing w:line="360" w:lineRule="exact"/>
                    <w:ind w:firstLine="0" w:firstLineChars="0"/>
                    <w:jc w:val="center"/>
                    <w:rPr>
                      <w:sz w:val="21"/>
                    </w:rPr>
                  </w:pPr>
                  <w:r>
                    <w:rPr>
                      <w:rFonts w:hint="eastAsia"/>
                      <w:sz w:val="21"/>
                    </w:rPr>
                    <w:t>70</w:t>
                  </w:r>
                </w:p>
              </w:tc>
              <w:tc>
                <w:tcPr>
                  <w:tcW w:w="1350" w:type="dxa"/>
                  <w:shd w:val="clear" w:color="auto" w:fill="auto"/>
                  <w:vAlign w:val="center"/>
                </w:tcPr>
                <w:p>
                  <w:pPr>
                    <w:pStyle w:val="50"/>
                    <w:snapToGrid w:val="0"/>
                    <w:spacing w:line="360" w:lineRule="exact"/>
                    <w:ind w:firstLine="0" w:firstLineChars="0"/>
                    <w:jc w:val="center"/>
                    <w:rPr>
                      <w:sz w:val="21"/>
                    </w:rPr>
                  </w:pPr>
                  <w:r>
                    <w:rPr>
                      <w:rFonts w:hint="eastAsia"/>
                      <w:sz w:val="21"/>
                    </w:rPr>
                    <w:t>55</w:t>
                  </w:r>
                </w:p>
              </w:tc>
              <w:tc>
                <w:tcPr>
                  <w:tcW w:w="3699" w:type="dxa"/>
                  <w:shd w:val="clear" w:color="auto" w:fill="auto"/>
                  <w:vAlign w:val="center"/>
                </w:tcPr>
                <w:p>
                  <w:pPr>
                    <w:pStyle w:val="50"/>
                    <w:snapToGrid w:val="0"/>
                    <w:spacing w:line="360" w:lineRule="exact"/>
                    <w:ind w:firstLine="0" w:firstLineChars="0"/>
                    <w:jc w:val="center"/>
                    <w:rPr>
                      <w:sz w:val="21"/>
                    </w:rPr>
                  </w:pPr>
                  <w:r>
                    <w:rPr>
                      <w:rFonts w:hint="eastAsia"/>
                      <w:sz w:val="21"/>
                    </w:rPr>
                    <w:t>（GB12523-2011）中相关规定</w:t>
                  </w:r>
                </w:p>
              </w:tc>
              <w:tc>
                <w:tcPr>
                  <w:tcW w:w="1251" w:type="dxa"/>
                  <w:shd w:val="clear" w:color="auto" w:fill="auto"/>
                  <w:vAlign w:val="center"/>
                </w:tcPr>
                <w:p>
                  <w:pPr>
                    <w:pStyle w:val="50"/>
                    <w:snapToGrid w:val="0"/>
                    <w:spacing w:line="360" w:lineRule="exact"/>
                    <w:ind w:firstLine="0" w:firstLineChars="0"/>
                    <w:jc w:val="center"/>
                    <w:rPr>
                      <w:sz w:val="21"/>
                    </w:rPr>
                  </w:pPr>
                  <w:r>
                    <w:rPr>
                      <w:rFonts w:hint="eastAsia"/>
                      <w:sz w:val="21"/>
                    </w:rPr>
                    <w:t>施工期</w:t>
                  </w:r>
                </w:p>
              </w:tc>
            </w:tr>
          </w:tbl>
          <w:p>
            <w:pPr>
              <w:pStyle w:val="50"/>
              <w:ind w:firstLine="480"/>
            </w:pPr>
            <w:r>
              <w:rPr>
                <w:rFonts w:hint="eastAsia"/>
              </w:rPr>
              <w:fldChar w:fldCharType="begin"/>
            </w:r>
            <w:r>
              <w:rPr>
                <w:rFonts w:hint="eastAsia"/>
              </w:rPr>
              <w:instrText xml:space="preserve"> = 3 \* GB3 \* MERGEFORMAT </w:instrText>
            </w:r>
            <w:r>
              <w:rPr>
                <w:rFonts w:hint="eastAsia"/>
              </w:rPr>
              <w:fldChar w:fldCharType="separate"/>
            </w:r>
            <w:r>
              <w:rPr>
                <w:rFonts w:hint="eastAsia"/>
              </w:rPr>
              <w:t>③</w:t>
            </w:r>
            <w:r>
              <w:rPr>
                <w:rFonts w:hint="eastAsia"/>
              </w:rPr>
              <w:fldChar w:fldCharType="end"/>
            </w:r>
            <w:r>
              <w:rPr>
                <w:rFonts w:hint="eastAsia"/>
              </w:rPr>
              <w:t>固体废物</w:t>
            </w:r>
          </w:p>
          <w:p>
            <w:pPr>
              <w:pStyle w:val="50"/>
              <w:ind w:firstLine="480"/>
            </w:pPr>
            <w:r>
              <w:rPr>
                <w:rFonts w:hint="eastAsia"/>
              </w:rPr>
              <w:t>项目产生的一般固体废物执行《一般工业固体废物贮存和填埋污染控制标准》（</w:t>
            </w:r>
            <w:r>
              <w:t>GB18599-2020</w:t>
            </w:r>
            <w:r>
              <w:rPr>
                <w:rFonts w:hint="eastAsia"/>
              </w:rPr>
              <w:t>）。危险废物执行暂存设施建设需符合《危险废物贮存污染控制标准》（GB18597-20</w:t>
            </w:r>
            <w:r>
              <w:t>23</w:t>
            </w: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77" w:type="dxa"/>
            <w:vAlign w:val="center"/>
          </w:tcPr>
          <w:p>
            <w:pPr>
              <w:adjustRightInd w:val="0"/>
              <w:snapToGrid w:val="0"/>
              <w:jc w:val="center"/>
              <w:rPr>
                <w:kern w:val="0"/>
                <w:szCs w:val="21"/>
              </w:rPr>
            </w:pPr>
            <w:r>
              <w:rPr>
                <w:rFonts w:hint="eastAsia"/>
                <w:kern w:val="0"/>
                <w:szCs w:val="21"/>
              </w:rPr>
              <w:t>其他</w:t>
            </w:r>
          </w:p>
        </w:tc>
        <w:tc>
          <w:tcPr>
            <w:tcW w:w="8529" w:type="dxa"/>
            <w:vAlign w:val="center"/>
          </w:tcPr>
          <w:p>
            <w:pPr>
              <w:pStyle w:val="50"/>
              <w:ind w:firstLine="480"/>
            </w:pPr>
            <w:r>
              <w:rPr>
                <w:rFonts w:hint="eastAsia"/>
              </w:rPr>
              <w:t>项目无废水总量控制指标，项目废气总量控制指标如下：</w:t>
            </w:r>
          </w:p>
          <w:p>
            <w:pPr>
              <w:pStyle w:val="50"/>
              <w:ind w:firstLine="480"/>
              <w:rPr>
                <w:b/>
                <w:bCs/>
              </w:rPr>
            </w:pPr>
            <w:r>
              <w:rPr>
                <w:rFonts w:hint="eastAsia"/>
              </w:rPr>
              <w:t>建议总量控制指标：大气颗粒物：</w:t>
            </w:r>
            <w:r>
              <w:t>1.919</w:t>
            </w:r>
            <w:r>
              <w:rPr>
                <w:rFonts w:hint="eastAsia"/>
              </w:rPr>
              <w:t>t/a。</w:t>
            </w:r>
          </w:p>
        </w:tc>
      </w:tr>
    </w:tbl>
    <w:p>
      <w:pPr>
        <w:pStyle w:val="18"/>
        <w:adjustRightInd w:val="0"/>
        <w:snapToGrid w:val="0"/>
        <w:spacing w:before="0" w:beforeAutospacing="0" w:after="0" w:afterAutospacing="0" w:line="14" w:lineRule="auto"/>
        <w:jc w:val="center"/>
        <w:outlineLvl w:val="0"/>
        <w:rPr>
          <w:rFonts w:ascii="Times New Roman" w:hAnsi="Times New Roman" w:eastAsia="黑体"/>
          <w:snapToGrid w:val="0"/>
          <w:kern w:val="2"/>
          <w:sz w:val="36"/>
          <w:szCs w:val="36"/>
        </w:rPr>
      </w:pPr>
    </w:p>
    <w:p>
      <w:pPr>
        <w:pStyle w:val="18"/>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kern w:val="2"/>
          <w:sz w:val="36"/>
          <w:szCs w:val="36"/>
        </w:rPr>
        <w:br w:type="page"/>
      </w:r>
      <w:r>
        <w:rPr>
          <w:rFonts w:ascii="Times New Roman" w:hAnsi="Times New Roman" w:eastAsia="黑体"/>
          <w:snapToGrid w:val="0"/>
          <w:sz w:val="30"/>
          <w:szCs w:val="30"/>
        </w:rPr>
        <w:t>四、生态环境影响分析</w:t>
      </w:r>
    </w:p>
    <w:tbl>
      <w:tblPr>
        <w:tblStyle w:val="22"/>
        <w:tblW w:w="95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1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bCs/>
                <w:kern w:val="2"/>
                <w:sz w:val="21"/>
                <w:szCs w:val="21"/>
              </w:rPr>
            </w:pPr>
            <w:bookmarkStart w:id="8" w:name="_Hlk49796138"/>
            <w:r>
              <w:rPr>
                <w:rFonts w:hint="eastAsia" w:ascii="Times New Roman" w:hAnsi="Times New Roman"/>
                <w:bCs/>
                <w:spacing w:val="10"/>
                <w:kern w:val="2"/>
                <w:sz w:val="21"/>
                <w:szCs w:val="21"/>
              </w:rPr>
              <w:t>施工期生态环境影响分析</w:t>
            </w:r>
            <w:bookmarkEnd w:id="8"/>
          </w:p>
        </w:tc>
        <w:tc>
          <w:tcPr>
            <w:tcW w:w="9128" w:type="dxa"/>
          </w:tcPr>
          <w:p>
            <w:pPr>
              <w:pStyle w:val="47"/>
              <w:ind w:firstLine="482"/>
              <w:rPr>
                <w:b/>
                <w:bCs/>
                <w:color w:val="auto"/>
              </w:rPr>
            </w:pPr>
            <w:r>
              <w:rPr>
                <w:rFonts w:hint="eastAsia"/>
                <w:b/>
                <w:bCs/>
                <w:color w:val="auto"/>
              </w:rPr>
              <w:t>1.项目施工期工艺流程及产污环节分析</w:t>
            </w:r>
          </w:p>
          <w:p>
            <w:pPr>
              <w:pStyle w:val="47"/>
              <w:ind w:firstLine="480"/>
              <w:rPr>
                <w:color w:val="auto"/>
              </w:rPr>
            </w:pPr>
            <w:r>
              <w:rPr>
                <w:rFonts w:hint="eastAsia"/>
                <w:color w:val="auto"/>
              </w:rPr>
              <w:t>项目施工期主要为露天矿基建工程、工业场地等的建设。</w:t>
            </w:r>
          </w:p>
          <w:p>
            <w:pPr>
              <w:pStyle w:val="47"/>
              <w:ind w:firstLine="480"/>
              <w:rPr>
                <w:color w:val="auto"/>
              </w:rPr>
            </w:pPr>
            <w:r>
              <w:rPr>
                <w:rFonts w:hint="eastAsia"/>
                <w:color w:val="auto"/>
              </w:rPr>
              <w:t>基建期露天采场建设内容只包括基建平台和运矿道路的修建、主要采掘运输设备及地面生产系统设备调试安装、基建剥离工程及施工准备期等，基建工期共36个月。</w:t>
            </w:r>
          </w:p>
          <w:p>
            <w:pPr>
              <w:pStyle w:val="47"/>
              <w:ind w:firstLine="480"/>
              <w:rPr>
                <w:color w:val="auto"/>
              </w:rPr>
            </w:pPr>
            <w:r>
              <w:rPr>
                <w:rFonts w:hint="eastAsia"/>
                <w:color w:val="auto"/>
                <w:lang w:val="zh-CN"/>
              </w:rPr>
              <w:t>工业场地布置在12--12′勘探线附近，</w:t>
            </w:r>
            <w:r>
              <w:rPr>
                <w:rFonts w:hint="eastAsia"/>
                <w:color w:val="auto"/>
              </w:rPr>
              <w:t>工业场地主要布置有筛分破碎系统（全封闭式）、供配电系统、宿舍、办公室、车库、机修场地、水池和矿石及料石堆放场地，面积约10.28hm</w:t>
            </w:r>
            <w:r>
              <w:rPr>
                <w:rFonts w:hint="eastAsia"/>
                <w:color w:val="auto"/>
                <w:vertAlign w:val="superscript"/>
              </w:rPr>
              <w:t>2</w:t>
            </w:r>
            <w:r>
              <w:rPr>
                <w:rFonts w:hint="eastAsia"/>
                <w:color w:val="auto"/>
              </w:rPr>
              <w:t>。料场旁边设置150t的地磅房。</w:t>
            </w:r>
          </w:p>
          <w:p>
            <w:pPr>
              <w:pStyle w:val="47"/>
              <w:ind w:firstLine="480"/>
              <w:rPr>
                <w:color w:val="auto"/>
              </w:rPr>
            </w:pPr>
            <w:r>
              <w:rPr>
                <w:rFonts w:hint="eastAsia"/>
                <w:color w:val="auto"/>
              </w:rPr>
              <w:t>施工期主要产污环节：</w:t>
            </w:r>
          </w:p>
          <w:p>
            <w:pPr>
              <w:pStyle w:val="47"/>
              <w:ind w:firstLine="480"/>
              <w:rPr>
                <w:color w:val="auto"/>
              </w:rPr>
            </w:pPr>
            <w:r>
              <w:rPr>
                <w:rFonts w:hint="eastAsia"/>
                <w:color w:val="auto"/>
              </w:rPr>
              <w:t>1）废气：</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ascii="宋体" w:hAnsi="宋体" w:cs="宋体"/>
                <w:color w:val="auto"/>
              </w:rPr>
              <w:t>①</w:t>
            </w:r>
            <w:r>
              <w:rPr>
                <w:rFonts w:hint="eastAsia"/>
                <w:color w:val="auto"/>
              </w:rPr>
              <w:fldChar w:fldCharType="end"/>
            </w:r>
            <w:r>
              <w:rPr>
                <w:rFonts w:hint="eastAsia"/>
                <w:color w:val="auto"/>
              </w:rPr>
              <w:t>场地清理、土方挖掘填埋、建筑材料运输、原材料堆存、建筑结构施工、设备安装等工序产生的施工扬尘。</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ascii="宋体" w:hAnsi="宋体" w:cs="宋体"/>
                <w:color w:val="auto"/>
              </w:rPr>
              <w:t>②</w:t>
            </w:r>
            <w:r>
              <w:rPr>
                <w:rFonts w:hint="eastAsia"/>
                <w:color w:val="auto"/>
              </w:rPr>
              <w:fldChar w:fldCharType="end"/>
            </w:r>
            <w:r>
              <w:rPr>
                <w:rFonts w:hint="eastAsia"/>
                <w:color w:val="auto"/>
              </w:rPr>
              <w:t>基建剥离工程产生的施工扬尘、凿岩打孔粉尘、爆破废气CO、氮氧化物和施工机械车辆尾气。</w:t>
            </w:r>
          </w:p>
          <w:p>
            <w:pPr>
              <w:pStyle w:val="47"/>
              <w:ind w:firstLine="480"/>
              <w:rPr>
                <w:color w:val="auto"/>
              </w:rPr>
            </w:pPr>
            <w:r>
              <w:rPr>
                <w:rFonts w:hint="eastAsia"/>
                <w:color w:val="auto"/>
              </w:rPr>
              <w:t>2）废水：施工废水和生活废水</w:t>
            </w:r>
          </w:p>
          <w:p>
            <w:pPr>
              <w:pStyle w:val="47"/>
              <w:ind w:firstLine="480"/>
              <w:rPr>
                <w:color w:val="auto"/>
              </w:rPr>
            </w:pPr>
            <w:r>
              <w:rPr>
                <w:rFonts w:hint="eastAsia"/>
                <w:color w:val="auto"/>
              </w:rPr>
              <w:t>3）噪声：本项目施工期的噪声主要可分为机械噪声、施工作业噪声和施工车辆噪声三类。</w:t>
            </w:r>
          </w:p>
          <w:p>
            <w:pPr>
              <w:pStyle w:val="47"/>
              <w:ind w:firstLine="480"/>
              <w:rPr>
                <w:color w:val="auto"/>
              </w:rPr>
            </w:pPr>
            <w:r>
              <w:rPr>
                <w:rFonts w:hint="eastAsia"/>
                <w:color w:val="auto"/>
              </w:rPr>
              <w:t>4）固废：本项目施工期固体废物主要为施工期道路、场地平整等产生表层土、弃土、弃石；施工过程废弃的建筑材料等建筑垃圾，以及施工人员少量的生活垃圾。</w:t>
            </w:r>
          </w:p>
          <w:p>
            <w:pPr>
              <w:pStyle w:val="47"/>
              <w:ind w:firstLine="480"/>
              <w:rPr>
                <w:rFonts w:ascii="等线" w:hAnsi="等线" w:eastAsia="等线"/>
                <w:b/>
                <w:bCs/>
                <w:color w:val="auto"/>
              </w:rPr>
            </w:pPr>
            <w:r>
              <w:rPr>
                <w:rFonts w:hint="eastAsia" w:ascii="等线" w:hAnsi="等线" w:eastAsia="等线"/>
                <w:b/>
                <w:bCs/>
                <w:color w:val="auto"/>
              </w:rPr>
              <w:t>2、施工期环境影响分析</w:t>
            </w:r>
          </w:p>
          <w:p>
            <w:pPr>
              <w:pStyle w:val="47"/>
              <w:ind w:firstLine="480"/>
              <w:rPr>
                <w:color w:val="auto"/>
              </w:rPr>
            </w:pPr>
            <w:r>
              <w:rPr>
                <w:rFonts w:hint="eastAsia"/>
                <w:color w:val="auto"/>
              </w:rPr>
              <w:t>（1）施工期生态环境影响分析</w:t>
            </w:r>
          </w:p>
          <w:p>
            <w:pPr>
              <w:pStyle w:val="50"/>
              <w:ind w:firstLine="480"/>
            </w:pPr>
            <w:r>
              <w:rPr>
                <w:rFonts w:hint="eastAsia"/>
              </w:rPr>
              <w:t>1）施工期生态环境影响因素主要包括：</w:t>
            </w:r>
          </w:p>
          <w:p>
            <w:pPr>
              <w:pStyle w:val="50"/>
              <w:ind w:firstLine="480"/>
            </w:pPr>
            <w:r>
              <w:rPr>
                <w:rFonts w:hint="eastAsia"/>
              </w:rPr>
              <w:t>①地表挖损：采矿工业场地建设期间，地表植被被完全铲除，形成点状、线状、面状的裸露面，成为生态环境影响的主要因素。</w:t>
            </w:r>
          </w:p>
          <w:p>
            <w:pPr>
              <w:pStyle w:val="50"/>
              <w:ind w:firstLine="480"/>
            </w:pPr>
            <w:r>
              <w:rPr>
                <w:rFonts w:hint="eastAsia"/>
              </w:rPr>
              <w:t>②地表压占：产生的基建废石临时堆放在采矿区内，原有地形地貌和地表物质组成结构被改变，压占土地的植被被破坏，原有地形地貌和地表物质组成结构被改变。</w:t>
            </w:r>
          </w:p>
          <w:p>
            <w:pPr>
              <w:pStyle w:val="47"/>
              <w:ind w:firstLine="480"/>
              <w:rPr>
                <w:color w:val="auto"/>
              </w:rPr>
            </w:pPr>
            <w:r>
              <w:rPr>
                <w:rFonts w:hint="eastAsia"/>
                <w:color w:val="auto"/>
              </w:rPr>
              <w:fldChar w:fldCharType="begin"/>
            </w:r>
            <w:r>
              <w:rPr>
                <w:rFonts w:hint="eastAsia"/>
                <w:color w:val="auto"/>
              </w:rPr>
              <w:instrText xml:space="preserve"> = 3 \* GB3 </w:instrText>
            </w:r>
            <w:r>
              <w:rPr>
                <w:rFonts w:hint="eastAsia"/>
                <w:color w:val="auto"/>
              </w:rPr>
              <w:fldChar w:fldCharType="separate"/>
            </w:r>
            <w:r>
              <w:rPr>
                <w:rFonts w:hint="eastAsia"/>
                <w:color w:val="auto"/>
              </w:rPr>
              <w:t>③</w:t>
            </w:r>
            <w:r>
              <w:rPr>
                <w:rFonts w:hint="eastAsia"/>
                <w:color w:val="auto"/>
              </w:rPr>
              <w:fldChar w:fldCharType="end"/>
            </w:r>
            <w:r>
              <w:rPr>
                <w:rFonts w:hint="eastAsia"/>
                <w:color w:val="auto"/>
              </w:rPr>
              <w:t>地表临时挖损：露天一采区剥离表土在表土堆场进行集中堆存，表土堆场位于露天二采区内废弃采坑内。</w:t>
            </w:r>
          </w:p>
          <w:p>
            <w:pPr>
              <w:pStyle w:val="50"/>
              <w:ind w:firstLine="480"/>
            </w:pPr>
            <w:r>
              <w:rPr>
                <w:rFonts w:hint="eastAsia"/>
              </w:rPr>
              <w:t>2）生态环境影响途径主要包括：</w:t>
            </w:r>
          </w:p>
          <w:p>
            <w:pPr>
              <w:pStyle w:val="50"/>
              <w:ind w:firstLine="480"/>
            </w:pPr>
            <w:r>
              <w:rPr>
                <w:rFonts w:hint="eastAsia"/>
              </w:rPr>
              <w:t>①被占用土地利用类型发生了改变，转变为工矿建设用地，地表植被的铲除或压占将改变局部区域内的土地利用结构和景观格局。</w:t>
            </w:r>
          </w:p>
          <w:p>
            <w:pPr>
              <w:pStyle w:val="50"/>
              <w:ind w:firstLine="480"/>
            </w:pPr>
            <w:r>
              <w:rPr>
                <w:rFonts w:hint="eastAsia"/>
              </w:rPr>
              <w:t>②地表植被的被铲除或被压占，使得植被覆盖面积的减少，引起区域生物量的减少。</w:t>
            </w:r>
          </w:p>
          <w:p>
            <w:pPr>
              <w:pStyle w:val="47"/>
              <w:ind w:firstLine="480"/>
              <w:rPr>
                <w:color w:val="auto"/>
              </w:rPr>
            </w:pPr>
            <w:r>
              <w:rPr>
                <w:rFonts w:hint="eastAsia"/>
                <w:color w:val="auto"/>
              </w:rPr>
              <w:fldChar w:fldCharType="begin"/>
            </w:r>
            <w:r>
              <w:rPr>
                <w:rFonts w:hint="eastAsia"/>
                <w:color w:val="auto"/>
              </w:rPr>
              <w:instrText xml:space="preserve"> = 3 \* GB3 </w:instrText>
            </w:r>
            <w:r>
              <w:rPr>
                <w:rFonts w:hint="eastAsia"/>
                <w:color w:val="auto"/>
              </w:rPr>
              <w:fldChar w:fldCharType="separate"/>
            </w:r>
            <w:r>
              <w:rPr>
                <w:rFonts w:hint="eastAsia"/>
                <w:color w:val="auto"/>
              </w:rPr>
              <w:t>③</w:t>
            </w:r>
            <w:r>
              <w:rPr>
                <w:rFonts w:hint="eastAsia"/>
                <w:color w:val="auto"/>
              </w:rPr>
              <w:fldChar w:fldCharType="end"/>
            </w:r>
            <w:r>
              <w:rPr>
                <w:rFonts w:hint="eastAsia"/>
                <w:color w:val="auto"/>
              </w:rPr>
              <w:t>局部地表土壤被扰动，造成一定的水土流失。</w:t>
            </w:r>
          </w:p>
          <w:p>
            <w:pPr>
              <w:pStyle w:val="47"/>
              <w:ind w:firstLine="480"/>
              <w:rPr>
                <w:color w:val="auto"/>
              </w:rPr>
            </w:pPr>
            <w:r>
              <w:rPr>
                <w:rFonts w:hint="eastAsia"/>
                <w:color w:val="auto"/>
              </w:rPr>
              <w:fldChar w:fldCharType="begin"/>
            </w:r>
            <w:r>
              <w:rPr>
                <w:rFonts w:hint="eastAsia"/>
                <w:color w:val="auto"/>
              </w:rPr>
              <w:instrText xml:space="preserve"> = 4 \* GB3 </w:instrText>
            </w:r>
            <w:r>
              <w:rPr>
                <w:rFonts w:hint="eastAsia"/>
                <w:color w:val="auto"/>
              </w:rPr>
              <w:fldChar w:fldCharType="separate"/>
            </w:r>
            <w:r>
              <w:rPr>
                <w:rFonts w:hint="eastAsia"/>
                <w:color w:val="auto"/>
              </w:rPr>
              <w:t>④</w:t>
            </w:r>
            <w:r>
              <w:rPr>
                <w:rFonts w:hint="eastAsia"/>
                <w:color w:val="auto"/>
              </w:rPr>
              <w:fldChar w:fldCharType="end"/>
            </w:r>
            <w:r>
              <w:rPr>
                <w:rFonts w:hint="eastAsia"/>
                <w:color w:val="auto"/>
              </w:rPr>
              <w:t>临时废石堆场形成人工堆积山，原有地形地貌和地表物质组成结构被改变。</w:t>
            </w:r>
          </w:p>
          <w:p>
            <w:pPr>
              <w:pStyle w:val="47"/>
              <w:ind w:firstLine="480"/>
              <w:rPr>
                <w:color w:val="auto"/>
              </w:rPr>
            </w:pPr>
            <w:r>
              <w:rPr>
                <w:rFonts w:hint="eastAsia"/>
                <w:color w:val="auto"/>
              </w:rPr>
              <w:t>3）施工期生态环境影响分析</w:t>
            </w:r>
          </w:p>
          <w:p>
            <w:pPr>
              <w:pStyle w:val="47"/>
              <w:ind w:firstLine="480"/>
              <w:rPr>
                <w:color w:val="auto"/>
              </w:rPr>
            </w:pPr>
            <w:r>
              <w:rPr>
                <w:rFonts w:hint="eastAsia" w:ascii="宋体" w:hAnsi="宋体" w:cs="宋体"/>
                <w:color w:val="auto"/>
              </w:rPr>
              <w:fldChar w:fldCharType="begin"/>
            </w:r>
            <w:r>
              <w:rPr>
                <w:rFonts w:hint="eastAsia" w:ascii="宋体" w:hAnsi="宋体" w:cs="宋体"/>
                <w:color w:val="auto"/>
              </w:rPr>
              <w:instrText xml:space="preserve"> = 1 \* GB3 </w:instrText>
            </w:r>
            <w:r>
              <w:rPr>
                <w:rFonts w:hint="eastAsia" w:ascii="宋体" w:hAnsi="宋体" w:cs="宋体"/>
                <w:color w:val="auto"/>
              </w:rPr>
              <w:fldChar w:fldCharType="separate"/>
            </w:r>
            <w:r>
              <w:rPr>
                <w:rFonts w:hint="eastAsia" w:ascii="宋体" w:hAnsi="宋体" w:cs="宋体"/>
                <w:color w:val="auto"/>
              </w:rPr>
              <w:t>①</w:t>
            </w:r>
            <w:r>
              <w:rPr>
                <w:rFonts w:hint="eastAsia" w:ascii="宋体" w:hAnsi="宋体" w:cs="宋体"/>
                <w:color w:val="auto"/>
              </w:rPr>
              <w:fldChar w:fldCharType="end"/>
            </w:r>
            <w:r>
              <w:rPr>
                <w:rFonts w:hint="eastAsia"/>
                <w:color w:val="auto"/>
              </w:rPr>
              <w:t>对土地资源的影响</w:t>
            </w:r>
          </w:p>
          <w:p>
            <w:pPr>
              <w:pStyle w:val="50"/>
              <w:ind w:firstLine="480"/>
            </w:pPr>
            <w:r>
              <w:rPr>
                <w:rFonts w:hint="eastAsia"/>
              </w:rPr>
              <w:t>基于本项目场址地处西北内陆干旱荒漠区，生态系统极其脆弱，土地资源再生能力亦很弱，稍有冲击，就会造成原有平衡的失调，导致土地的趋劣发展。</w:t>
            </w:r>
          </w:p>
          <w:p>
            <w:pPr>
              <w:pStyle w:val="50"/>
              <w:ind w:firstLine="480"/>
            </w:pPr>
            <w:r>
              <w:rPr>
                <w:rFonts w:hint="eastAsia"/>
              </w:rPr>
              <w:t>所以在项目建设中须对区内土地资源的保护与恢复引起高度重视。</w:t>
            </w:r>
          </w:p>
          <w:p>
            <w:pPr>
              <w:pStyle w:val="50"/>
              <w:ind w:firstLine="480"/>
            </w:pPr>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土地利用变化的影响分析</w:t>
            </w:r>
          </w:p>
          <w:p>
            <w:pPr>
              <w:pStyle w:val="50"/>
              <w:ind w:firstLine="480"/>
            </w:pPr>
            <w:r>
              <w:rPr>
                <w:rFonts w:hint="eastAsia"/>
              </w:rPr>
              <w:t>项目建设占地均为临时占地，占地面积42.5</w:t>
            </w:r>
            <w:r>
              <w:t>2</w:t>
            </w:r>
            <w:r>
              <w:rPr>
                <w:rFonts w:hint="eastAsia"/>
              </w:rPr>
              <w:t>hm</w:t>
            </w:r>
            <w:r>
              <w:rPr>
                <w:rFonts w:hint="eastAsia"/>
                <w:vertAlign w:val="superscript"/>
              </w:rPr>
              <w:t>2</w:t>
            </w:r>
            <w:r>
              <w:rPr>
                <w:rFonts w:hint="eastAsia"/>
              </w:rPr>
              <w:t>，而临时占地的影响是可逆的，在一定时间后可恢复到自然状态。项目占地的影响主要是排土场、露天采区、矿区道路建设、工业场地等设施建设用地，临时占地对局地草地会产生暂时性影响。施工结束后，牧草地一般1年内基本可恢复现有土地利用功能。因此，施工期临时占地对整个区域土地利用和经济的不利影响是有限的和可逆的。项目区复垦综合考虑因地制宜、合理利用的原则，考虑到矿区的气候条件及周边环境，按照因地制宜原则将矿山损毁的旱地和灌木林地复垦为原地类，将损毁的天然牧草地、其他草地、采矿用地、农村道路、裸土地和裸岩石砾地全部复垦为人工牧草地，公路用地保持不变；露天采场边坡（面积11.30hm</w:t>
            </w:r>
            <w:r>
              <w:rPr>
                <w:rFonts w:hint="eastAsia"/>
                <w:vertAlign w:val="superscript"/>
              </w:rPr>
              <w:t>2</w:t>
            </w:r>
            <w:r>
              <w:rPr>
                <w:rFonts w:hint="eastAsia"/>
              </w:rPr>
              <w:t>）由于坡度较陡，复垦难度较大，因此土地利用方向为裸岩石砾地，复垦后土地利用功能基本不变。</w:t>
            </w:r>
          </w:p>
          <w:p>
            <w:pPr>
              <w:pStyle w:val="50"/>
              <w:ind w:firstLine="480"/>
            </w:pPr>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对植被的影响分析</w:t>
            </w:r>
          </w:p>
          <w:p>
            <w:pPr>
              <w:pStyle w:val="50"/>
              <w:ind w:firstLine="480"/>
            </w:pPr>
            <w:r>
              <w:rPr>
                <w:rFonts w:hint="eastAsia"/>
                <w:kern w:val="1"/>
              </w:rPr>
              <w:t>本项目占地面积42.5</w:t>
            </w:r>
            <w:r>
              <w:rPr>
                <w:kern w:val="1"/>
              </w:rPr>
              <w:t>2</w:t>
            </w:r>
            <w:r>
              <w:rPr>
                <w:rFonts w:hint="eastAsia"/>
                <w:kern w:val="1"/>
              </w:rPr>
              <w:t>hm</w:t>
            </w:r>
            <w:r>
              <w:rPr>
                <w:rFonts w:hint="eastAsia"/>
                <w:kern w:val="24"/>
                <w:vertAlign w:val="superscript"/>
              </w:rPr>
              <w:t>2</w:t>
            </w:r>
            <w:r>
              <w:rPr>
                <w:rFonts w:hint="eastAsia"/>
                <w:kern w:val="1"/>
              </w:rPr>
              <w:t>，均为</w:t>
            </w:r>
            <w:r>
              <w:rPr>
                <w:rFonts w:hint="eastAsia"/>
                <w:kern w:val="24"/>
              </w:rPr>
              <w:t>临时占地。其中，露天采区31</w:t>
            </w:r>
            <w:r>
              <w:rPr>
                <w:rFonts w:hint="eastAsia"/>
                <w:kern w:val="1"/>
              </w:rPr>
              <w:t>hm</w:t>
            </w:r>
            <w:r>
              <w:rPr>
                <w:rFonts w:hint="eastAsia"/>
                <w:kern w:val="24"/>
                <w:vertAlign w:val="superscript"/>
              </w:rPr>
              <w:t>2</w:t>
            </w:r>
            <w:r>
              <w:rPr>
                <w:rFonts w:hint="eastAsia"/>
                <w:kern w:val="24"/>
              </w:rPr>
              <w:t>，矿区道路1.25</w:t>
            </w:r>
            <w:r>
              <w:rPr>
                <w:rFonts w:hint="eastAsia"/>
                <w:kern w:val="1"/>
              </w:rPr>
              <w:t>hm</w:t>
            </w:r>
            <w:r>
              <w:rPr>
                <w:rFonts w:hint="eastAsia"/>
                <w:kern w:val="24"/>
                <w:vertAlign w:val="superscript"/>
              </w:rPr>
              <w:t>2</w:t>
            </w:r>
            <w:r>
              <w:rPr>
                <w:rFonts w:hint="eastAsia"/>
                <w:kern w:val="24"/>
              </w:rPr>
              <w:t>，工业场地10.28</w:t>
            </w:r>
            <w:r>
              <w:rPr>
                <w:rFonts w:hint="eastAsia"/>
                <w:kern w:val="1"/>
              </w:rPr>
              <w:t>hm</w:t>
            </w:r>
            <w:r>
              <w:rPr>
                <w:rFonts w:hint="eastAsia"/>
                <w:kern w:val="24"/>
                <w:vertAlign w:val="superscript"/>
              </w:rPr>
              <w:t>2</w:t>
            </w:r>
            <w:r>
              <w:rPr>
                <w:rFonts w:hint="eastAsia"/>
                <w:kern w:val="24"/>
              </w:rPr>
              <w:t>、</w:t>
            </w:r>
            <w:r>
              <w:rPr>
                <w:rFonts w:hint="eastAsia"/>
                <w:kern w:val="1"/>
              </w:rPr>
              <w:t>占地类型以荒草地为主，</w:t>
            </w:r>
            <w:r>
              <w:rPr>
                <w:rFonts w:hint="eastAsia"/>
              </w:rPr>
              <w:t>生物量损失很小，对生态的影响较小</w:t>
            </w:r>
            <w:r>
              <w:rPr>
                <w:rFonts w:hint="eastAsia"/>
                <w:kern w:val="24"/>
              </w:rPr>
              <w:t>。</w:t>
            </w:r>
          </w:p>
          <w:p>
            <w:pPr>
              <w:pStyle w:val="50"/>
              <w:ind w:firstLine="480"/>
            </w:pPr>
            <w:r>
              <w:rPr>
                <w:rFonts w:hint="eastAsia"/>
              </w:rPr>
              <w:t>在矿山开发建设中由于露天采区岩土剥离、排弃，道路开挖和地面建筑物建设时开挖地表、移动土方和弃土石渣，将会扰动原地貌，破坏地表植被，对其附近的原有植被造成破坏，改变该区地表植被覆盖情况。由于项目区位于宁南黄土高原北部干草原区，经现场调查，矿区植被稀少，黄土、碎石基本裸露地表，项目区植被林草覆盖率达到20%左右。基建期生物量损失量比较小，对当地植被覆盖面积不会有明显影响，评价区域内的生态功能不会发生大的改变。矿山基建期，随着施工结束，临时占地植被恢复工作、工业场地等场区绿化工作的落实，这部分生物量损失将得到一定程度的恢复。评价区内植被和生态环境将会得到一定改善。</w:t>
            </w:r>
          </w:p>
          <w:p>
            <w:pPr>
              <w:pStyle w:val="50"/>
              <w:ind w:firstLine="480"/>
            </w:pPr>
            <w:r>
              <w:rPr>
                <w:rFonts w:hint="eastAsia"/>
              </w:rPr>
              <w:fldChar w:fldCharType="begin"/>
            </w:r>
            <w:r>
              <w:rPr>
                <w:rFonts w:hint="eastAsia"/>
              </w:rPr>
              <w:instrText xml:space="preserve"> = 4 \* GB3 </w:instrText>
            </w:r>
            <w:r>
              <w:rPr>
                <w:rFonts w:hint="eastAsia"/>
              </w:rPr>
              <w:fldChar w:fldCharType="separate"/>
            </w:r>
            <w:r>
              <w:rPr>
                <w:rFonts w:hint="eastAsia"/>
              </w:rPr>
              <w:t>④</w:t>
            </w:r>
            <w:r>
              <w:rPr>
                <w:rFonts w:hint="eastAsia"/>
              </w:rPr>
              <w:fldChar w:fldCharType="end"/>
            </w:r>
            <w:r>
              <w:rPr>
                <w:rFonts w:hint="eastAsia"/>
              </w:rPr>
              <w:t>对野生动物的影响分析</w:t>
            </w:r>
          </w:p>
          <w:p>
            <w:pPr>
              <w:pStyle w:val="50"/>
              <w:ind w:firstLine="480"/>
            </w:pPr>
            <w:r>
              <w:rPr>
                <w:rFonts w:hint="eastAsia"/>
              </w:rPr>
              <w:t xml:space="preserve">矿区施工将造成施工区域内地表植被的损毁，使一些野生动物失去部分觅食 </w:t>
            </w:r>
          </w:p>
          <w:p>
            <w:pPr>
              <w:pStyle w:val="50"/>
              <w:ind w:firstLine="0" w:firstLineChars="0"/>
            </w:pPr>
            <w:r>
              <w:rPr>
                <w:rFonts w:hint="eastAsia"/>
              </w:rPr>
              <w:t>地、栖息场所和活动区域，对野生动物的生存环境产生轻微的不利影响。施工人员的活动及机械噪声等将会使施工区及周围一定范围内野生动物的活动和栖息产生不利影响，使其群落组成和数量发生一定变化。此外，施工过程中，人为干扰如施工人员滥捕乱猎等现象的出现，将直接影响到这一地区的某些野生动物种群数量，如野鸡、野兔等。但矿区野生动物种类较少，缺少大型野生哺乳动物，现有的野生动物多为一些常见的鸟类、啮齿类及昆虫等。只要加强对施工人员的管理，不会造成大的负面影响。因此，本项目的建设与生产对项目区野生动物的活动影响较小。</w:t>
            </w:r>
          </w:p>
          <w:p>
            <w:pPr>
              <w:pStyle w:val="50"/>
              <w:ind w:firstLine="480"/>
            </w:pPr>
            <w:r>
              <w:rPr>
                <w:rFonts w:hint="eastAsia"/>
              </w:rPr>
              <w:fldChar w:fldCharType="begin"/>
            </w:r>
            <w:r>
              <w:rPr>
                <w:rFonts w:hint="eastAsia"/>
              </w:rPr>
              <w:instrText xml:space="preserve"> = 5 \* GB3 </w:instrText>
            </w:r>
            <w:r>
              <w:rPr>
                <w:rFonts w:hint="eastAsia"/>
              </w:rPr>
              <w:fldChar w:fldCharType="separate"/>
            </w:r>
            <w:r>
              <w:rPr>
                <w:rFonts w:hint="eastAsia"/>
              </w:rPr>
              <w:t>⑤</w:t>
            </w:r>
            <w:r>
              <w:rPr>
                <w:rFonts w:hint="eastAsia"/>
              </w:rPr>
              <w:fldChar w:fldCharType="end"/>
            </w:r>
            <w:r>
              <w:rPr>
                <w:rFonts w:hint="eastAsia"/>
              </w:rPr>
              <w:t>水土流失影响</w:t>
            </w:r>
          </w:p>
          <w:p>
            <w:pPr>
              <w:pStyle w:val="50"/>
              <w:ind w:firstLine="480"/>
            </w:pPr>
            <w:r>
              <w:rPr>
                <w:rFonts w:hint="eastAsia"/>
              </w:rPr>
              <w:t>露天采区、排土场、矿区公路等建设期间开挖和扰动地表，致使地表裸露、植被稀疏、土体松散，土壤抗蚀能力降低，引发了水土流失，但由于项目施工过程中选择合适的时间，不在大风及雨季施工，加之施工期较短，施工水土流失影响较小。</w:t>
            </w:r>
          </w:p>
          <w:p>
            <w:pPr>
              <w:pStyle w:val="47"/>
              <w:ind w:firstLine="480"/>
              <w:rPr>
                <w:color w:val="auto"/>
              </w:rPr>
            </w:pPr>
            <w:r>
              <w:rPr>
                <w:rFonts w:hint="eastAsia"/>
                <w:color w:val="auto"/>
              </w:rPr>
              <w:t>（2）施工期大气环境影响分析</w:t>
            </w:r>
          </w:p>
          <w:p>
            <w:pPr>
              <w:spacing w:line="360" w:lineRule="auto"/>
              <w:ind w:firstLine="480" w:firstLineChars="200"/>
              <w:rPr>
                <w:rFonts w:ascii="宋体" w:hAnsi="宋体"/>
                <w:sz w:val="24"/>
              </w:rPr>
            </w:pPr>
            <w:r>
              <w:rPr>
                <w:rFonts w:hint="eastAsia" w:ascii="宋体" w:hAnsi="宋体"/>
                <w:sz w:val="24"/>
              </w:rPr>
              <w:t>施工过程中主要的大气污染源有：施工开挖机械及运输车辆所产生的扬尘；施工材料的装卸、运输以及开挖土方的堆积扬尘；基建剥离工程产生的施工扬尘、凿岩打孔粉尘、爆破废气CO、氮氧化物；运输过程各类施工机械和运输车辆所排放的废气。</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施工扬尘</w:t>
            </w:r>
          </w:p>
          <w:p>
            <w:pPr>
              <w:pStyle w:val="47"/>
              <w:ind w:firstLine="480"/>
              <w:rPr>
                <w:color w:val="auto"/>
              </w:rPr>
            </w:pPr>
            <w:r>
              <w:rPr>
                <w:rFonts w:hint="eastAsia"/>
                <w:color w:val="auto"/>
              </w:rPr>
              <w:t>扬尘是建设阶段的大气污染源主要来源，该项目建设期扬尘主要来自于场地清理、土方挖掘填埋、露天堆场、裸露场地和原材料堆存的风力扬尘，土石方和建筑材料运输所产生的动力道路扬尘。</w:t>
            </w:r>
          </w:p>
          <w:p>
            <w:pPr>
              <w:pStyle w:val="47"/>
              <w:ind w:firstLine="460"/>
              <w:rPr>
                <w:color w:val="auto"/>
              </w:rPr>
            </w:pPr>
            <w:r>
              <w:rPr>
                <w:rFonts w:hint="eastAsia"/>
                <w:color w:val="auto"/>
                <w:spacing w:val="-5"/>
              </w:rPr>
              <w:t>对整个施工期而言，施工产生的扬尘主要集中在土建施工阶段，起尘的原因主要为</w:t>
            </w:r>
            <w:r>
              <w:rPr>
                <w:rFonts w:hint="eastAsia"/>
                <w:color w:val="auto"/>
                <w:spacing w:val="-7"/>
              </w:rPr>
              <w:t>风力起尘，即露天堆放的建材及裸露的施工区表层浮尘由于天气干燥及大风，产生风力</w:t>
            </w:r>
            <w:r>
              <w:rPr>
                <w:rFonts w:hint="eastAsia"/>
                <w:color w:val="auto"/>
              </w:rPr>
              <w:t>扬尘。尤其是天气干燥及风速较大时影响更为明显</w:t>
            </w:r>
            <w:r>
              <w:rPr>
                <w:rFonts w:hint="eastAsia"/>
                <w:color w:val="auto"/>
                <w:position w:val="2"/>
              </w:rPr>
              <w:t>。扬尘的排放量大小直接与施工期的管理措施有关。</w:t>
            </w:r>
          </w:p>
          <w:p>
            <w:pPr>
              <w:pStyle w:val="47"/>
              <w:ind w:firstLine="480"/>
              <w:rPr>
                <w:color w:val="auto"/>
              </w:rPr>
            </w:pPr>
            <w:r>
              <w:rPr>
                <w:rFonts w:hint="eastAsia"/>
                <w:color w:val="auto"/>
              </w:rPr>
              <w:t>根据类比其他类似工程的实测数据，类似土建工程现场的扬尘实地监测结果，在通常情况下，距离施工场界</w:t>
            </w:r>
            <w:r>
              <w:rPr>
                <w:rFonts w:hint="eastAsia" w:eastAsia="Times New Roman"/>
                <w:color w:val="auto"/>
              </w:rPr>
              <w:t>200m</w:t>
            </w:r>
            <w:r>
              <w:rPr>
                <w:rFonts w:hint="eastAsia"/>
                <w:color w:val="auto"/>
              </w:rPr>
              <w:t>处</w:t>
            </w:r>
            <w:r>
              <w:rPr>
                <w:rFonts w:hint="eastAsia" w:eastAsia="Times New Roman"/>
                <w:color w:val="auto"/>
              </w:rPr>
              <w:t>PM</w:t>
            </w:r>
            <w:r>
              <w:rPr>
                <w:rFonts w:hint="eastAsia" w:eastAsia="Times New Roman"/>
                <w:color w:val="auto"/>
                <w:vertAlign w:val="subscript"/>
              </w:rPr>
              <w:t>10</w:t>
            </w:r>
            <w:r>
              <w:rPr>
                <w:rFonts w:hint="eastAsia"/>
                <w:color w:val="auto"/>
              </w:rPr>
              <w:t>浓度约在</w:t>
            </w:r>
            <w:r>
              <w:rPr>
                <w:rFonts w:hint="eastAsia" w:eastAsia="Times New Roman"/>
                <w:color w:val="auto"/>
              </w:rPr>
              <w:t>0.10-0.25mg/m</w:t>
            </w:r>
            <w:r>
              <w:rPr>
                <w:rFonts w:hint="eastAsia" w:eastAsia="Times New Roman"/>
                <w:color w:val="auto"/>
                <w:vertAlign w:val="superscript"/>
              </w:rPr>
              <w:t>3</w:t>
            </w:r>
            <w:r>
              <w:rPr>
                <w:rFonts w:hint="eastAsia"/>
                <w:color w:val="auto"/>
              </w:rPr>
              <w:t>之间。</w:t>
            </w:r>
          </w:p>
          <w:p>
            <w:pPr>
              <w:spacing w:line="360" w:lineRule="auto"/>
              <w:ind w:firstLine="480" w:firstLineChars="200"/>
              <w:rPr>
                <w:sz w:val="24"/>
              </w:rPr>
            </w:pPr>
            <w:r>
              <w:rPr>
                <w:rFonts w:hint="eastAsia"/>
                <w:sz w:val="24"/>
              </w:rPr>
              <w:t>据项目最近的环境敏感点为项目东侧438m青龙山村（工业场地距青龙山村438m，露天矿区距青龙山村1078m），施工期主要采取缩短工期及施工影响范围，及时恢复场地植被，干燥、大风天气施工必须采取洒水抑尘措施；</w:t>
            </w:r>
          </w:p>
          <w:p>
            <w:pPr>
              <w:spacing w:line="360" w:lineRule="auto"/>
              <w:ind w:firstLine="480" w:firstLineChars="200"/>
              <w:rPr>
                <w:rFonts w:ascii="宋体" w:hAnsi="宋体"/>
                <w:sz w:val="24"/>
              </w:rPr>
            </w:pPr>
            <w:r>
              <w:rPr>
                <w:rFonts w:hint="eastAsia" w:ascii="宋体" w:hAnsi="宋体"/>
                <w:sz w:val="24"/>
              </w:rPr>
              <w:t>运输物料的车辆应限速，不得超载，并对运输道路进行定期清扫、洒水，文明</w:t>
            </w:r>
          </w:p>
          <w:p>
            <w:pPr>
              <w:pStyle w:val="47"/>
              <w:ind w:firstLine="0" w:firstLineChars="0"/>
              <w:rPr>
                <w:color w:val="auto"/>
              </w:rPr>
            </w:pPr>
            <w:r>
              <w:rPr>
                <w:rFonts w:hint="eastAsia" w:ascii="宋体" w:hAnsi="宋体"/>
                <w:color w:val="auto"/>
              </w:rPr>
              <w:t>施工等措施。在落实施工期扬尘治理措施下，项目对环境空气质量影响较小。</w:t>
            </w:r>
          </w:p>
          <w:p>
            <w:pPr>
              <w:pStyle w:val="47"/>
              <w:ind w:firstLine="480"/>
              <w:rPr>
                <w:color w:val="auto"/>
              </w:rPr>
            </w:pPr>
            <w:r>
              <w:rPr>
                <w:rFonts w:hint="eastAsia" w:ascii="宋体" w:hAnsi="宋体"/>
                <w:color w:val="auto"/>
              </w:rPr>
              <w:fldChar w:fldCharType="begin"/>
            </w:r>
            <w:r>
              <w:rPr>
                <w:rFonts w:hint="eastAsia" w:ascii="宋体" w:hAnsi="宋体"/>
                <w:color w:val="auto"/>
              </w:rPr>
              <w:instrText xml:space="preserve"> = 2 \* GB3 </w:instrText>
            </w:r>
            <w:r>
              <w:rPr>
                <w:rFonts w:hint="eastAsia" w:ascii="宋体" w:hAnsi="宋体"/>
                <w:color w:val="auto"/>
              </w:rPr>
              <w:fldChar w:fldCharType="separate"/>
            </w:r>
            <w:r>
              <w:rPr>
                <w:rFonts w:hint="eastAsia" w:ascii="宋体" w:hAnsi="宋体"/>
                <w:color w:val="auto"/>
              </w:rPr>
              <w:t>②</w:t>
            </w:r>
            <w:r>
              <w:rPr>
                <w:rFonts w:hint="eastAsia" w:ascii="宋体" w:hAnsi="宋体"/>
                <w:color w:val="auto"/>
              </w:rPr>
              <w:fldChar w:fldCharType="end"/>
            </w:r>
            <w:r>
              <w:rPr>
                <w:rFonts w:hint="eastAsia"/>
                <w:color w:val="auto"/>
              </w:rPr>
              <w:t>施工机械废气</w:t>
            </w:r>
          </w:p>
          <w:p>
            <w:pPr>
              <w:pStyle w:val="47"/>
              <w:ind w:firstLine="480"/>
              <w:rPr>
                <w:rFonts w:ascii="宋体" w:hAnsi="宋体"/>
                <w:color w:val="auto"/>
                <w:sz w:val="20"/>
              </w:rPr>
            </w:pPr>
            <w:r>
              <w:rPr>
                <w:rFonts w:hint="eastAsia"/>
                <w:color w:val="auto"/>
              </w:rPr>
              <w:t>施工动力机械和运输车辆燃油会产生燃油尾气，尾气中的污染物主要是NOx、CO和THC等。动力机械废气为间断排放，随着机械使用频率的不同而随时变化，排放量较小。同时随施工结束而结束；施工运输车辆尾气的排放主要是流动污染源。车辆燃油尾气污染物的排放与燃料油关系很大，燃用规定标准的燃料油，燃油尾气中的污染物可达到规定的排放标准要求。</w:t>
            </w:r>
            <w:r>
              <w:rPr>
                <w:rFonts w:hint="eastAsia" w:ascii="宋体" w:hAnsi="宋体"/>
                <w:color w:val="auto"/>
              </w:rPr>
              <w:t>由于拟建项目所在地较为开阔，空气流通较好，汽车排放的废气能够较快地扩散，不会对当地的环境空气产生较大影响。</w:t>
            </w:r>
          </w:p>
          <w:p>
            <w:pPr>
              <w:pStyle w:val="47"/>
              <w:ind w:firstLine="480"/>
              <w:rPr>
                <w:color w:val="auto"/>
              </w:rPr>
            </w:pPr>
            <w:r>
              <w:rPr>
                <w:rFonts w:hint="eastAsia"/>
                <w:color w:val="auto"/>
              </w:rPr>
              <w:fldChar w:fldCharType="begin"/>
            </w:r>
            <w:r>
              <w:rPr>
                <w:rFonts w:hint="eastAsia"/>
                <w:color w:val="auto"/>
              </w:rPr>
              <w:instrText xml:space="preserve"> = 3 \* GB3 </w:instrText>
            </w:r>
            <w:r>
              <w:rPr>
                <w:rFonts w:hint="eastAsia"/>
                <w:color w:val="auto"/>
              </w:rPr>
              <w:fldChar w:fldCharType="separate"/>
            </w:r>
            <w:r>
              <w:rPr>
                <w:rFonts w:hint="eastAsia"/>
                <w:color w:val="auto"/>
              </w:rPr>
              <w:t>③</w:t>
            </w:r>
            <w:r>
              <w:rPr>
                <w:rFonts w:hint="eastAsia"/>
                <w:color w:val="auto"/>
              </w:rPr>
              <w:fldChar w:fldCharType="end"/>
            </w:r>
            <w:r>
              <w:rPr>
                <w:rFonts w:hint="eastAsia"/>
                <w:color w:val="auto"/>
              </w:rPr>
              <w:t>基建剥离工程产生扬尘、钻孔粉尘及爆破废气CO、氮氧化物</w:t>
            </w:r>
          </w:p>
          <w:p>
            <w:pPr>
              <w:pStyle w:val="47"/>
              <w:ind w:firstLine="480"/>
              <w:rPr>
                <w:color w:val="auto"/>
              </w:rPr>
            </w:pPr>
            <w:r>
              <w:rPr>
                <w:rFonts w:hint="eastAsia"/>
                <w:color w:val="auto"/>
              </w:rPr>
              <w:t>1)剥离表土扬尘</w:t>
            </w:r>
          </w:p>
          <w:p>
            <w:pPr>
              <w:pStyle w:val="47"/>
              <w:ind w:firstLine="480"/>
              <w:rPr>
                <w:color w:val="auto"/>
              </w:rPr>
            </w:pPr>
            <w:r>
              <w:rPr>
                <w:rFonts w:hint="eastAsia"/>
                <w:color w:val="auto"/>
              </w:rPr>
              <w:t>基建期对露天开采一期工程表土进行剥离，剥离表土会产生扬尘，为无组织排放，剥离表土扬尘计算使用《逸散性工业粉尘控制技术》（中国环境出版社〉第一章一一四、开采四、的开采中表1-16开采中除去覆盖层作业中的逸散排放因子的地区法剥离系数，为0.025kg/t（覆盖层）。根据调查表土剥离机械的粉尘产生量主要与土壤持水率、挖斗卸料高度有关，如土壤干燥、卸料高度大，则粉尘产生量大，项目基建工程剥离表土</w:t>
            </w:r>
            <w:r>
              <w:rPr>
                <w:rFonts w:hint="eastAsia"/>
                <w:color w:val="auto"/>
                <w:w w:val="90"/>
              </w:rPr>
              <w:t>5.31万m³</w:t>
            </w:r>
            <w:r>
              <w:rPr>
                <w:rFonts w:hint="eastAsia"/>
                <w:color w:val="auto"/>
              </w:rPr>
              <w:t>（项目表土剥离期按一年计算）</w:t>
            </w:r>
            <w:r>
              <w:rPr>
                <w:rFonts w:hint="eastAsia"/>
                <w:color w:val="auto"/>
                <w:w w:val="90"/>
              </w:rPr>
              <w:t>、土壤密度为1.6g/cm</w:t>
            </w:r>
            <w:r>
              <w:rPr>
                <w:rFonts w:hint="eastAsia"/>
                <w:color w:val="auto"/>
                <w:w w:val="90"/>
                <w:vertAlign w:val="superscript"/>
              </w:rPr>
              <w:t>3</w:t>
            </w:r>
            <w:r>
              <w:rPr>
                <w:rFonts w:hint="eastAsia"/>
                <w:color w:val="auto"/>
                <w:w w:val="90"/>
              </w:rPr>
              <w:t>，</w:t>
            </w:r>
            <w:r>
              <w:rPr>
                <w:rFonts w:hint="eastAsia"/>
                <w:color w:val="auto"/>
              </w:rPr>
              <w:t>根据系数计算项目基建剥离表土扬尘总产生量为2.214t/a，项目在剥离表土前对表土采用洒水预湿，在表土剥离工作面洒水增加土壤持水率，减少粉尘产生量，铲装洒水抑尘，降低挖斗装卸料高度，抑抑尘率可达75%，则剥离表土粉尘总排放量为0.531t/a，</w:t>
            </w:r>
            <w:r>
              <w:rPr>
                <w:rFonts w:hint="eastAsia"/>
                <w:snapToGrid/>
                <w:color w:val="auto"/>
                <w:kern w:val="2"/>
                <w:lang w:bidi="zh-CN"/>
              </w:rPr>
              <w:t>项目露天矿区最近的环境敏感点为项目东侧1078m青龙山村，</w:t>
            </w:r>
            <w:r>
              <w:rPr>
                <w:rFonts w:hint="eastAsia"/>
                <w:color w:val="auto"/>
              </w:rPr>
              <w:t>对大气环境影响较小。</w:t>
            </w:r>
          </w:p>
          <w:p>
            <w:pPr>
              <w:pStyle w:val="47"/>
              <w:ind w:firstLine="480"/>
              <w:rPr>
                <w:color w:val="auto"/>
              </w:rPr>
            </w:pPr>
            <w:r>
              <w:rPr>
                <w:rFonts w:hint="eastAsia"/>
                <w:color w:val="auto"/>
              </w:rPr>
              <w:t>2)</w:t>
            </w:r>
            <w:r>
              <w:rPr>
                <w:rFonts w:hint="eastAsia"/>
                <w:color w:val="auto"/>
                <w:lang w:bidi="zh-CN"/>
              </w:rPr>
              <w:t>钻孔粉尘</w:t>
            </w:r>
          </w:p>
          <w:p>
            <w:pPr>
              <w:pStyle w:val="47"/>
              <w:ind w:firstLine="480"/>
              <w:rPr>
                <w:color w:val="auto"/>
                <w:lang w:bidi="zh-CN"/>
              </w:rPr>
            </w:pPr>
            <w:r>
              <w:rPr>
                <w:rFonts w:hint="eastAsia"/>
                <w:color w:val="auto"/>
                <w:lang w:bidi="zh-CN"/>
              </w:rPr>
              <w:t>项目进行钻孔凿岩作业时，钻机的钻头高速旋转并与岩体发生摩擦，由此产生一定强度的粉尘 。根据《中国铝业》2000年05期中的《露天矿粉尘污染治理》（毕上刚）一文可知，在没有任何防尘措施的条件下，钻机附近空气中的平均粉尘浓度为129.8mg/m</w:t>
            </w:r>
            <w:r>
              <w:rPr>
                <w:rFonts w:hint="eastAsia"/>
                <w:color w:val="auto"/>
                <w:vertAlign w:val="superscript"/>
                <w:lang w:bidi="zh-CN"/>
              </w:rPr>
              <w:t>3</w:t>
            </w:r>
            <w:r>
              <w:rPr>
                <w:rFonts w:hint="eastAsia"/>
                <w:color w:val="auto"/>
                <w:lang w:bidi="zh-CN"/>
              </w:rPr>
              <w:t>。凿岩钻孔粉尘影响范围一般在20m以内。</w:t>
            </w:r>
          </w:p>
          <w:p>
            <w:pPr>
              <w:pStyle w:val="47"/>
              <w:ind w:firstLine="480"/>
              <w:rPr>
                <w:color w:val="auto"/>
                <w:lang w:bidi="zh-CN"/>
              </w:rPr>
            </w:pPr>
            <w:r>
              <w:rPr>
                <w:rFonts w:hint="eastAsia"/>
                <w:color w:val="auto"/>
                <w:lang w:bidi="zh-CN"/>
              </w:rPr>
              <w:t>参考《逸散性工业粉尘控制技术》（中国环境科学出版社），开采中钻孔过程粉尘产生的排放因子为0.004kg/t矿石，本项目基建矿石和白云岩开采量为364.83万m</w:t>
            </w:r>
            <w:r>
              <w:rPr>
                <w:rFonts w:hint="eastAsia"/>
                <w:color w:val="auto"/>
                <w:vertAlign w:val="superscript"/>
                <w:lang w:bidi="zh-CN"/>
              </w:rPr>
              <w:t>3</w:t>
            </w:r>
            <w:r>
              <w:rPr>
                <w:rFonts w:hint="eastAsia"/>
                <w:color w:val="auto"/>
                <w:lang w:bidi="zh-CN"/>
              </w:rPr>
              <w:t>,（</w:t>
            </w:r>
            <w:r>
              <w:rPr>
                <w:rFonts w:hint="eastAsia"/>
                <w:color w:val="auto"/>
              </w:rPr>
              <w:t>基建工期共36个月</w:t>
            </w:r>
            <w:r>
              <w:rPr>
                <w:rFonts w:hint="eastAsia"/>
                <w:color w:val="auto"/>
                <w:lang w:bidi="zh-CN"/>
              </w:rPr>
              <w:t>，矿石密度2.83t/m</w:t>
            </w:r>
            <w:r>
              <w:rPr>
                <w:rFonts w:hint="eastAsia"/>
                <w:color w:val="auto"/>
                <w:vertAlign w:val="superscript"/>
                <w:lang w:bidi="zh-CN"/>
              </w:rPr>
              <w:t>3</w:t>
            </w:r>
            <w:r>
              <w:rPr>
                <w:rFonts w:hint="eastAsia"/>
                <w:color w:val="auto"/>
                <w:lang w:bidi="zh-CN"/>
              </w:rPr>
              <w:t>,其中白云岩22.05万吨），则基建期钻孔扬尘产生量约为41.3t，13.77t/a。</w:t>
            </w:r>
          </w:p>
          <w:p>
            <w:pPr>
              <w:pStyle w:val="47"/>
              <w:ind w:firstLine="480"/>
              <w:rPr>
                <w:snapToGrid/>
                <w:color w:val="auto"/>
                <w:kern w:val="2"/>
                <w:lang w:bidi="zh-CN"/>
              </w:rPr>
            </w:pPr>
            <w:r>
              <w:rPr>
                <w:rFonts w:hint="eastAsia"/>
                <w:snapToGrid/>
                <w:color w:val="auto"/>
                <w:kern w:val="2"/>
                <w:lang w:bidi="zh-CN"/>
              </w:rPr>
              <w:t>根据类比调查结果，采用自带有收尘装置凿岩钻孔机可以有效地减少粉尘的产生。本项目在凿岩钻孔过程中采用湿法作业，凿岩前对岩面进行喷淋洒水湿润，此外，项目钻机采用自带收尘设施的钻机，参考张震宇的《露天采矿场粉尘污染及其防治》，潜孔钻机自带收尘装置可减少钻孔凿岩粉尘90%，同时工作面布设雾炮机喷雾除尘，可有效抑制粉尘产生，排入环境中的粉尘量小，进一步抑尘效率50%计算，处理后基建期粉尘排放总量为2.065t，0.688t/a。凿岩钻孔粉尘影响范围一般在20m以内,项目露天矿区最近的环境敏感点为项目东侧1078m青龙山村，对周边大气环境影响较小。</w:t>
            </w:r>
          </w:p>
          <w:p>
            <w:pPr>
              <w:pStyle w:val="47"/>
              <w:ind w:firstLine="480"/>
              <w:rPr>
                <w:color w:val="auto"/>
              </w:rPr>
            </w:pPr>
            <w:r>
              <w:rPr>
                <w:rFonts w:hint="eastAsia"/>
                <w:snapToGrid/>
                <w:color w:val="auto"/>
                <w:lang w:bidi="zh-CN"/>
              </w:rPr>
              <w:t>3)爆破废气</w:t>
            </w:r>
          </w:p>
          <w:p>
            <w:pPr>
              <w:pStyle w:val="47"/>
              <w:ind w:firstLine="480"/>
              <w:rPr>
                <w:color w:val="auto"/>
                <w:lang w:bidi="zh-CN"/>
              </w:rPr>
            </w:pPr>
            <w:r>
              <w:rPr>
                <w:rFonts w:hint="eastAsia"/>
                <w:color w:val="auto"/>
                <w:lang w:bidi="zh-CN"/>
              </w:rPr>
              <w:t>项目爆破器材、材料和爆破作业均由当地有资质的爆破公司负责提供和操作，爆破作业采用乳化炸药一数码电子雷管的起爆网路，爆破</w:t>
            </w:r>
            <w:r>
              <w:rPr>
                <w:rFonts w:hint="eastAsia"/>
                <w:color w:val="auto"/>
              </w:rPr>
              <w:t>穿孔台阶高度为15m，钻孔直径150mm，孔距为5m、行距为4m，岩石台阶单耗为0.4kg/m</w:t>
            </w:r>
            <w:r>
              <w:rPr>
                <w:rFonts w:hint="eastAsia"/>
                <w:color w:val="auto"/>
                <w:vertAlign w:val="superscript"/>
              </w:rPr>
              <w:t>3</w:t>
            </w:r>
            <w:r>
              <w:rPr>
                <w:rFonts w:hint="eastAsia"/>
                <w:color w:val="auto"/>
              </w:rPr>
              <w:t>，</w:t>
            </w:r>
            <w:r>
              <w:rPr>
                <w:rFonts w:hint="eastAsia"/>
                <w:color w:val="auto"/>
                <w:lang w:bidi="zh-CN"/>
              </w:rPr>
              <w:t>根据设计方案，基建工程</w:t>
            </w:r>
            <w:r>
              <w:rPr>
                <w:rFonts w:hint="eastAsia"/>
                <w:color w:val="auto"/>
              </w:rPr>
              <w:t>基建工期共36个月，</w:t>
            </w:r>
            <w:r>
              <w:rPr>
                <w:rFonts w:hint="eastAsia"/>
                <w:color w:val="auto"/>
                <w:lang w:bidi="zh-CN"/>
              </w:rPr>
              <w:t>剥离量为370.14万</w:t>
            </w:r>
            <w:r>
              <w:rPr>
                <w:rFonts w:hint="eastAsia"/>
                <w:color w:val="auto"/>
              </w:rPr>
              <w:t>m</w:t>
            </w:r>
            <w:r>
              <w:rPr>
                <w:rFonts w:hint="eastAsia"/>
                <w:color w:val="auto"/>
                <w:vertAlign w:val="superscript"/>
              </w:rPr>
              <w:t>3</w:t>
            </w:r>
            <w:r>
              <w:rPr>
                <w:rFonts w:hint="eastAsia"/>
                <w:color w:val="auto"/>
              </w:rPr>
              <w:t>，</w:t>
            </w:r>
            <w:r>
              <w:rPr>
                <w:rFonts w:hint="eastAsia"/>
                <w:color w:val="auto"/>
                <w:lang w:bidi="zh-CN"/>
              </w:rPr>
              <w:t>总耗药量约为1480.56t。每7天爆破一次，爆破过程产生含粉尘、CO、NOx废气。</w:t>
            </w:r>
          </w:p>
          <w:p>
            <w:pPr>
              <w:pStyle w:val="47"/>
              <w:ind w:firstLine="480"/>
              <w:rPr>
                <w:b/>
                <w:bCs/>
                <w:color w:val="auto"/>
              </w:rPr>
            </w:pPr>
            <w:r>
              <w:rPr>
                <w:rFonts w:hint="eastAsia"/>
                <w:snapToGrid/>
                <w:color w:val="auto"/>
                <w:lang w:bidi="zh-CN"/>
              </w:rPr>
              <w:t>爆破粉尘的产生浓度受岩矿的含水率、施工方式、环境湿度、岩矿成分、爆破量等诸多因素的影响，爆破后粒径大的粉尘在近距离内短时间沉降，根据《露天矿爆破粉尘排放量的计算分析》（1996，《金属矿山》第三期）的相关研究，每吨炸药爆炸时产生的粉尘量为54.2kg。</w:t>
            </w:r>
          </w:p>
          <w:p>
            <w:pPr>
              <w:pStyle w:val="47"/>
              <w:ind w:firstLine="480"/>
              <w:rPr>
                <w:color w:val="auto"/>
                <w:lang w:bidi="zh-CN"/>
              </w:rPr>
            </w:pPr>
            <w:r>
              <w:rPr>
                <w:rFonts w:hint="eastAsia"/>
                <w:color w:val="auto"/>
                <w:lang w:bidi="zh-CN"/>
              </w:rPr>
              <w:t>根据《浅谈工程爆破中的灾害及其控制》( 2015年10月，《建材与装饰》)、《工程爆破中大气污染物的形成机理及控制》等，不同的炸药其大气污染物产生量存在明显的差别，譬如铵油炸药爆炸产生的CO、NOx分别为13.8g/kg、31.2g/kg，2＃岩石硝铵炸药产生的CO、NOx 分别为6.3g/kg、14.6g/kg。</w:t>
            </w:r>
          </w:p>
          <w:p>
            <w:pPr>
              <w:pStyle w:val="47"/>
              <w:ind w:firstLine="480"/>
              <w:rPr>
                <w:color w:val="auto"/>
                <w:lang w:bidi="zh-CN"/>
              </w:rPr>
            </w:pPr>
            <w:r>
              <w:rPr>
                <w:rFonts w:hint="eastAsia"/>
                <w:color w:val="auto"/>
                <w:lang w:bidi="zh-CN"/>
              </w:rPr>
              <w:t>本项目爆破采用2＃岩石硝铵乳化炸药，基建期炸药用量约为1480.56t，则爆破开采产生的粉尘量、CO、NOx分别为80.25t，9.33t，21.62t；项目的爆破工艺采用深孔爆破、采用合理的炮孔网度及向预爆区洒水，同时采用爆堆远程洒水的方式抑尘，爆破后区域开启雾炮机增湿等措施，参考张震宇的《露天采矿场粉尘污染及其防治》，爆破粉尘量可减少90% ，采用以上措施综合防尘后，爆破开采排放的粉尘量、CO、NOx分别为2.675t/a；3.11t/a，7.21t/a。</w:t>
            </w:r>
            <w:r>
              <w:rPr>
                <w:rFonts w:hint="eastAsia"/>
                <w:snapToGrid/>
                <w:color w:val="auto"/>
                <w:kern w:val="2"/>
                <w:lang w:bidi="zh-CN"/>
              </w:rPr>
              <w:t>项目露天矿区最近的环境敏感点为项目东侧1078m青龙山村，对周边大气环境影响较小。</w:t>
            </w:r>
          </w:p>
          <w:p>
            <w:pPr>
              <w:pStyle w:val="47"/>
              <w:ind w:firstLine="480"/>
              <w:rPr>
                <w:color w:val="auto"/>
              </w:rPr>
            </w:pPr>
            <w:r>
              <w:rPr>
                <w:rFonts w:hint="eastAsia"/>
                <w:color w:val="auto"/>
              </w:rPr>
              <w:t>（3）施工期废水环境影响分析</w:t>
            </w:r>
          </w:p>
          <w:p>
            <w:pPr>
              <w:pStyle w:val="47"/>
              <w:ind w:firstLine="480"/>
              <w:rPr>
                <w:color w:val="auto"/>
              </w:rPr>
            </w:pPr>
            <w:r>
              <w:rPr>
                <w:rFonts w:hint="eastAsia"/>
                <w:color w:val="auto"/>
              </w:rPr>
              <w:t>施工期的废水排放主要来自于建筑施工人员的生活污水和施工废水。</w:t>
            </w:r>
          </w:p>
          <w:p>
            <w:pPr>
              <w:pStyle w:val="47"/>
              <w:ind w:firstLine="480"/>
              <w:rPr>
                <w:color w:val="auto"/>
              </w:rPr>
            </w:pPr>
            <w:r>
              <w:rPr>
                <w:rFonts w:hint="eastAsia"/>
                <w:color w:val="auto"/>
              </w:rPr>
              <w:t>生活污水：项目施工期施工人员80人，生活用水量按50L/人d计，则生活用水量为4m</w:t>
            </w:r>
            <w:r>
              <w:rPr>
                <w:rFonts w:hint="eastAsia"/>
                <w:color w:val="auto"/>
                <w:vertAlign w:val="superscript"/>
              </w:rPr>
              <w:t>3</w:t>
            </w:r>
            <w:r>
              <w:rPr>
                <w:rFonts w:hint="eastAsia"/>
                <w:color w:val="auto"/>
              </w:rPr>
              <w:t>/d，生活污水主要污染物为 SS、COD、BOD等。施工人员生活污水经临时防渗旱厕收集后定期清掏，不外排。</w:t>
            </w:r>
          </w:p>
          <w:p>
            <w:pPr>
              <w:pStyle w:val="47"/>
              <w:ind w:firstLine="480"/>
              <w:rPr>
                <w:color w:val="auto"/>
              </w:rPr>
            </w:pPr>
            <w:r>
              <w:rPr>
                <w:rFonts w:hint="eastAsia"/>
                <w:color w:val="auto"/>
              </w:rPr>
              <w:t>施工废水：施工废水主要污染物为SS，经沉淀池沉淀后用于施工场地洒水抑尘，不外排。</w:t>
            </w:r>
          </w:p>
          <w:p>
            <w:pPr>
              <w:pStyle w:val="47"/>
              <w:ind w:firstLine="480"/>
              <w:rPr>
                <w:color w:val="auto"/>
              </w:rPr>
            </w:pPr>
            <w:r>
              <w:rPr>
                <w:rFonts w:hint="eastAsia"/>
                <w:color w:val="auto"/>
              </w:rPr>
              <w:t>（4）施工期噪声环境影响分析</w:t>
            </w:r>
          </w:p>
          <w:p>
            <w:pPr>
              <w:pStyle w:val="47"/>
              <w:ind w:firstLine="480"/>
              <w:rPr>
                <w:color w:val="auto"/>
              </w:rPr>
            </w:pPr>
            <w:r>
              <w:rPr>
                <w:rFonts w:hint="eastAsia"/>
                <w:color w:val="auto"/>
              </w:rPr>
              <w:t>施工期噪声源主要为各类施工机械。根据类比调查可知，基建工程、工业场地和运输道路的施工机械主要是凿岩机、钻机、推土机、挖掘机、装载机、混凝土搅拌机、压路机、起重机等施工设备。其噪声级类比调查结果见下表。</w:t>
            </w:r>
          </w:p>
          <w:p>
            <w:pPr>
              <w:pStyle w:val="50"/>
              <w:numPr>
                <w:ilvl w:val="0"/>
                <w:numId w:val="2"/>
              </w:numPr>
              <w:snapToGrid w:val="0"/>
              <w:spacing w:line="240" w:lineRule="auto"/>
              <w:ind w:firstLineChars="0"/>
              <w:jc w:val="center"/>
              <w:rPr>
                <w:b/>
                <w:bCs/>
                <w:szCs w:val="24"/>
                <w:lang w:val="zh-CN"/>
              </w:rPr>
            </w:pPr>
            <w:r>
              <w:rPr>
                <w:rFonts w:hint="eastAsia"/>
                <w:b/>
                <w:bCs/>
                <w:szCs w:val="24"/>
                <w:lang w:val="zh-CN"/>
              </w:rPr>
              <w:t>主要施工设备噪声源强表</w:t>
            </w:r>
          </w:p>
          <w:tbl>
            <w:tblPr>
              <w:tblStyle w:val="22"/>
              <w:tblW w:w="88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01"/>
              <w:gridCol w:w="2238"/>
              <w:gridCol w:w="2205"/>
              <w:gridCol w:w="22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201" w:type="dxa"/>
                  <w:shd w:val="clear" w:color="auto" w:fill="auto"/>
                </w:tcPr>
                <w:p>
                  <w:pPr>
                    <w:spacing w:line="360" w:lineRule="exact"/>
                    <w:jc w:val="center"/>
                    <w:rPr>
                      <w:kern w:val="0"/>
                    </w:rPr>
                  </w:pPr>
                  <w:r>
                    <w:rPr>
                      <w:rFonts w:hint="eastAsia" w:cs="宋体"/>
                      <w:kern w:val="0"/>
                      <w:szCs w:val="21"/>
                    </w:rPr>
                    <w:t>产噪设备</w:t>
                  </w:r>
                </w:p>
              </w:tc>
              <w:tc>
                <w:tcPr>
                  <w:tcW w:w="2238" w:type="dxa"/>
                  <w:shd w:val="clear" w:color="auto" w:fill="auto"/>
                </w:tcPr>
                <w:p>
                  <w:pPr>
                    <w:spacing w:line="360" w:lineRule="exact"/>
                    <w:jc w:val="center"/>
                    <w:rPr>
                      <w:kern w:val="0"/>
                    </w:rPr>
                  </w:pPr>
                  <w:r>
                    <w:rPr>
                      <w:rFonts w:hint="eastAsia" w:cs="宋体"/>
                      <w:kern w:val="0"/>
                      <w:szCs w:val="21"/>
                    </w:rPr>
                    <w:t>声级</w:t>
                  </w:r>
                  <w:r>
                    <w:rPr>
                      <w:rFonts w:hint="eastAsia"/>
                      <w:kern w:val="0"/>
                      <w:szCs w:val="21"/>
                    </w:rPr>
                    <w:t>/</w:t>
                  </w:r>
                  <w:r>
                    <w:rPr>
                      <w:rFonts w:hint="eastAsia" w:cs="宋体"/>
                      <w:kern w:val="0"/>
                      <w:szCs w:val="21"/>
                    </w:rPr>
                    <w:t>距离</w:t>
                  </w:r>
                  <w:r>
                    <w:rPr>
                      <w:rFonts w:hint="eastAsia"/>
                      <w:kern w:val="0"/>
                      <w:szCs w:val="21"/>
                    </w:rPr>
                    <w:t>[dB(A)/m]</w:t>
                  </w:r>
                </w:p>
              </w:tc>
              <w:tc>
                <w:tcPr>
                  <w:tcW w:w="2205" w:type="dxa"/>
                  <w:shd w:val="clear" w:color="auto" w:fill="auto"/>
                </w:tcPr>
                <w:p>
                  <w:pPr>
                    <w:spacing w:line="360" w:lineRule="exact"/>
                    <w:jc w:val="center"/>
                    <w:rPr>
                      <w:kern w:val="0"/>
                    </w:rPr>
                  </w:pPr>
                  <w:r>
                    <w:rPr>
                      <w:rFonts w:hint="eastAsia" w:cs="宋体"/>
                      <w:kern w:val="0"/>
                      <w:szCs w:val="21"/>
                    </w:rPr>
                    <w:t>产噪设备</w:t>
                  </w:r>
                </w:p>
              </w:tc>
              <w:tc>
                <w:tcPr>
                  <w:tcW w:w="2238" w:type="dxa"/>
                  <w:shd w:val="clear" w:color="auto" w:fill="auto"/>
                </w:tcPr>
                <w:p>
                  <w:pPr>
                    <w:spacing w:line="360" w:lineRule="exact"/>
                    <w:jc w:val="center"/>
                    <w:rPr>
                      <w:kern w:val="0"/>
                    </w:rPr>
                  </w:pPr>
                  <w:r>
                    <w:rPr>
                      <w:rFonts w:hint="eastAsia" w:cs="宋体"/>
                      <w:kern w:val="0"/>
                      <w:szCs w:val="21"/>
                    </w:rPr>
                    <w:t>声级</w:t>
                  </w:r>
                  <w:r>
                    <w:rPr>
                      <w:rFonts w:hint="eastAsia"/>
                      <w:kern w:val="0"/>
                      <w:szCs w:val="21"/>
                    </w:rPr>
                    <w:t>/</w:t>
                  </w:r>
                  <w:r>
                    <w:rPr>
                      <w:rFonts w:hint="eastAsia" w:cs="宋体"/>
                      <w:kern w:val="0"/>
                      <w:szCs w:val="21"/>
                    </w:rPr>
                    <w:t>距离</w:t>
                  </w:r>
                  <w:r>
                    <w:rPr>
                      <w:rFonts w:hint="eastAsia"/>
                      <w:kern w:val="0"/>
                      <w:szCs w:val="21"/>
                    </w:rPr>
                    <w:t>[dB(A)/m]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201" w:type="dxa"/>
                  <w:shd w:val="clear" w:color="auto" w:fill="auto"/>
                </w:tcPr>
                <w:p>
                  <w:pPr>
                    <w:spacing w:line="360" w:lineRule="exact"/>
                    <w:jc w:val="center"/>
                    <w:rPr>
                      <w:kern w:val="0"/>
                    </w:rPr>
                  </w:pPr>
                  <w:r>
                    <w:rPr>
                      <w:rFonts w:hint="eastAsia" w:cs="宋体"/>
                      <w:kern w:val="0"/>
                      <w:szCs w:val="21"/>
                    </w:rPr>
                    <w:t>凿岩机</w:t>
                  </w:r>
                </w:p>
              </w:tc>
              <w:tc>
                <w:tcPr>
                  <w:tcW w:w="2238" w:type="dxa"/>
                  <w:shd w:val="clear" w:color="auto" w:fill="auto"/>
                </w:tcPr>
                <w:p>
                  <w:pPr>
                    <w:spacing w:line="360" w:lineRule="exact"/>
                    <w:jc w:val="center"/>
                    <w:rPr>
                      <w:kern w:val="0"/>
                    </w:rPr>
                  </w:pPr>
                  <w:r>
                    <w:rPr>
                      <w:rFonts w:hint="eastAsia"/>
                      <w:kern w:val="0"/>
                      <w:szCs w:val="21"/>
                    </w:rPr>
                    <w:t>86/5</w:t>
                  </w:r>
                </w:p>
              </w:tc>
              <w:tc>
                <w:tcPr>
                  <w:tcW w:w="2205" w:type="dxa"/>
                  <w:shd w:val="clear" w:color="auto" w:fill="auto"/>
                </w:tcPr>
                <w:p>
                  <w:pPr>
                    <w:spacing w:line="360" w:lineRule="exact"/>
                    <w:jc w:val="center"/>
                    <w:rPr>
                      <w:kern w:val="0"/>
                    </w:rPr>
                  </w:pPr>
                  <w:r>
                    <w:rPr>
                      <w:rFonts w:hint="eastAsia" w:cs="宋体"/>
                      <w:kern w:val="0"/>
                      <w:szCs w:val="21"/>
                    </w:rPr>
                    <w:t>液压起重机</w:t>
                  </w:r>
                </w:p>
              </w:tc>
              <w:tc>
                <w:tcPr>
                  <w:tcW w:w="2238" w:type="dxa"/>
                  <w:shd w:val="clear" w:color="auto" w:fill="auto"/>
                </w:tcPr>
                <w:p>
                  <w:pPr>
                    <w:spacing w:line="360" w:lineRule="exact"/>
                    <w:jc w:val="center"/>
                    <w:rPr>
                      <w:kern w:val="0"/>
                    </w:rPr>
                  </w:pPr>
                  <w:r>
                    <w:rPr>
                      <w:rFonts w:hint="eastAsia"/>
                      <w:kern w:val="0"/>
                      <w:szCs w:val="21"/>
                    </w:rPr>
                    <w:t>84/5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201" w:type="dxa"/>
                  <w:shd w:val="clear" w:color="auto" w:fill="auto"/>
                </w:tcPr>
                <w:p>
                  <w:pPr>
                    <w:spacing w:line="360" w:lineRule="exact"/>
                    <w:jc w:val="center"/>
                    <w:rPr>
                      <w:kern w:val="0"/>
                    </w:rPr>
                  </w:pPr>
                  <w:r>
                    <w:rPr>
                      <w:rFonts w:hint="eastAsia" w:cs="宋体"/>
                      <w:kern w:val="0"/>
                      <w:szCs w:val="21"/>
                    </w:rPr>
                    <w:t>钻机</w:t>
                  </w:r>
                </w:p>
              </w:tc>
              <w:tc>
                <w:tcPr>
                  <w:tcW w:w="2238" w:type="dxa"/>
                  <w:shd w:val="clear" w:color="auto" w:fill="auto"/>
                </w:tcPr>
                <w:p>
                  <w:pPr>
                    <w:spacing w:line="360" w:lineRule="exact"/>
                    <w:jc w:val="center"/>
                    <w:rPr>
                      <w:kern w:val="0"/>
                    </w:rPr>
                  </w:pPr>
                  <w:r>
                    <w:rPr>
                      <w:rFonts w:hint="eastAsia"/>
                      <w:kern w:val="0"/>
                      <w:szCs w:val="21"/>
                    </w:rPr>
                    <w:t>87/5</w:t>
                  </w:r>
                </w:p>
              </w:tc>
              <w:tc>
                <w:tcPr>
                  <w:tcW w:w="2205" w:type="dxa"/>
                  <w:shd w:val="clear" w:color="auto" w:fill="auto"/>
                </w:tcPr>
                <w:p>
                  <w:pPr>
                    <w:spacing w:line="360" w:lineRule="exact"/>
                    <w:jc w:val="center"/>
                    <w:rPr>
                      <w:kern w:val="0"/>
                    </w:rPr>
                  </w:pPr>
                  <w:r>
                    <w:rPr>
                      <w:rFonts w:hint="eastAsia" w:cs="宋体"/>
                      <w:kern w:val="0"/>
                      <w:szCs w:val="21"/>
                    </w:rPr>
                    <w:t>拌和机</w:t>
                  </w:r>
                </w:p>
              </w:tc>
              <w:tc>
                <w:tcPr>
                  <w:tcW w:w="2238" w:type="dxa"/>
                  <w:shd w:val="clear" w:color="auto" w:fill="auto"/>
                </w:tcPr>
                <w:p>
                  <w:pPr>
                    <w:spacing w:line="360" w:lineRule="exact"/>
                    <w:jc w:val="center"/>
                    <w:rPr>
                      <w:kern w:val="0"/>
                    </w:rPr>
                  </w:pPr>
                  <w:r>
                    <w:rPr>
                      <w:rFonts w:hint="eastAsia"/>
                      <w:kern w:val="0"/>
                      <w:szCs w:val="21"/>
                    </w:rPr>
                    <w:t>87/5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201" w:type="dxa"/>
                  <w:shd w:val="clear" w:color="auto" w:fill="auto"/>
                </w:tcPr>
                <w:p>
                  <w:pPr>
                    <w:spacing w:line="360" w:lineRule="exact"/>
                    <w:jc w:val="center"/>
                    <w:rPr>
                      <w:kern w:val="0"/>
                    </w:rPr>
                  </w:pPr>
                  <w:r>
                    <w:rPr>
                      <w:rFonts w:hint="eastAsia" w:cs="宋体"/>
                      <w:kern w:val="0"/>
                      <w:szCs w:val="21"/>
                    </w:rPr>
                    <w:t>挖掘机</w:t>
                  </w:r>
                </w:p>
              </w:tc>
              <w:tc>
                <w:tcPr>
                  <w:tcW w:w="2238" w:type="dxa"/>
                  <w:shd w:val="clear" w:color="auto" w:fill="auto"/>
                </w:tcPr>
                <w:p>
                  <w:pPr>
                    <w:spacing w:line="360" w:lineRule="exact"/>
                    <w:jc w:val="center"/>
                    <w:rPr>
                      <w:kern w:val="0"/>
                    </w:rPr>
                  </w:pPr>
                  <w:r>
                    <w:rPr>
                      <w:rFonts w:hint="eastAsia"/>
                      <w:kern w:val="0"/>
                      <w:szCs w:val="21"/>
                    </w:rPr>
                    <w:t>84/5</w:t>
                  </w:r>
                </w:p>
              </w:tc>
              <w:tc>
                <w:tcPr>
                  <w:tcW w:w="2205" w:type="dxa"/>
                  <w:shd w:val="clear" w:color="auto" w:fill="auto"/>
                </w:tcPr>
                <w:p>
                  <w:pPr>
                    <w:spacing w:line="360" w:lineRule="exact"/>
                    <w:jc w:val="center"/>
                    <w:rPr>
                      <w:kern w:val="0"/>
                    </w:rPr>
                  </w:pPr>
                  <w:r>
                    <w:rPr>
                      <w:rFonts w:hint="eastAsia"/>
                      <w:kern w:val="0"/>
                    </w:rPr>
                    <w:t>运输车辆</w:t>
                  </w:r>
                </w:p>
              </w:tc>
              <w:tc>
                <w:tcPr>
                  <w:tcW w:w="2238" w:type="dxa"/>
                  <w:shd w:val="clear" w:color="auto" w:fill="auto"/>
                </w:tcPr>
                <w:p>
                  <w:pPr>
                    <w:spacing w:line="360" w:lineRule="exact"/>
                    <w:jc w:val="center"/>
                    <w:rPr>
                      <w:kern w:val="0"/>
                    </w:rPr>
                  </w:pPr>
                  <w:r>
                    <w:rPr>
                      <w:rFonts w:hint="eastAsia"/>
                      <w:kern w:val="0"/>
                      <w:szCs w:val="21"/>
                    </w:rPr>
                    <w:t>86/5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201" w:type="dxa"/>
                  <w:shd w:val="clear" w:color="auto" w:fill="auto"/>
                </w:tcPr>
                <w:p>
                  <w:pPr>
                    <w:spacing w:line="360" w:lineRule="exact"/>
                    <w:jc w:val="center"/>
                    <w:rPr>
                      <w:kern w:val="0"/>
                    </w:rPr>
                  </w:pPr>
                  <w:r>
                    <w:rPr>
                      <w:rFonts w:hint="eastAsia" w:cs="宋体"/>
                      <w:kern w:val="0"/>
                      <w:szCs w:val="21"/>
                    </w:rPr>
                    <w:t>推土机</w:t>
                  </w:r>
                </w:p>
              </w:tc>
              <w:tc>
                <w:tcPr>
                  <w:tcW w:w="2238" w:type="dxa"/>
                  <w:shd w:val="clear" w:color="auto" w:fill="auto"/>
                </w:tcPr>
                <w:p>
                  <w:pPr>
                    <w:spacing w:line="360" w:lineRule="exact"/>
                    <w:jc w:val="center"/>
                    <w:rPr>
                      <w:kern w:val="0"/>
                    </w:rPr>
                  </w:pPr>
                  <w:r>
                    <w:rPr>
                      <w:rFonts w:hint="eastAsia"/>
                      <w:kern w:val="0"/>
                      <w:szCs w:val="21"/>
                    </w:rPr>
                    <w:t>86/5</w:t>
                  </w:r>
                </w:p>
              </w:tc>
              <w:tc>
                <w:tcPr>
                  <w:tcW w:w="2205" w:type="dxa"/>
                  <w:shd w:val="clear" w:color="auto" w:fill="auto"/>
                </w:tcPr>
                <w:p>
                  <w:pPr>
                    <w:spacing w:line="360" w:lineRule="exact"/>
                    <w:jc w:val="center"/>
                    <w:rPr>
                      <w:kern w:val="0"/>
                    </w:rPr>
                  </w:pPr>
                  <w:r>
                    <w:rPr>
                      <w:rFonts w:hint="eastAsia" w:cs="宋体"/>
                      <w:kern w:val="0"/>
                      <w:szCs w:val="21"/>
                    </w:rPr>
                    <w:t>混凝土搅拌机</w:t>
                  </w:r>
                </w:p>
              </w:tc>
              <w:tc>
                <w:tcPr>
                  <w:tcW w:w="2238" w:type="dxa"/>
                  <w:shd w:val="clear" w:color="auto" w:fill="auto"/>
                </w:tcPr>
                <w:p>
                  <w:pPr>
                    <w:spacing w:line="360" w:lineRule="exact"/>
                    <w:jc w:val="center"/>
                    <w:rPr>
                      <w:kern w:val="0"/>
                    </w:rPr>
                  </w:pPr>
                  <w:r>
                    <w:rPr>
                      <w:rFonts w:hint="eastAsia"/>
                      <w:kern w:val="0"/>
                      <w:szCs w:val="21"/>
                    </w:rPr>
                    <w:t>87/5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201" w:type="dxa"/>
                  <w:shd w:val="clear" w:color="auto" w:fill="auto"/>
                </w:tcPr>
                <w:p>
                  <w:pPr>
                    <w:spacing w:line="360" w:lineRule="exact"/>
                    <w:jc w:val="center"/>
                    <w:rPr>
                      <w:kern w:val="0"/>
                    </w:rPr>
                  </w:pPr>
                  <w:r>
                    <w:rPr>
                      <w:rFonts w:hint="eastAsia" w:cs="宋体"/>
                      <w:kern w:val="0"/>
                      <w:szCs w:val="21"/>
                    </w:rPr>
                    <w:t>装载机</w:t>
                  </w:r>
                </w:p>
              </w:tc>
              <w:tc>
                <w:tcPr>
                  <w:tcW w:w="2238" w:type="dxa"/>
                  <w:shd w:val="clear" w:color="auto" w:fill="auto"/>
                </w:tcPr>
                <w:p>
                  <w:pPr>
                    <w:spacing w:line="360" w:lineRule="exact"/>
                    <w:jc w:val="center"/>
                    <w:rPr>
                      <w:kern w:val="0"/>
                    </w:rPr>
                  </w:pPr>
                  <w:r>
                    <w:rPr>
                      <w:rFonts w:hint="eastAsia"/>
                      <w:kern w:val="0"/>
                      <w:szCs w:val="21"/>
                    </w:rPr>
                    <w:t>87/5</w:t>
                  </w:r>
                </w:p>
              </w:tc>
              <w:tc>
                <w:tcPr>
                  <w:tcW w:w="2205" w:type="dxa"/>
                  <w:shd w:val="clear" w:color="auto" w:fill="auto"/>
                </w:tcPr>
                <w:p>
                  <w:pPr>
                    <w:spacing w:line="360" w:lineRule="exact"/>
                    <w:jc w:val="center"/>
                    <w:rPr>
                      <w:kern w:val="0"/>
                    </w:rPr>
                  </w:pPr>
                  <w:r>
                    <w:rPr>
                      <w:rFonts w:hint="eastAsia" w:cs="宋体"/>
                      <w:kern w:val="0"/>
                      <w:szCs w:val="21"/>
                    </w:rPr>
                    <w:t>压路机</w:t>
                  </w:r>
                </w:p>
              </w:tc>
              <w:tc>
                <w:tcPr>
                  <w:tcW w:w="2238" w:type="dxa"/>
                  <w:shd w:val="clear" w:color="auto" w:fill="auto"/>
                </w:tcPr>
                <w:p>
                  <w:pPr>
                    <w:spacing w:line="360" w:lineRule="exact"/>
                    <w:jc w:val="center"/>
                    <w:rPr>
                      <w:kern w:val="0"/>
                    </w:rPr>
                  </w:pPr>
                  <w:r>
                    <w:rPr>
                      <w:rFonts w:hint="eastAsia"/>
                      <w:kern w:val="0"/>
                      <w:szCs w:val="21"/>
                    </w:rPr>
                    <w:t>86/5</w:t>
                  </w:r>
                </w:p>
              </w:tc>
            </w:tr>
          </w:tbl>
          <w:p>
            <w:pPr>
              <w:spacing w:line="360" w:lineRule="auto"/>
              <w:ind w:firstLine="480"/>
              <w:rPr>
                <w:kern w:val="1"/>
                <w:sz w:val="24"/>
              </w:rPr>
            </w:pPr>
            <w:r>
              <w:rPr>
                <w:rFonts w:hint="eastAsia"/>
                <w:kern w:val="1"/>
                <w:sz w:val="24"/>
              </w:rPr>
              <w:t>本项目建设过程中涉及的施工机械种类和数目较多，噪声源复杂且声级各异。所涉及的机械设备在不同施工阶段所使用的机械不同，其产生的噪声强度也不同，故难以对其进行定量的预测。因此，本次评价以《建筑施工场界环境噪声排放标准》(GB12523-2011)的规定为分析标准，分析施工阶段噪声环境影响，在多台机械设备同时作业时，各台设备产生的噪声之间会互相叠加，根据类比调查，叠加后的噪声值增加约3～8dB(A)，一般不超过10dB(A)。</w:t>
            </w:r>
          </w:p>
          <w:p>
            <w:pPr>
              <w:spacing w:line="360" w:lineRule="auto"/>
              <w:ind w:firstLine="480"/>
              <w:rPr>
                <w:kern w:val="1"/>
                <w:sz w:val="24"/>
              </w:rPr>
            </w:pPr>
            <w:r>
              <w:rPr>
                <w:rFonts w:hint="eastAsia"/>
                <w:kern w:val="1"/>
                <w:sz w:val="24"/>
              </w:rPr>
              <w:t>常用建筑施工机械的声压级及距施工机械不同距离处的噪声级见下表。</w:t>
            </w:r>
          </w:p>
          <w:p>
            <w:pPr>
              <w:pStyle w:val="50"/>
              <w:numPr>
                <w:ilvl w:val="0"/>
                <w:numId w:val="2"/>
              </w:numPr>
              <w:snapToGrid w:val="0"/>
              <w:spacing w:line="240" w:lineRule="auto"/>
              <w:ind w:left="420" w:firstLineChars="0"/>
              <w:jc w:val="center"/>
              <w:rPr>
                <w:b/>
                <w:bCs/>
                <w:szCs w:val="24"/>
                <w:lang w:val="zh-CN"/>
              </w:rPr>
            </w:pPr>
            <w:r>
              <w:rPr>
                <w:rFonts w:hint="eastAsia"/>
                <w:b/>
                <w:bCs/>
                <w:szCs w:val="24"/>
                <w:lang w:val="zh-CN"/>
              </w:rPr>
              <w:t>距主要施工机械不同距离处的噪声级         单位:dB(A)</w:t>
            </w:r>
          </w:p>
          <w:tbl>
            <w:tblPr>
              <w:tblStyle w:val="22"/>
              <w:tblW w:w="8572" w:type="dxa"/>
              <w:tblInd w:w="0" w:type="dxa"/>
              <w:tblLayout w:type="fixed"/>
              <w:tblCellMar>
                <w:top w:w="0" w:type="dxa"/>
                <w:left w:w="108" w:type="dxa"/>
                <w:bottom w:w="0" w:type="dxa"/>
                <w:right w:w="108" w:type="dxa"/>
              </w:tblCellMar>
            </w:tblPr>
            <w:tblGrid>
              <w:gridCol w:w="1507"/>
              <w:gridCol w:w="779"/>
              <w:gridCol w:w="767"/>
              <w:gridCol w:w="796"/>
              <w:gridCol w:w="762"/>
              <w:gridCol w:w="796"/>
              <w:gridCol w:w="784"/>
              <w:gridCol w:w="779"/>
              <w:gridCol w:w="804"/>
              <w:gridCol w:w="798"/>
            </w:tblGrid>
            <w:tr>
              <w:tblPrEx>
                <w:tblCellMar>
                  <w:top w:w="0" w:type="dxa"/>
                  <w:left w:w="108" w:type="dxa"/>
                  <w:bottom w:w="0" w:type="dxa"/>
                  <w:right w:w="108" w:type="dxa"/>
                </w:tblCellMar>
              </w:tblPrEx>
              <w:trPr>
                <w:trHeight w:val="284" w:hRule="atLeast"/>
              </w:trPr>
              <w:tc>
                <w:tcPr>
                  <w:tcW w:w="1507" w:type="dxa"/>
                  <w:vMerge w:val="restart"/>
                  <w:tcBorders>
                    <w:top w:val="single" w:color="000000" w:sz="12" w:space="0"/>
                    <w:left w:val="single" w:color="000000" w:sz="12" w:space="0"/>
                    <w:bottom w:val="single" w:color="000000" w:sz="6" w:space="0"/>
                    <w:right w:val="single" w:color="000000" w:sz="6" w:space="0"/>
                  </w:tcBorders>
                  <w:vAlign w:val="center"/>
                </w:tcPr>
                <w:p>
                  <w:pPr>
                    <w:jc w:val="center"/>
                    <w:rPr>
                      <w:b/>
                      <w:kern w:val="1"/>
                      <w:szCs w:val="21"/>
                    </w:rPr>
                  </w:pPr>
                  <w:r>
                    <w:rPr>
                      <w:rFonts w:hint="eastAsia"/>
                      <w:b/>
                      <w:szCs w:val="21"/>
                    </w:rPr>
                    <w:t>机械名称</w:t>
                  </w:r>
                </w:p>
              </w:tc>
              <w:tc>
                <w:tcPr>
                  <w:tcW w:w="7065" w:type="dxa"/>
                  <w:gridSpan w:val="9"/>
                  <w:tcBorders>
                    <w:top w:val="single" w:color="000000" w:sz="12" w:space="0"/>
                    <w:left w:val="single" w:color="000000" w:sz="6" w:space="0"/>
                    <w:bottom w:val="single" w:color="000000" w:sz="6" w:space="0"/>
                    <w:right w:val="single" w:color="000000" w:sz="12" w:space="0"/>
                  </w:tcBorders>
                  <w:vAlign w:val="center"/>
                </w:tcPr>
                <w:p>
                  <w:pPr>
                    <w:jc w:val="center"/>
                    <w:rPr>
                      <w:b/>
                      <w:kern w:val="1"/>
                      <w:szCs w:val="21"/>
                    </w:rPr>
                  </w:pPr>
                  <w:r>
                    <w:rPr>
                      <w:rFonts w:hint="eastAsia"/>
                      <w:b/>
                      <w:szCs w:val="21"/>
                    </w:rPr>
                    <w:t>距施工机械的距离(m)</w:t>
                  </w:r>
                </w:p>
              </w:tc>
            </w:tr>
            <w:tr>
              <w:tblPrEx>
                <w:tblCellMar>
                  <w:top w:w="0" w:type="dxa"/>
                  <w:left w:w="108" w:type="dxa"/>
                  <w:bottom w:w="0" w:type="dxa"/>
                  <w:right w:w="108" w:type="dxa"/>
                </w:tblCellMar>
              </w:tblPrEx>
              <w:trPr>
                <w:trHeight w:val="284" w:hRule="atLeast"/>
              </w:trPr>
              <w:tc>
                <w:tcPr>
                  <w:tcW w:w="1507" w:type="dxa"/>
                  <w:vMerge w:val="continue"/>
                  <w:tcBorders>
                    <w:top w:val="single" w:color="000000" w:sz="6" w:space="0"/>
                    <w:left w:val="single" w:color="000000" w:sz="12" w:space="0"/>
                    <w:bottom w:val="single" w:color="000000" w:sz="6" w:space="0"/>
                    <w:right w:val="single" w:color="000000" w:sz="6" w:space="0"/>
                  </w:tcBorders>
                  <w:vAlign w:val="center"/>
                </w:tcPr>
                <w:p>
                  <w:pPr>
                    <w:jc w:val="left"/>
                    <w:rPr>
                      <w:b/>
                      <w:kern w:val="1"/>
                      <w:szCs w:val="21"/>
                    </w:rPr>
                  </w:pP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5</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10</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20</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40</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60</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80</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100</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b/>
                      <w:kern w:val="1"/>
                      <w:szCs w:val="21"/>
                    </w:rPr>
                  </w:pPr>
                  <w:r>
                    <w:rPr>
                      <w:rFonts w:hint="eastAsia"/>
                      <w:b/>
                      <w:szCs w:val="21"/>
                    </w:rPr>
                    <w:t>200</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b/>
                      <w:kern w:val="1"/>
                      <w:szCs w:val="21"/>
                    </w:rPr>
                  </w:pPr>
                  <w:r>
                    <w:rPr>
                      <w:rFonts w:hint="eastAsia"/>
                      <w:b/>
                      <w:szCs w:val="21"/>
                    </w:rPr>
                    <w:t>300</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bCs/>
                      <w:kern w:val="1"/>
                      <w:szCs w:val="21"/>
                    </w:rPr>
                  </w:pPr>
                  <w:r>
                    <w:rPr>
                      <w:rFonts w:hint="eastAsia"/>
                      <w:bCs/>
                      <w:kern w:val="1"/>
                      <w:szCs w:val="21"/>
                    </w:rPr>
                    <w:t>凿岩机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Cs/>
                      <w:szCs w:val="21"/>
                    </w:rPr>
                  </w:pPr>
                  <w:r>
                    <w:rPr>
                      <w:rFonts w:hint="eastAsia"/>
                      <w:bCs/>
                      <w:szCs w:val="21"/>
                    </w:rPr>
                    <w:t>86</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80</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74</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68</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64.5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62</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60</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54</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b/>
                      <w:szCs w:val="21"/>
                    </w:rPr>
                  </w:pPr>
                  <w:r>
                    <w:rPr>
                      <w:rFonts w:hint="eastAsia"/>
                      <w:szCs w:val="21"/>
                    </w:rPr>
                    <w:t>50.5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bCs/>
                      <w:kern w:val="1"/>
                      <w:szCs w:val="21"/>
                    </w:rPr>
                  </w:pPr>
                  <w:r>
                    <w:rPr>
                      <w:rFonts w:hint="eastAsia"/>
                      <w:bCs/>
                      <w:kern w:val="1"/>
                      <w:szCs w:val="21"/>
                    </w:rPr>
                    <w:t>液压起重机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Cs/>
                      <w:szCs w:val="21"/>
                    </w:rPr>
                  </w:pPr>
                  <w:r>
                    <w:rPr>
                      <w:rFonts w:hint="eastAsia"/>
                      <w:bCs/>
                      <w:szCs w:val="21"/>
                    </w:rPr>
                    <w:t>84</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78</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72</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66</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62.5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60</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58</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52</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b/>
                      <w:szCs w:val="21"/>
                    </w:rPr>
                  </w:pPr>
                  <w:r>
                    <w:rPr>
                      <w:rFonts w:hint="eastAsia"/>
                      <w:szCs w:val="21"/>
                    </w:rPr>
                    <w:t>48.5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bCs/>
                      <w:kern w:val="1"/>
                      <w:szCs w:val="21"/>
                    </w:rPr>
                  </w:pPr>
                  <w:r>
                    <w:rPr>
                      <w:rFonts w:hint="eastAsia"/>
                      <w:bCs/>
                      <w:kern w:val="1"/>
                      <w:szCs w:val="21"/>
                    </w:rPr>
                    <w:t>钻机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Cs/>
                      <w:szCs w:val="21"/>
                    </w:rPr>
                  </w:pPr>
                  <w:r>
                    <w:rPr>
                      <w:rFonts w:hint="eastAsia"/>
                      <w:bCs/>
                      <w:szCs w:val="21"/>
                    </w:rPr>
                    <w:t>87</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81</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75</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69</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63</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61</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55</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b/>
                      <w:szCs w:val="21"/>
                    </w:rPr>
                  </w:pPr>
                  <w:r>
                    <w:rPr>
                      <w:rFonts w:hint="eastAsia"/>
                      <w:szCs w:val="21"/>
                    </w:rPr>
                    <w:t>51.5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bCs/>
                      <w:kern w:val="1"/>
                      <w:szCs w:val="21"/>
                    </w:rPr>
                  </w:pPr>
                  <w:r>
                    <w:rPr>
                      <w:rFonts w:hint="eastAsia"/>
                      <w:bCs/>
                      <w:kern w:val="1"/>
                      <w:szCs w:val="21"/>
                    </w:rPr>
                    <w:t>拌合机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Cs/>
                      <w:szCs w:val="21"/>
                    </w:rPr>
                  </w:pPr>
                  <w:r>
                    <w:rPr>
                      <w:rFonts w:hint="eastAsia"/>
                      <w:szCs w:val="21"/>
                    </w:rPr>
                    <w:t>87</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81</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75</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69</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63</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61</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rFonts w:hint="eastAsia"/>
                      <w:szCs w:val="21"/>
                    </w:rPr>
                    <w:t>55</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b/>
                      <w:szCs w:val="21"/>
                    </w:rPr>
                  </w:pPr>
                  <w:r>
                    <w:rPr>
                      <w:rFonts w:hint="eastAsia"/>
                      <w:szCs w:val="21"/>
                    </w:rPr>
                    <w:t>51.5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kern w:val="1"/>
                      <w:szCs w:val="21"/>
                    </w:rPr>
                  </w:pPr>
                  <w:r>
                    <w:rPr>
                      <w:rFonts w:hint="eastAsia"/>
                      <w:szCs w:val="21"/>
                    </w:rPr>
                    <w:t>挖掘机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84</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78</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72</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66</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62.5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60</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58</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52</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kern w:val="1"/>
                      <w:szCs w:val="21"/>
                    </w:rPr>
                  </w:pPr>
                  <w:r>
                    <w:rPr>
                      <w:rFonts w:hint="eastAsia"/>
                      <w:szCs w:val="21"/>
                    </w:rPr>
                    <w:t>48.5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kern w:val="1"/>
                      <w:szCs w:val="21"/>
                    </w:rPr>
                  </w:pPr>
                  <w:r>
                    <w:rPr>
                      <w:rFonts w:hint="eastAsia"/>
                      <w:szCs w:val="21"/>
                    </w:rPr>
                    <w:t>装载机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87</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81</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75</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69</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szCs w:val="21"/>
                    </w:rPr>
                  </w:pPr>
                  <w:r>
                    <w:rPr>
                      <w:rFonts w:hint="eastAsia"/>
                      <w:szCs w:val="21"/>
                    </w:rPr>
                    <w:t>65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63</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61</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55</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kern w:val="1"/>
                      <w:szCs w:val="21"/>
                    </w:rPr>
                  </w:pPr>
                  <w:r>
                    <w:rPr>
                      <w:rFonts w:hint="eastAsia"/>
                      <w:szCs w:val="21"/>
                    </w:rPr>
                    <w:t>51.5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kern w:val="1"/>
                      <w:szCs w:val="21"/>
                    </w:rPr>
                  </w:pPr>
                  <w:r>
                    <w:rPr>
                      <w:rFonts w:hint="eastAsia"/>
                      <w:kern w:val="1"/>
                      <w:szCs w:val="21"/>
                    </w:rPr>
                    <w:t>翻车机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85</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79</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73</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67</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64</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61.5</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59</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53</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kern w:val="1"/>
                      <w:szCs w:val="21"/>
                    </w:rPr>
                  </w:pPr>
                  <w:r>
                    <w:rPr>
                      <w:rFonts w:hint="eastAsia"/>
                      <w:szCs w:val="21"/>
                    </w:rPr>
                    <w:t>50</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kern w:val="1"/>
                      <w:szCs w:val="21"/>
                    </w:rPr>
                  </w:pPr>
                  <w:r>
                    <w:rPr>
                      <w:rFonts w:hint="eastAsia"/>
                      <w:szCs w:val="21"/>
                    </w:rPr>
                    <w:t>推土机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86</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80</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74</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68</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64.5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62</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60</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54</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kern w:val="1"/>
                      <w:szCs w:val="21"/>
                    </w:rPr>
                  </w:pPr>
                  <w:r>
                    <w:rPr>
                      <w:rFonts w:hint="eastAsia"/>
                      <w:szCs w:val="21"/>
                    </w:rPr>
                    <w:t>50.5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6" w:space="0"/>
                    <w:right w:val="single" w:color="000000" w:sz="6" w:space="0"/>
                  </w:tcBorders>
                  <w:vAlign w:val="center"/>
                </w:tcPr>
                <w:p>
                  <w:pPr>
                    <w:jc w:val="center"/>
                    <w:rPr>
                      <w:kern w:val="1"/>
                      <w:szCs w:val="21"/>
                    </w:rPr>
                  </w:pPr>
                  <w:r>
                    <w:rPr>
                      <w:rFonts w:hint="eastAsia"/>
                      <w:kern w:val="1"/>
                      <w:szCs w:val="21"/>
                    </w:rPr>
                    <w:t>压路机</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86</w:t>
                  </w:r>
                </w:p>
              </w:tc>
              <w:tc>
                <w:tcPr>
                  <w:tcW w:w="767"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80</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74</w:t>
                  </w:r>
                </w:p>
              </w:tc>
              <w:tc>
                <w:tcPr>
                  <w:tcW w:w="762"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68</w:t>
                  </w:r>
                </w:p>
              </w:tc>
              <w:tc>
                <w:tcPr>
                  <w:tcW w:w="796"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64.5</w:t>
                  </w:r>
                </w:p>
              </w:tc>
              <w:tc>
                <w:tcPr>
                  <w:tcW w:w="78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62</w:t>
                  </w:r>
                </w:p>
              </w:tc>
              <w:tc>
                <w:tcPr>
                  <w:tcW w:w="779"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60</w:t>
                  </w:r>
                </w:p>
              </w:tc>
              <w:tc>
                <w:tcPr>
                  <w:tcW w:w="804" w:type="dxa"/>
                  <w:tcBorders>
                    <w:top w:val="single" w:color="000000" w:sz="6" w:space="0"/>
                    <w:left w:val="single" w:color="000000" w:sz="6" w:space="0"/>
                    <w:bottom w:val="single" w:color="000000" w:sz="6" w:space="0"/>
                    <w:right w:val="single" w:color="000000" w:sz="6" w:space="0"/>
                  </w:tcBorders>
                  <w:vAlign w:val="center"/>
                </w:tcPr>
                <w:p>
                  <w:pPr>
                    <w:jc w:val="center"/>
                    <w:rPr>
                      <w:kern w:val="1"/>
                      <w:szCs w:val="21"/>
                    </w:rPr>
                  </w:pPr>
                  <w:r>
                    <w:rPr>
                      <w:rFonts w:hint="eastAsia"/>
                      <w:szCs w:val="21"/>
                    </w:rPr>
                    <w:t>54</w:t>
                  </w:r>
                </w:p>
              </w:tc>
              <w:tc>
                <w:tcPr>
                  <w:tcW w:w="798" w:type="dxa"/>
                  <w:tcBorders>
                    <w:top w:val="single" w:color="000000" w:sz="6" w:space="0"/>
                    <w:left w:val="single" w:color="000000" w:sz="6" w:space="0"/>
                    <w:bottom w:val="single" w:color="000000" w:sz="6" w:space="0"/>
                    <w:right w:val="single" w:color="000000" w:sz="12" w:space="0"/>
                  </w:tcBorders>
                  <w:vAlign w:val="center"/>
                </w:tcPr>
                <w:p>
                  <w:pPr>
                    <w:jc w:val="center"/>
                    <w:rPr>
                      <w:kern w:val="1"/>
                      <w:szCs w:val="21"/>
                    </w:rPr>
                  </w:pPr>
                  <w:r>
                    <w:rPr>
                      <w:rFonts w:hint="eastAsia"/>
                      <w:szCs w:val="21"/>
                    </w:rPr>
                    <w:t>50.5</w:t>
                  </w:r>
                </w:p>
              </w:tc>
            </w:tr>
            <w:tr>
              <w:tblPrEx>
                <w:tblCellMar>
                  <w:top w:w="0" w:type="dxa"/>
                  <w:left w:w="108" w:type="dxa"/>
                  <w:bottom w:w="0" w:type="dxa"/>
                  <w:right w:w="108" w:type="dxa"/>
                </w:tblCellMar>
              </w:tblPrEx>
              <w:trPr>
                <w:trHeight w:val="284" w:hRule="atLeast"/>
              </w:trPr>
              <w:tc>
                <w:tcPr>
                  <w:tcW w:w="1507" w:type="dxa"/>
                  <w:tcBorders>
                    <w:top w:val="single" w:color="000000" w:sz="6" w:space="0"/>
                    <w:left w:val="single" w:color="000000" w:sz="12" w:space="0"/>
                    <w:bottom w:val="single" w:color="000000" w:sz="12" w:space="0"/>
                    <w:right w:val="single" w:color="000000" w:sz="6" w:space="0"/>
                  </w:tcBorders>
                  <w:vAlign w:val="center"/>
                </w:tcPr>
                <w:p>
                  <w:pPr>
                    <w:jc w:val="center"/>
                    <w:rPr>
                      <w:szCs w:val="21"/>
                    </w:rPr>
                  </w:pPr>
                  <w:r>
                    <w:rPr>
                      <w:rFonts w:hint="eastAsia"/>
                      <w:szCs w:val="21"/>
                    </w:rPr>
                    <w:t>运输车辆</w:t>
                  </w:r>
                </w:p>
              </w:tc>
              <w:tc>
                <w:tcPr>
                  <w:tcW w:w="779"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86</w:t>
                  </w:r>
                </w:p>
              </w:tc>
              <w:tc>
                <w:tcPr>
                  <w:tcW w:w="767"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80</w:t>
                  </w:r>
                </w:p>
              </w:tc>
              <w:tc>
                <w:tcPr>
                  <w:tcW w:w="796"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74</w:t>
                  </w:r>
                </w:p>
              </w:tc>
              <w:tc>
                <w:tcPr>
                  <w:tcW w:w="762"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68</w:t>
                  </w:r>
                </w:p>
              </w:tc>
              <w:tc>
                <w:tcPr>
                  <w:tcW w:w="796"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64.5</w:t>
                  </w:r>
                </w:p>
              </w:tc>
              <w:tc>
                <w:tcPr>
                  <w:tcW w:w="784"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62</w:t>
                  </w:r>
                </w:p>
              </w:tc>
              <w:tc>
                <w:tcPr>
                  <w:tcW w:w="779"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60</w:t>
                  </w:r>
                </w:p>
              </w:tc>
              <w:tc>
                <w:tcPr>
                  <w:tcW w:w="804" w:type="dxa"/>
                  <w:tcBorders>
                    <w:top w:val="single" w:color="000000" w:sz="6" w:space="0"/>
                    <w:left w:val="single" w:color="000000" w:sz="6" w:space="0"/>
                    <w:bottom w:val="single" w:color="000000" w:sz="12" w:space="0"/>
                    <w:right w:val="single" w:color="000000" w:sz="6" w:space="0"/>
                  </w:tcBorders>
                  <w:vAlign w:val="center"/>
                </w:tcPr>
                <w:p>
                  <w:pPr>
                    <w:jc w:val="center"/>
                    <w:rPr>
                      <w:kern w:val="1"/>
                      <w:szCs w:val="21"/>
                    </w:rPr>
                  </w:pPr>
                  <w:r>
                    <w:rPr>
                      <w:rFonts w:hint="eastAsia"/>
                      <w:szCs w:val="21"/>
                    </w:rPr>
                    <w:t>54</w:t>
                  </w:r>
                </w:p>
              </w:tc>
              <w:tc>
                <w:tcPr>
                  <w:tcW w:w="798" w:type="dxa"/>
                  <w:tcBorders>
                    <w:top w:val="single" w:color="000000" w:sz="6" w:space="0"/>
                    <w:left w:val="single" w:color="000000" w:sz="6" w:space="0"/>
                    <w:bottom w:val="single" w:color="000000" w:sz="12" w:space="0"/>
                    <w:right w:val="single" w:color="000000" w:sz="12" w:space="0"/>
                  </w:tcBorders>
                  <w:vAlign w:val="center"/>
                </w:tcPr>
                <w:p>
                  <w:pPr>
                    <w:jc w:val="center"/>
                    <w:rPr>
                      <w:kern w:val="1"/>
                      <w:szCs w:val="21"/>
                    </w:rPr>
                  </w:pPr>
                  <w:r>
                    <w:rPr>
                      <w:rFonts w:hint="eastAsia"/>
                      <w:szCs w:val="21"/>
                    </w:rPr>
                    <w:t>50.5</w:t>
                  </w:r>
                </w:p>
              </w:tc>
            </w:tr>
          </w:tbl>
          <w:p>
            <w:pPr>
              <w:spacing w:line="360" w:lineRule="auto"/>
              <w:ind w:firstLine="480" w:firstLineChars="200"/>
              <w:rPr>
                <w:sz w:val="24"/>
              </w:rPr>
            </w:pPr>
            <w:r>
              <w:rPr>
                <w:rFonts w:hint="eastAsia"/>
                <w:kern w:val="1"/>
                <w:sz w:val="24"/>
              </w:rPr>
              <w:t>对照分析上表可知，本项目施工期间，在昼间与施工场地距离60m的地方可符合规定的噪声限值；在夜间与施工场地距离300m的地方可符合规定的噪声限值。据现场调查，本项目厂址周围400m范围内无居民、学校等环境保护目标，因此，本项目施工期噪声对周围环境影响较小</w:t>
            </w:r>
            <w:r>
              <w:rPr>
                <w:rFonts w:hint="eastAsia"/>
                <w:sz w:val="24"/>
              </w:rPr>
              <w:t>。</w:t>
            </w:r>
          </w:p>
          <w:p>
            <w:pPr>
              <w:pStyle w:val="47"/>
              <w:ind w:firstLine="480"/>
              <w:rPr>
                <w:color w:val="auto"/>
              </w:rPr>
            </w:pPr>
            <w:r>
              <w:rPr>
                <w:rFonts w:hint="eastAsia"/>
                <w:color w:val="auto"/>
              </w:rPr>
              <w:t>（5）施工期固体废物环境影响分析</w:t>
            </w:r>
          </w:p>
          <w:p>
            <w:pPr>
              <w:pStyle w:val="47"/>
              <w:ind w:firstLine="480"/>
              <w:rPr>
                <w:color w:val="auto"/>
              </w:rPr>
            </w:pPr>
            <w:r>
              <w:rPr>
                <w:rFonts w:hint="eastAsia"/>
                <w:color w:val="auto"/>
              </w:rPr>
              <w:t>施工期固体废物主要是基建剥离工程岩石和表土，以及施工人员生活产生的生活垃圾。剥离岩石约为364.83万m</w:t>
            </w:r>
            <w:r>
              <w:rPr>
                <w:rFonts w:hint="eastAsia"/>
                <w:color w:val="auto"/>
                <w:vertAlign w:val="superscript"/>
              </w:rPr>
              <w:t>3</w:t>
            </w:r>
            <w:r>
              <w:rPr>
                <w:rFonts w:hint="eastAsia"/>
                <w:color w:val="auto"/>
              </w:rPr>
              <w:t>，表土5.31万m</w:t>
            </w:r>
            <w:r>
              <w:rPr>
                <w:rFonts w:hint="eastAsia"/>
                <w:color w:val="auto"/>
                <w:vertAlign w:val="superscript"/>
              </w:rPr>
              <w:t>3</w:t>
            </w:r>
            <w:r>
              <w:rPr>
                <w:rFonts w:hint="eastAsia"/>
                <w:color w:val="auto"/>
              </w:rPr>
              <w:t>，生活垃圾按80人的施工队计，每人每天产生量约为1.5kg，则施工期生活垃圾产生量约为36t/a。施工期主要固体废物见下表。</w:t>
            </w:r>
          </w:p>
          <w:p>
            <w:pPr>
              <w:pStyle w:val="50"/>
              <w:numPr>
                <w:ilvl w:val="0"/>
                <w:numId w:val="2"/>
              </w:numPr>
              <w:snapToGrid w:val="0"/>
              <w:spacing w:line="240" w:lineRule="auto"/>
              <w:ind w:left="420" w:firstLineChars="0"/>
              <w:jc w:val="center"/>
              <w:rPr>
                <w:b/>
                <w:bCs/>
                <w:szCs w:val="24"/>
                <w:lang w:val="zh-CN"/>
              </w:rPr>
            </w:pPr>
            <w:r>
              <w:rPr>
                <w:rFonts w:hint="eastAsia"/>
                <w:b/>
                <w:bCs/>
                <w:szCs w:val="24"/>
                <w:lang w:val="zh-CN"/>
              </w:rPr>
              <w:t>施工期主要固体废物及处理处置措施</w:t>
            </w:r>
          </w:p>
          <w:tbl>
            <w:tblPr>
              <w:tblStyle w:val="22"/>
              <w:tblW w:w="88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59"/>
              <w:gridCol w:w="830"/>
              <w:gridCol w:w="1048"/>
              <w:gridCol w:w="5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1259"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种类</w:t>
                  </w:r>
                </w:p>
              </w:tc>
              <w:tc>
                <w:tcPr>
                  <w:tcW w:w="830"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单位</w:t>
                  </w:r>
                </w:p>
              </w:tc>
              <w:tc>
                <w:tcPr>
                  <w:tcW w:w="1048"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产生量</w:t>
                  </w:r>
                </w:p>
              </w:tc>
              <w:tc>
                <w:tcPr>
                  <w:tcW w:w="5745"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处理利用措施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1259"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剥离岩石</w:t>
                  </w:r>
                </w:p>
              </w:tc>
              <w:tc>
                <w:tcPr>
                  <w:tcW w:w="830"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万</w:t>
                  </w:r>
                  <w:r>
                    <w:rPr>
                      <w:rFonts w:hint="eastAsia" w:cs="宋体"/>
                      <w:spacing w:val="-56"/>
                      <w:kern w:val="0"/>
                      <w:szCs w:val="21"/>
                    </w:rPr>
                    <w:t xml:space="preserve"> </w:t>
                  </w:r>
                  <w:r>
                    <w:rPr>
                      <w:rFonts w:hint="eastAsia"/>
                      <w:kern w:val="0"/>
                      <w:szCs w:val="21"/>
                    </w:rPr>
                    <w:t>m</w:t>
                  </w:r>
                  <w:r>
                    <w:rPr>
                      <w:rFonts w:hint="eastAsia"/>
                      <w:kern w:val="0"/>
                      <w:szCs w:val="21"/>
                      <w:vertAlign w:val="superscript"/>
                    </w:rPr>
                    <w:t>3</w:t>
                  </w:r>
                </w:p>
              </w:tc>
              <w:tc>
                <w:tcPr>
                  <w:tcW w:w="1048" w:type="dxa"/>
                  <w:shd w:val="clear" w:color="auto" w:fill="auto"/>
                </w:tcPr>
                <w:p>
                  <w:pPr>
                    <w:kinsoku w:val="0"/>
                    <w:overflowPunct w:val="0"/>
                    <w:autoSpaceDE w:val="0"/>
                    <w:autoSpaceDN w:val="0"/>
                    <w:adjustRightInd w:val="0"/>
                    <w:spacing w:line="360" w:lineRule="exact"/>
                    <w:jc w:val="center"/>
                    <w:rPr>
                      <w:kern w:val="0"/>
                    </w:rPr>
                  </w:pPr>
                  <w:r>
                    <w:rPr>
                      <w:rFonts w:hint="eastAsia"/>
                      <w:kern w:val="0"/>
                      <w:szCs w:val="21"/>
                    </w:rPr>
                    <w:t>364.83</w:t>
                  </w:r>
                </w:p>
              </w:tc>
              <w:tc>
                <w:tcPr>
                  <w:tcW w:w="5745"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45万立方填埋，岩312.04万m</w:t>
                  </w:r>
                  <w:r>
                    <w:rPr>
                      <w:rFonts w:hint="eastAsia" w:cs="宋体"/>
                      <w:kern w:val="0"/>
                      <w:szCs w:val="21"/>
                      <w:vertAlign w:val="superscript"/>
                    </w:rPr>
                    <w:t>3</w:t>
                  </w:r>
                  <w:r>
                    <w:rPr>
                      <w:rFonts w:hint="eastAsia" w:cs="宋体"/>
                      <w:kern w:val="0"/>
                      <w:szCs w:val="21"/>
                    </w:rPr>
                    <w:t>运至工业场地破碎筛分，其中22.05万t作为冶镁白云岩原料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1259" w:type="dxa"/>
                  <w:shd w:val="clear" w:color="auto" w:fill="auto"/>
                </w:tcPr>
                <w:p>
                  <w:pPr>
                    <w:kinsoku w:val="0"/>
                    <w:overflowPunct w:val="0"/>
                    <w:autoSpaceDE w:val="0"/>
                    <w:autoSpaceDN w:val="0"/>
                    <w:adjustRightInd w:val="0"/>
                    <w:spacing w:line="360" w:lineRule="exact"/>
                    <w:jc w:val="center"/>
                    <w:rPr>
                      <w:rFonts w:cs="宋体"/>
                      <w:kern w:val="0"/>
                      <w:szCs w:val="21"/>
                    </w:rPr>
                  </w:pPr>
                  <w:r>
                    <w:rPr>
                      <w:rFonts w:hint="eastAsia" w:cs="宋体"/>
                      <w:kern w:val="0"/>
                      <w:szCs w:val="21"/>
                    </w:rPr>
                    <w:t>表土</w:t>
                  </w:r>
                </w:p>
              </w:tc>
              <w:tc>
                <w:tcPr>
                  <w:tcW w:w="830" w:type="dxa"/>
                  <w:shd w:val="clear" w:color="auto" w:fill="auto"/>
                </w:tcPr>
                <w:p>
                  <w:pPr>
                    <w:kinsoku w:val="0"/>
                    <w:overflowPunct w:val="0"/>
                    <w:autoSpaceDE w:val="0"/>
                    <w:autoSpaceDN w:val="0"/>
                    <w:adjustRightInd w:val="0"/>
                    <w:spacing w:line="360" w:lineRule="exact"/>
                    <w:jc w:val="center"/>
                    <w:rPr>
                      <w:rFonts w:cs="宋体"/>
                      <w:kern w:val="0"/>
                      <w:szCs w:val="21"/>
                    </w:rPr>
                  </w:pPr>
                  <w:r>
                    <w:rPr>
                      <w:rFonts w:hint="eastAsia" w:cs="宋体"/>
                      <w:kern w:val="0"/>
                      <w:szCs w:val="21"/>
                    </w:rPr>
                    <w:t>万</w:t>
                  </w:r>
                  <w:r>
                    <w:rPr>
                      <w:rFonts w:hint="eastAsia" w:cs="宋体"/>
                      <w:spacing w:val="-56"/>
                      <w:kern w:val="0"/>
                      <w:szCs w:val="21"/>
                    </w:rPr>
                    <w:t xml:space="preserve"> </w:t>
                  </w:r>
                  <w:r>
                    <w:rPr>
                      <w:rFonts w:hint="eastAsia"/>
                      <w:kern w:val="0"/>
                      <w:szCs w:val="21"/>
                    </w:rPr>
                    <w:t>m</w:t>
                  </w:r>
                  <w:r>
                    <w:rPr>
                      <w:rFonts w:hint="eastAsia"/>
                      <w:kern w:val="0"/>
                      <w:szCs w:val="21"/>
                      <w:vertAlign w:val="superscript"/>
                    </w:rPr>
                    <w:t>3</w:t>
                  </w:r>
                </w:p>
              </w:tc>
              <w:tc>
                <w:tcPr>
                  <w:tcW w:w="1048" w:type="dxa"/>
                  <w:shd w:val="clear" w:color="auto" w:fill="auto"/>
                </w:tcPr>
                <w:p>
                  <w:pPr>
                    <w:kinsoku w:val="0"/>
                    <w:overflowPunct w:val="0"/>
                    <w:autoSpaceDE w:val="0"/>
                    <w:autoSpaceDN w:val="0"/>
                    <w:adjustRightInd w:val="0"/>
                    <w:spacing w:line="360" w:lineRule="exact"/>
                    <w:jc w:val="center"/>
                    <w:rPr>
                      <w:kern w:val="0"/>
                      <w:szCs w:val="21"/>
                    </w:rPr>
                  </w:pPr>
                  <w:r>
                    <w:rPr>
                      <w:rFonts w:hint="eastAsia"/>
                      <w:kern w:val="0"/>
                      <w:szCs w:val="21"/>
                    </w:rPr>
                    <w:t>5.31</w:t>
                  </w:r>
                </w:p>
              </w:tc>
              <w:tc>
                <w:tcPr>
                  <w:tcW w:w="5745" w:type="dxa"/>
                  <w:shd w:val="clear" w:color="auto" w:fill="auto"/>
                </w:tcPr>
                <w:p>
                  <w:pPr>
                    <w:kinsoku w:val="0"/>
                    <w:overflowPunct w:val="0"/>
                    <w:autoSpaceDE w:val="0"/>
                    <w:autoSpaceDN w:val="0"/>
                    <w:adjustRightInd w:val="0"/>
                    <w:spacing w:line="360" w:lineRule="exact"/>
                    <w:jc w:val="center"/>
                    <w:rPr>
                      <w:rFonts w:cs="宋体"/>
                      <w:kern w:val="0"/>
                      <w:szCs w:val="21"/>
                    </w:rPr>
                  </w:pPr>
                  <w:r>
                    <w:rPr>
                      <w:rFonts w:hint="eastAsia" w:cs="宋体"/>
                      <w:kern w:val="0"/>
                      <w:szCs w:val="21"/>
                    </w:rPr>
                    <w:t>作为矿山修复复垦表土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1259"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生活垃圾</w:t>
                  </w:r>
                </w:p>
              </w:tc>
              <w:tc>
                <w:tcPr>
                  <w:tcW w:w="830" w:type="dxa"/>
                  <w:shd w:val="clear" w:color="auto" w:fill="auto"/>
                </w:tcPr>
                <w:p>
                  <w:pPr>
                    <w:kinsoku w:val="0"/>
                    <w:overflowPunct w:val="0"/>
                    <w:autoSpaceDE w:val="0"/>
                    <w:autoSpaceDN w:val="0"/>
                    <w:adjustRightInd w:val="0"/>
                    <w:spacing w:line="360" w:lineRule="exact"/>
                    <w:jc w:val="center"/>
                    <w:rPr>
                      <w:kern w:val="0"/>
                    </w:rPr>
                  </w:pPr>
                  <w:r>
                    <w:rPr>
                      <w:rFonts w:hint="eastAsia"/>
                      <w:spacing w:val="-2"/>
                      <w:kern w:val="0"/>
                      <w:szCs w:val="21"/>
                    </w:rPr>
                    <w:t>t/a</w:t>
                  </w:r>
                </w:p>
              </w:tc>
              <w:tc>
                <w:tcPr>
                  <w:tcW w:w="1048" w:type="dxa"/>
                  <w:shd w:val="clear" w:color="auto" w:fill="auto"/>
                </w:tcPr>
                <w:p>
                  <w:pPr>
                    <w:kinsoku w:val="0"/>
                    <w:overflowPunct w:val="0"/>
                    <w:autoSpaceDE w:val="0"/>
                    <w:autoSpaceDN w:val="0"/>
                    <w:adjustRightInd w:val="0"/>
                    <w:spacing w:line="360" w:lineRule="exact"/>
                    <w:jc w:val="center"/>
                    <w:rPr>
                      <w:kern w:val="0"/>
                    </w:rPr>
                  </w:pPr>
                  <w:r>
                    <w:rPr>
                      <w:rFonts w:hint="eastAsia"/>
                      <w:kern w:val="0"/>
                      <w:szCs w:val="21"/>
                    </w:rPr>
                    <w:t>36</w:t>
                  </w:r>
                </w:p>
              </w:tc>
              <w:tc>
                <w:tcPr>
                  <w:tcW w:w="5745" w:type="dxa"/>
                  <w:shd w:val="clear" w:color="auto" w:fill="auto"/>
                </w:tcPr>
                <w:p>
                  <w:pPr>
                    <w:kinsoku w:val="0"/>
                    <w:overflowPunct w:val="0"/>
                    <w:autoSpaceDE w:val="0"/>
                    <w:autoSpaceDN w:val="0"/>
                    <w:adjustRightInd w:val="0"/>
                    <w:spacing w:line="360" w:lineRule="exact"/>
                    <w:jc w:val="center"/>
                    <w:rPr>
                      <w:kern w:val="0"/>
                    </w:rPr>
                  </w:pPr>
                  <w:r>
                    <w:rPr>
                      <w:rFonts w:hint="eastAsia" w:cs="宋体"/>
                      <w:kern w:val="0"/>
                      <w:szCs w:val="21"/>
                    </w:rPr>
                    <w:t>统一收集，交由环卫部门处理。</w:t>
                  </w:r>
                </w:p>
              </w:tc>
            </w:tr>
          </w:tbl>
          <w:p>
            <w:pPr>
              <w:pStyle w:val="50"/>
              <w:ind w:firstLine="0" w:firstLineChars="0"/>
            </w:pPr>
          </w:p>
          <w:p>
            <w:pPr>
              <w:pStyle w:val="50"/>
              <w:ind w:firstLine="480"/>
            </w:pPr>
          </w:p>
          <w:p>
            <w:pPr>
              <w:pStyle w:val="50"/>
              <w:ind w:firstLine="480"/>
            </w:pPr>
          </w:p>
          <w:p>
            <w:pPr>
              <w:pStyle w:val="50"/>
              <w:ind w:firstLine="480"/>
            </w:pPr>
          </w:p>
          <w:p>
            <w:pPr>
              <w:pStyle w:val="50"/>
              <w:ind w:firstLine="0" w:firstLineChars="0"/>
            </w:pPr>
          </w:p>
        </w:tc>
      </w:tr>
    </w:tbl>
    <w:p>
      <w:pPr>
        <w:pStyle w:val="18"/>
        <w:adjustRightInd w:val="0"/>
        <w:snapToGrid w:val="0"/>
        <w:spacing w:before="0" w:beforeAutospacing="0" w:after="0" w:afterAutospacing="0"/>
        <w:jc w:val="center"/>
        <w:rPr>
          <w:rFonts w:ascii="Times New Roman" w:hAnsi="Times New Roman"/>
          <w:bCs/>
          <w:spacing w:val="10"/>
          <w:kern w:val="2"/>
          <w:sz w:val="21"/>
          <w:szCs w:val="21"/>
        </w:rPr>
        <w:sectPr>
          <w:pgSz w:w="11906" w:h="16838"/>
          <w:pgMar w:top="1440" w:right="1440" w:bottom="1440" w:left="1440" w:header="851" w:footer="1077" w:gutter="0"/>
          <w:cols w:space="720" w:num="1"/>
          <w:docGrid w:linePitch="312" w:charSpace="0"/>
        </w:sectPr>
      </w:pPr>
    </w:p>
    <w:tbl>
      <w:tblPr>
        <w:tblStyle w:val="22"/>
        <w:tblW w:w="95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1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2" w:hRule="atLeast"/>
          <w:jc w:val="center"/>
        </w:trPr>
        <w:tc>
          <w:tcPr>
            <w:tcW w:w="426" w:type="dxa"/>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b/>
                <w:kern w:val="2"/>
              </w:rPr>
            </w:pPr>
            <w:r>
              <w:rPr>
                <w:rFonts w:hint="eastAsia" w:ascii="Times New Roman" w:hAnsi="Times New Roman"/>
                <w:b/>
                <w:spacing w:val="10"/>
                <w:kern w:val="2"/>
              </w:rPr>
              <w:t>运营期生态环境影响分析</w:t>
            </w:r>
          </w:p>
        </w:tc>
        <w:tc>
          <w:tcPr>
            <w:tcW w:w="9128" w:type="dxa"/>
          </w:tcPr>
          <w:p>
            <w:pPr>
              <w:pStyle w:val="47"/>
              <w:ind w:firstLine="482"/>
              <w:rPr>
                <w:b/>
                <w:bCs/>
                <w:color w:val="auto"/>
              </w:rPr>
            </w:pPr>
            <w:r>
              <w:rPr>
                <w:rFonts w:hint="eastAsia"/>
                <w:b/>
                <w:bCs/>
                <w:color w:val="auto"/>
              </w:rPr>
              <w:t>1、项目营运期露天开采生产工艺及产污环节</w:t>
            </w:r>
          </w:p>
          <w:p>
            <w:pPr>
              <w:pStyle w:val="47"/>
              <w:ind w:firstLine="480"/>
              <w:rPr>
                <w:color w:val="auto"/>
              </w:rPr>
            </w:pPr>
            <w:r>
              <w:rPr>
                <w:rFonts w:hint="eastAsia"/>
                <w:color w:val="auto"/>
              </w:rPr>
              <w:t>本矿南部1.25km区域上部自+1680m～+1540m水平采用露天开采方式，其它区域采用地下开采方式。露天开采进度安排为2024年-2030年，开采期为5.</w:t>
            </w:r>
            <w:r>
              <w:rPr>
                <w:color w:val="auto"/>
              </w:rPr>
              <w:t>5</w:t>
            </w:r>
            <w:r>
              <w:rPr>
                <w:rFonts w:hint="eastAsia"/>
                <w:color w:val="auto"/>
              </w:rPr>
              <w:t>年。</w:t>
            </w:r>
          </w:p>
          <w:p>
            <w:pPr>
              <w:pStyle w:val="47"/>
              <w:ind w:firstLine="480"/>
              <w:rPr>
                <w:color w:val="auto"/>
              </w:rPr>
            </w:pPr>
            <w:r>
              <w:rPr>
                <w:rFonts w:hint="eastAsia"/>
                <w:color w:val="auto"/>
              </w:rPr>
              <w:t>（1）开采工艺</w:t>
            </w:r>
          </w:p>
          <w:p>
            <w:pPr>
              <w:pStyle w:val="47"/>
              <w:ind w:firstLine="480"/>
              <w:rPr>
                <w:color w:val="auto"/>
              </w:rPr>
            </w:pPr>
            <w:r>
              <w:rPr>
                <w:rFonts w:hint="eastAsia"/>
                <w:color w:val="auto"/>
              </w:rPr>
              <w:t>露天矿年采剥总量不大，且运距在3km以内，项目选用单斗—卡车工艺作为该矿露天开采工艺。</w:t>
            </w:r>
          </w:p>
          <w:p>
            <w:pPr>
              <w:pStyle w:val="47"/>
              <w:ind w:firstLine="480"/>
              <w:rPr>
                <w:color w:val="auto"/>
              </w:rPr>
            </w:pPr>
            <w:r>
              <w:rPr>
                <w:rFonts w:hint="eastAsia"/>
                <w:color w:val="auto"/>
              </w:rPr>
              <w:t>（2）开采参数及剥采方法</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ascii="宋体" w:hAnsi="宋体" w:cs="宋体"/>
                <w:color w:val="auto"/>
              </w:rPr>
              <w:t>①</w:t>
            </w:r>
            <w:r>
              <w:rPr>
                <w:rFonts w:hint="eastAsia"/>
                <w:color w:val="auto"/>
              </w:rPr>
              <w:fldChar w:fldCharType="end"/>
            </w:r>
            <w:r>
              <w:rPr>
                <w:rFonts w:hint="eastAsia"/>
                <w:color w:val="auto"/>
              </w:rPr>
              <w:t>开采参数</w:t>
            </w:r>
          </w:p>
          <w:p>
            <w:pPr>
              <w:pStyle w:val="47"/>
              <w:ind w:firstLine="480"/>
              <w:rPr>
                <w:color w:val="auto"/>
              </w:rPr>
            </w:pPr>
            <w:r>
              <w:rPr>
                <w:rFonts w:hint="eastAsia"/>
                <w:color w:val="auto"/>
              </w:rPr>
              <w:t>单斗—卡车剥离系统的台阶划分采用水平分层。由于采用多排孔松动爆破，考虑爆堆隆起和安全作业条件，根据选用的2m</w:t>
            </w:r>
            <w:r>
              <w:rPr>
                <w:rFonts w:hint="eastAsia"/>
                <w:color w:val="auto"/>
                <w:vertAlign w:val="superscript"/>
              </w:rPr>
              <w:t>3</w:t>
            </w:r>
            <w:r>
              <w:rPr>
                <w:rFonts w:hint="eastAsia"/>
                <w:color w:val="auto"/>
              </w:rPr>
              <w:t>斗容单斗液压挖掘机的最大挖掘高度10.94m，确定台阶高度如下：2m</w:t>
            </w:r>
            <w:r>
              <w:rPr>
                <w:rFonts w:hint="eastAsia"/>
                <w:color w:val="auto"/>
                <w:vertAlign w:val="superscript"/>
              </w:rPr>
              <w:t>3</w:t>
            </w:r>
            <w:r>
              <w:rPr>
                <w:rFonts w:hint="eastAsia"/>
                <w:color w:val="auto"/>
              </w:rPr>
              <w:t>斗容单斗液压挖掘机剥离岩石台阶高度：15m；采矿台阶高度：15m；采掘带宽：10m。</w:t>
            </w:r>
          </w:p>
          <w:p>
            <w:pPr>
              <w:pStyle w:val="47"/>
              <w:ind w:firstLine="480"/>
              <w:rPr>
                <w:color w:val="auto"/>
              </w:rPr>
            </w:pPr>
            <w:r>
              <w:rPr>
                <w:rFonts w:hint="eastAsia"/>
                <w:color w:val="auto"/>
              </w:rPr>
              <w:t>岩石台阶工作平盘和采矿台阶工作平盘均由采掘带、爆堆伸出宽度、运输道路及安全宽度等要素组成，平盘宽45m，其平盘要素及宽度见工作平盘组成要素下图及下表。</w:t>
            </w:r>
          </w:p>
          <w:p>
            <w:pPr>
              <w:pStyle w:val="47"/>
              <w:ind w:firstLine="480"/>
              <w:rPr>
                <w:color w:val="auto"/>
              </w:rPr>
            </w:pPr>
            <w:r>
              <w:rPr>
                <w:rFonts w:hint="eastAsia"/>
                <w:color w:val="auto"/>
              </w:rPr>
              <w:drawing>
                <wp:anchor distT="0" distB="0" distL="114300" distR="114300" simplePos="0" relativeHeight="251674624" behindDoc="0" locked="0" layoutInCell="1" allowOverlap="1">
                  <wp:simplePos x="0" y="0"/>
                  <wp:positionH relativeFrom="column">
                    <wp:posOffset>162560</wp:posOffset>
                  </wp:positionH>
                  <wp:positionV relativeFrom="paragraph">
                    <wp:posOffset>78105</wp:posOffset>
                  </wp:positionV>
                  <wp:extent cx="5041900" cy="1774190"/>
                  <wp:effectExtent l="0" t="0" r="0" b="0"/>
                  <wp:wrapNone/>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41900" cy="1774190"/>
                          </a:xfrm>
                          <a:prstGeom prst="rect">
                            <a:avLst/>
                          </a:prstGeom>
                          <a:noFill/>
                          <a:ln>
                            <a:noFill/>
                          </a:ln>
                        </pic:spPr>
                      </pic:pic>
                    </a:graphicData>
                  </a:graphic>
                </wp:anchor>
              </w:drawing>
            </w: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jc w:val="center"/>
              <w:rPr>
                <w:color w:val="auto"/>
              </w:rPr>
            </w:pPr>
            <w:r>
              <w:rPr>
                <w:rFonts w:hint="eastAsia"/>
                <w:color w:val="auto"/>
              </w:rPr>
              <w:t>图4  露天开采工作平盘组成要素图</w:t>
            </w:r>
          </w:p>
          <w:p>
            <w:pPr>
              <w:pStyle w:val="50"/>
              <w:numPr>
                <w:ilvl w:val="0"/>
                <w:numId w:val="2"/>
              </w:numPr>
              <w:snapToGrid w:val="0"/>
              <w:spacing w:line="240" w:lineRule="auto"/>
              <w:ind w:firstLineChars="0"/>
              <w:jc w:val="center"/>
              <w:rPr>
                <w:b/>
                <w:bCs/>
              </w:rPr>
            </w:pPr>
            <w:r>
              <w:rPr>
                <w:rFonts w:hint="eastAsia"/>
                <w:b/>
                <w:bCs/>
              </w:rPr>
              <w:t>露天开采工作平盘组成要素表</w:t>
            </w:r>
          </w:p>
          <w:tbl>
            <w:tblPr>
              <w:tblStyle w:val="22"/>
              <w:tblW w:w="88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6"/>
              <w:gridCol w:w="2178"/>
              <w:gridCol w:w="1949"/>
              <w:gridCol w:w="1949"/>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6" w:type="dxa"/>
                  <w:vMerge w:val="restart"/>
                  <w:shd w:val="clear" w:color="auto" w:fill="auto"/>
                  <w:vAlign w:val="center"/>
                </w:tcPr>
                <w:p>
                  <w:pPr>
                    <w:spacing w:line="360" w:lineRule="exact"/>
                    <w:jc w:val="center"/>
                    <w:rPr>
                      <w:kern w:val="0"/>
                    </w:rPr>
                  </w:pPr>
                  <w:r>
                    <w:rPr>
                      <w:rFonts w:hint="eastAsia"/>
                      <w:kern w:val="0"/>
                    </w:rPr>
                    <w:t>符号</w:t>
                  </w:r>
                </w:p>
              </w:tc>
              <w:tc>
                <w:tcPr>
                  <w:tcW w:w="2178" w:type="dxa"/>
                  <w:vMerge w:val="restart"/>
                  <w:shd w:val="clear" w:color="auto" w:fill="auto"/>
                  <w:vAlign w:val="center"/>
                </w:tcPr>
                <w:p>
                  <w:pPr>
                    <w:spacing w:line="360" w:lineRule="exact"/>
                    <w:jc w:val="center"/>
                    <w:rPr>
                      <w:kern w:val="0"/>
                    </w:rPr>
                  </w:pPr>
                  <w:r>
                    <w:rPr>
                      <w:rFonts w:hint="eastAsia"/>
                      <w:kern w:val="0"/>
                    </w:rPr>
                    <w:t>符号意义</w:t>
                  </w:r>
                </w:p>
              </w:tc>
              <w:tc>
                <w:tcPr>
                  <w:tcW w:w="1949" w:type="dxa"/>
                  <w:vMerge w:val="restart"/>
                  <w:shd w:val="clear" w:color="auto" w:fill="auto"/>
                  <w:vAlign w:val="center"/>
                </w:tcPr>
                <w:p>
                  <w:pPr>
                    <w:spacing w:line="360" w:lineRule="exact"/>
                    <w:jc w:val="center"/>
                    <w:rPr>
                      <w:kern w:val="0"/>
                    </w:rPr>
                  </w:pPr>
                  <w:r>
                    <w:rPr>
                      <w:rFonts w:hint="eastAsia"/>
                      <w:kern w:val="0"/>
                    </w:rPr>
                    <w:t>单位</w:t>
                  </w:r>
                </w:p>
              </w:tc>
              <w:tc>
                <w:tcPr>
                  <w:tcW w:w="3899" w:type="dxa"/>
                  <w:gridSpan w:val="2"/>
                  <w:shd w:val="clear" w:color="auto" w:fill="auto"/>
                  <w:vAlign w:val="center"/>
                </w:tcPr>
                <w:p>
                  <w:pPr>
                    <w:spacing w:line="360" w:lineRule="exact"/>
                    <w:jc w:val="center"/>
                    <w:rPr>
                      <w:kern w:val="0"/>
                    </w:rPr>
                  </w:pPr>
                  <w:r>
                    <w:rPr>
                      <w:rFonts w:hint="eastAsia"/>
                      <w:kern w:val="0"/>
                    </w:rPr>
                    <w:t>要素值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856" w:type="dxa"/>
                  <w:vMerge w:val="continue"/>
                  <w:shd w:val="clear" w:color="auto" w:fill="auto"/>
                  <w:vAlign w:val="center"/>
                </w:tcPr>
                <w:p>
                  <w:pPr>
                    <w:spacing w:line="360" w:lineRule="exact"/>
                    <w:jc w:val="center"/>
                    <w:rPr>
                      <w:kern w:val="0"/>
                    </w:rPr>
                  </w:pPr>
                </w:p>
              </w:tc>
              <w:tc>
                <w:tcPr>
                  <w:tcW w:w="2178" w:type="dxa"/>
                  <w:vMerge w:val="continue"/>
                  <w:shd w:val="clear" w:color="auto" w:fill="auto"/>
                  <w:vAlign w:val="center"/>
                </w:tcPr>
                <w:p>
                  <w:pPr>
                    <w:spacing w:line="360" w:lineRule="exact"/>
                    <w:jc w:val="center"/>
                    <w:rPr>
                      <w:kern w:val="0"/>
                    </w:rPr>
                  </w:pPr>
                </w:p>
              </w:tc>
              <w:tc>
                <w:tcPr>
                  <w:tcW w:w="1949" w:type="dxa"/>
                  <w:vMerge w:val="continue"/>
                  <w:shd w:val="clear" w:color="auto" w:fill="auto"/>
                  <w:vAlign w:val="center"/>
                </w:tcPr>
                <w:p>
                  <w:pPr>
                    <w:spacing w:line="360" w:lineRule="exact"/>
                    <w:jc w:val="center"/>
                    <w:rPr>
                      <w:kern w:val="0"/>
                    </w:rPr>
                  </w:pPr>
                </w:p>
              </w:tc>
              <w:tc>
                <w:tcPr>
                  <w:tcW w:w="1949" w:type="dxa"/>
                  <w:shd w:val="clear" w:color="auto" w:fill="auto"/>
                  <w:vAlign w:val="center"/>
                </w:tcPr>
                <w:p>
                  <w:pPr>
                    <w:spacing w:line="360" w:lineRule="exact"/>
                    <w:jc w:val="center"/>
                    <w:rPr>
                      <w:kern w:val="0"/>
                    </w:rPr>
                  </w:pPr>
                  <w:r>
                    <w:rPr>
                      <w:rFonts w:hint="eastAsia"/>
                      <w:kern w:val="0"/>
                    </w:rPr>
                    <w:t>采矿</w:t>
                  </w:r>
                </w:p>
              </w:tc>
              <w:tc>
                <w:tcPr>
                  <w:tcW w:w="1950" w:type="dxa"/>
                  <w:shd w:val="clear" w:color="auto" w:fill="auto"/>
                  <w:vAlign w:val="center"/>
                </w:tcPr>
                <w:p>
                  <w:pPr>
                    <w:spacing w:line="360" w:lineRule="exact"/>
                    <w:jc w:val="center"/>
                    <w:rPr>
                      <w:kern w:val="0"/>
                    </w:rPr>
                  </w:pPr>
                  <w:r>
                    <w:rPr>
                      <w:rFonts w:hint="eastAsia"/>
                      <w:kern w:val="0"/>
                    </w:rPr>
                    <w:t>剥离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6" w:type="dxa"/>
                  <w:shd w:val="clear" w:color="auto" w:fill="auto"/>
                  <w:vAlign w:val="center"/>
                </w:tcPr>
                <w:p>
                  <w:pPr>
                    <w:spacing w:line="360" w:lineRule="exact"/>
                    <w:jc w:val="center"/>
                    <w:rPr>
                      <w:kern w:val="0"/>
                    </w:rPr>
                  </w:pPr>
                  <w:r>
                    <w:rPr>
                      <w:rFonts w:hint="eastAsia"/>
                      <w:kern w:val="0"/>
                    </w:rPr>
                    <w:t>H</w:t>
                  </w:r>
                </w:p>
              </w:tc>
              <w:tc>
                <w:tcPr>
                  <w:tcW w:w="2178" w:type="dxa"/>
                  <w:shd w:val="clear" w:color="auto" w:fill="auto"/>
                  <w:vAlign w:val="center"/>
                </w:tcPr>
                <w:p>
                  <w:pPr>
                    <w:spacing w:line="360" w:lineRule="exact"/>
                    <w:jc w:val="center"/>
                    <w:rPr>
                      <w:kern w:val="0"/>
                    </w:rPr>
                  </w:pPr>
                  <w:r>
                    <w:rPr>
                      <w:rFonts w:hint="eastAsia"/>
                      <w:kern w:val="0"/>
                    </w:rPr>
                    <w:t>台阶高度</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15</w:t>
                  </w:r>
                </w:p>
              </w:tc>
              <w:tc>
                <w:tcPr>
                  <w:tcW w:w="1950" w:type="dxa"/>
                  <w:shd w:val="clear" w:color="auto" w:fill="auto"/>
                  <w:vAlign w:val="center"/>
                </w:tcPr>
                <w:p>
                  <w:pPr>
                    <w:spacing w:line="360" w:lineRule="exact"/>
                    <w:jc w:val="center"/>
                    <w:rPr>
                      <w:kern w:val="0"/>
                    </w:rPr>
                  </w:pPr>
                  <w:r>
                    <w:rPr>
                      <w:rFonts w:hint="eastAsia"/>
                      <w:kern w:val="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56" w:type="dxa"/>
                  <w:shd w:val="clear" w:color="auto" w:fill="auto"/>
                  <w:vAlign w:val="center"/>
                </w:tcPr>
                <w:p>
                  <w:pPr>
                    <w:spacing w:line="360" w:lineRule="exact"/>
                    <w:jc w:val="center"/>
                    <w:rPr>
                      <w:kern w:val="0"/>
                    </w:rPr>
                  </w:pPr>
                  <w:r>
                    <w:rPr>
                      <w:rFonts w:hint="eastAsia"/>
                      <w:kern w:val="0"/>
                    </w:rPr>
                    <w:t>A</w:t>
                  </w:r>
                </w:p>
              </w:tc>
              <w:tc>
                <w:tcPr>
                  <w:tcW w:w="2178" w:type="dxa"/>
                  <w:shd w:val="clear" w:color="auto" w:fill="auto"/>
                  <w:vAlign w:val="center"/>
                </w:tcPr>
                <w:p>
                  <w:pPr>
                    <w:spacing w:line="360" w:lineRule="exact"/>
                    <w:jc w:val="center"/>
                    <w:rPr>
                      <w:kern w:val="0"/>
                    </w:rPr>
                  </w:pPr>
                  <w:r>
                    <w:rPr>
                      <w:rFonts w:hint="eastAsia"/>
                      <w:kern w:val="0"/>
                    </w:rPr>
                    <w:t>采掘带宽度</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10</w:t>
                  </w:r>
                </w:p>
              </w:tc>
              <w:tc>
                <w:tcPr>
                  <w:tcW w:w="1950" w:type="dxa"/>
                  <w:shd w:val="clear" w:color="auto" w:fill="auto"/>
                  <w:vAlign w:val="center"/>
                </w:tcPr>
                <w:p>
                  <w:pPr>
                    <w:spacing w:line="360" w:lineRule="exact"/>
                    <w:jc w:val="center"/>
                    <w:rPr>
                      <w:kern w:val="0"/>
                    </w:rPr>
                  </w:pPr>
                  <w:r>
                    <w:rPr>
                      <w:rFonts w:hint="eastAsia"/>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6" w:type="dxa"/>
                  <w:shd w:val="clear" w:color="auto" w:fill="auto"/>
                  <w:vAlign w:val="center"/>
                </w:tcPr>
                <w:p>
                  <w:pPr>
                    <w:spacing w:line="360" w:lineRule="exact"/>
                    <w:jc w:val="center"/>
                    <w:rPr>
                      <w:kern w:val="0"/>
                    </w:rPr>
                  </w:pPr>
                  <w:r>
                    <w:rPr>
                      <w:rFonts w:hint="eastAsia"/>
                      <w:kern w:val="0"/>
                    </w:rPr>
                    <w:t>α</w:t>
                  </w:r>
                </w:p>
              </w:tc>
              <w:tc>
                <w:tcPr>
                  <w:tcW w:w="2178" w:type="dxa"/>
                  <w:shd w:val="clear" w:color="auto" w:fill="auto"/>
                  <w:vAlign w:val="center"/>
                </w:tcPr>
                <w:p>
                  <w:pPr>
                    <w:spacing w:line="360" w:lineRule="exact"/>
                    <w:jc w:val="center"/>
                    <w:rPr>
                      <w:kern w:val="0"/>
                    </w:rPr>
                  </w:pPr>
                  <w:r>
                    <w:rPr>
                      <w:rFonts w:hint="eastAsia"/>
                      <w:kern w:val="0"/>
                    </w:rPr>
                    <w:t>台阶坡面角</w:t>
                  </w:r>
                </w:p>
              </w:tc>
              <w:tc>
                <w:tcPr>
                  <w:tcW w:w="1949" w:type="dxa"/>
                  <w:shd w:val="clear" w:color="auto" w:fill="auto"/>
                  <w:vAlign w:val="center"/>
                </w:tcPr>
                <w:p>
                  <w:pPr>
                    <w:spacing w:line="360" w:lineRule="exact"/>
                    <w:jc w:val="center"/>
                    <w:rPr>
                      <w:kern w:val="0"/>
                    </w:rPr>
                  </w:pPr>
                  <w:r>
                    <w:rPr>
                      <w:rFonts w:hint="eastAsia"/>
                      <w:kern w:val="0"/>
                    </w:rPr>
                    <w:t>º</w:t>
                  </w:r>
                </w:p>
              </w:tc>
              <w:tc>
                <w:tcPr>
                  <w:tcW w:w="1949" w:type="dxa"/>
                  <w:shd w:val="clear" w:color="auto" w:fill="auto"/>
                  <w:vAlign w:val="center"/>
                </w:tcPr>
                <w:p>
                  <w:pPr>
                    <w:spacing w:line="360" w:lineRule="exact"/>
                    <w:jc w:val="center"/>
                    <w:rPr>
                      <w:kern w:val="0"/>
                    </w:rPr>
                  </w:pPr>
                  <w:r>
                    <w:rPr>
                      <w:rFonts w:hint="eastAsia"/>
                      <w:kern w:val="0"/>
                    </w:rPr>
                    <w:t>矿层倾角</w:t>
                  </w:r>
                </w:p>
              </w:tc>
              <w:tc>
                <w:tcPr>
                  <w:tcW w:w="1950" w:type="dxa"/>
                  <w:shd w:val="clear" w:color="auto" w:fill="auto"/>
                  <w:vAlign w:val="center"/>
                </w:tcPr>
                <w:p>
                  <w:pPr>
                    <w:spacing w:line="360" w:lineRule="exact"/>
                    <w:jc w:val="center"/>
                    <w:rPr>
                      <w:kern w:val="0"/>
                    </w:rPr>
                  </w:pPr>
                  <w:r>
                    <w:rPr>
                      <w:rFonts w:hint="eastAsia"/>
                      <w:kern w:val="0"/>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56" w:type="dxa"/>
                  <w:shd w:val="clear" w:color="auto" w:fill="auto"/>
                  <w:vAlign w:val="center"/>
                </w:tcPr>
                <w:p>
                  <w:pPr>
                    <w:spacing w:line="360" w:lineRule="exact"/>
                    <w:jc w:val="center"/>
                    <w:rPr>
                      <w:kern w:val="0"/>
                    </w:rPr>
                  </w:pPr>
                  <w:r>
                    <w:rPr>
                      <w:rFonts w:hint="eastAsia"/>
                      <w:kern w:val="0"/>
                    </w:rPr>
                    <w:t>T</w:t>
                  </w:r>
                  <w:r>
                    <w:rPr>
                      <w:rFonts w:hint="eastAsia"/>
                      <w:kern w:val="0"/>
                      <w:vertAlign w:val="subscript"/>
                    </w:rPr>
                    <w:t>A</w:t>
                  </w:r>
                </w:p>
              </w:tc>
              <w:tc>
                <w:tcPr>
                  <w:tcW w:w="2178" w:type="dxa"/>
                  <w:shd w:val="clear" w:color="auto" w:fill="auto"/>
                  <w:vAlign w:val="center"/>
                </w:tcPr>
                <w:p>
                  <w:pPr>
                    <w:spacing w:line="360" w:lineRule="exact"/>
                    <w:jc w:val="center"/>
                    <w:rPr>
                      <w:kern w:val="0"/>
                    </w:rPr>
                  </w:pPr>
                  <w:r>
                    <w:rPr>
                      <w:rFonts w:hint="eastAsia"/>
                      <w:kern w:val="0"/>
                    </w:rPr>
                    <w:t>坡顶安全距离</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3</w:t>
                  </w:r>
                </w:p>
              </w:tc>
              <w:tc>
                <w:tcPr>
                  <w:tcW w:w="1950" w:type="dxa"/>
                  <w:shd w:val="clear" w:color="auto" w:fill="auto"/>
                  <w:vAlign w:val="center"/>
                </w:tcPr>
                <w:p>
                  <w:pPr>
                    <w:spacing w:line="360" w:lineRule="exact"/>
                    <w:jc w:val="center"/>
                    <w:rPr>
                      <w:kern w:val="0"/>
                    </w:rPr>
                  </w:pPr>
                  <w:r>
                    <w:rPr>
                      <w:rFonts w:hint="eastAsia"/>
                      <w:kern w:val="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6" w:type="dxa"/>
                  <w:shd w:val="clear" w:color="auto" w:fill="auto"/>
                  <w:vAlign w:val="center"/>
                </w:tcPr>
                <w:p>
                  <w:pPr>
                    <w:spacing w:line="360" w:lineRule="exact"/>
                    <w:jc w:val="center"/>
                    <w:rPr>
                      <w:kern w:val="0"/>
                    </w:rPr>
                  </w:pPr>
                  <w:r>
                    <w:rPr>
                      <w:rFonts w:hint="eastAsia"/>
                      <w:kern w:val="0"/>
                    </w:rPr>
                    <w:t>T</w:t>
                  </w:r>
                  <w:r>
                    <w:rPr>
                      <w:rFonts w:hint="eastAsia"/>
                      <w:kern w:val="0"/>
                      <w:vertAlign w:val="subscript"/>
                    </w:rPr>
                    <w:t>B</w:t>
                  </w:r>
                </w:p>
              </w:tc>
              <w:tc>
                <w:tcPr>
                  <w:tcW w:w="2178" w:type="dxa"/>
                  <w:shd w:val="clear" w:color="auto" w:fill="auto"/>
                  <w:vAlign w:val="center"/>
                </w:tcPr>
                <w:p>
                  <w:pPr>
                    <w:spacing w:line="360" w:lineRule="exact"/>
                    <w:jc w:val="center"/>
                    <w:rPr>
                      <w:kern w:val="0"/>
                    </w:rPr>
                  </w:pPr>
                  <w:r>
                    <w:rPr>
                      <w:rFonts w:hint="eastAsia"/>
                      <w:kern w:val="0"/>
                    </w:rPr>
                    <w:t>爆堆伸出距离</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16</w:t>
                  </w:r>
                </w:p>
              </w:tc>
              <w:tc>
                <w:tcPr>
                  <w:tcW w:w="1950" w:type="dxa"/>
                  <w:shd w:val="clear" w:color="auto" w:fill="auto"/>
                  <w:vAlign w:val="center"/>
                </w:tcPr>
                <w:p>
                  <w:pPr>
                    <w:spacing w:line="360" w:lineRule="exact"/>
                    <w:jc w:val="center"/>
                    <w:rPr>
                      <w:kern w:val="0"/>
                    </w:rPr>
                  </w:pPr>
                  <w:r>
                    <w:rPr>
                      <w:rFonts w:hint="eastAsia"/>
                      <w:kern w:val="0"/>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6" w:type="dxa"/>
                  <w:shd w:val="clear" w:color="auto" w:fill="auto"/>
                  <w:vAlign w:val="center"/>
                </w:tcPr>
                <w:p>
                  <w:pPr>
                    <w:spacing w:line="360" w:lineRule="exact"/>
                    <w:jc w:val="center"/>
                    <w:rPr>
                      <w:kern w:val="0"/>
                    </w:rPr>
                  </w:pPr>
                  <w:r>
                    <w:rPr>
                      <w:rFonts w:hint="eastAsia"/>
                      <w:kern w:val="0"/>
                    </w:rPr>
                    <w:t>T</w:t>
                  </w:r>
                  <w:r>
                    <w:rPr>
                      <w:rFonts w:hint="eastAsia"/>
                      <w:kern w:val="0"/>
                      <w:vertAlign w:val="subscript"/>
                    </w:rPr>
                    <w:t>D</w:t>
                  </w:r>
                </w:p>
              </w:tc>
              <w:tc>
                <w:tcPr>
                  <w:tcW w:w="2178" w:type="dxa"/>
                  <w:shd w:val="clear" w:color="auto" w:fill="auto"/>
                  <w:vAlign w:val="center"/>
                </w:tcPr>
                <w:p>
                  <w:pPr>
                    <w:spacing w:line="360" w:lineRule="exact"/>
                    <w:jc w:val="center"/>
                    <w:rPr>
                      <w:kern w:val="0"/>
                    </w:rPr>
                  </w:pPr>
                  <w:r>
                    <w:rPr>
                      <w:rFonts w:hint="eastAsia"/>
                      <w:kern w:val="0"/>
                    </w:rPr>
                    <w:t>预留供电通路宽度</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3</w:t>
                  </w:r>
                </w:p>
              </w:tc>
              <w:tc>
                <w:tcPr>
                  <w:tcW w:w="1950" w:type="dxa"/>
                  <w:shd w:val="clear" w:color="auto" w:fill="auto"/>
                  <w:vAlign w:val="center"/>
                </w:tcPr>
                <w:p>
                  <w:pPr>
                    <w:spacing w:line="360" w:lineRule="exact"/>
                    <w:jc w:val="center"/>
                    <w:rPr>
                      <w:kern w:val="0"/>
                    </w:rPr>
                  </w:pPr>
                  <w:r>
                    <w:rPr>
                      <w:rFonts w:hint="eastAsia"/>
                      <w:kern w:val="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6" w:type="dxa"/>
                  <w:shd w:val="clear" w:color="auto" w:fill="auto"/>
                  <w:vAlign w:val="center"/>
                </w:tcPr>
                <w:p>
                  <w:pPr>
                    <w:spacing w:line="360" w:lineRule="exact"/>
                    <w:jc w:val="center"/>
                    <w:rPr>
                      <w:kern w:val="0"/>
                    </w:rPr>
                  </w:pPr>
                  <w:r>
                    <w:rPr>
                      <w:rFonts w:hint="eastAsia"/>
                      <w:kern w:val="0"/>
                    </w:rPr>
                    <w:t>T</w:t>
                  </w:r>
                </w:p>
              </w:tc>
              <w:tc>
                <w:tcPr>
                  <w:tcW w:w="2178" w:type="dxa"/>
                  <w:shd w:val="clear" w:color="auto" w:fill="auto"/>
                  <w:vAlign w:val="center"/>
                </w:tcPr>
                <w:p>
                  <w:pPr>
                    <w:spacing w:line="360" w:lineRule="exact"/>
                    <w:jc w:val="center"/>
                    <w:rPr>
                      <w:kern w:val="0"/>
                    </w:rPr>
                  </w:pPr>
                  <w:r>
                    <w:rPr>
                      <w:rFonts w:hint="eastAsia"/>
                      <w:kern w:val="0"/>
                    </w:rPr>
                    <w:t>运输通道宽度</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11</w:t>
                  </w:r>
                </w:p>
              </w:tc>
              <w:tc>
                <w:tcPr>
                  <w:tcW w:w="1950" w:type="dxa"/>
                  <w:shd w:val="clear" w:color="auto" w:fill="auto"/>
                  <w:vAlign w:val="center"/>
                </w:tcPr>
                <w:p>
                  <w:pPr>
                    <w:spacing w:line="360" w:lineRule="exact"/>
                    <w:jc w:val="center"/>
                    <w:rPr>
                      <w:kern w:val="0"/>
                    </w:rPr>
                  </w:pPr>
                  <w:r>
                    <w:rPr>
                      <w:rFonts w:hint="eastAsia"/>
                      <w:kern w:val="0"/>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6" w:type="dxa"/>
                  <w:shd w:val="clear" w:color="auto" w:fill="auto"/>
                  <w:vAlign w:val="center"/>
                </w:tcPr>
                <w:p>
                  <w:pPr>
                    <w:spacing w:line="360" w:lineRule="exact"/>
                    <w:jc w:val="center"/>
                    <w:rPr>
                      <w:kern w:val="0"/>
                    </w:rPr>
                  </w:pPr>
                  <w:r>
                    <w:rPr>
                      <w:rFonts w:hint="eastAsia"/>
                      <w:kern w:val="0"/>
                    </w:rPr>
                    <w:t>C</w:t>
                  </w:r>
                </w:p>
              </w:tc>
              <w:tc>
                <w:tcPr>
                  <w:tcW w:w="2178" w:type="dxa"/>
                  <w:shd w:val="clear" w:color="auto" w:fill="auto"/>
                  <w:vAlign w:val="center"/>
                </w:tcPr>
                <w:p>
                  <w:pPr>
                    <w:spacing w:line="360" w:lineRule="exact"/>
                    <w:jc w:val="center"/>
                    <w:rPr>
                      <w:kern w:val="0"/>
                    </w:rPr>
                  </w:pPr>
                  <w:r>
                    <w:rPr>
                      <w:rFonts w:hint="eastAsia"/>
                      <w:kern w:val="0"/>
                    </w:rPr>
                    <w:t>安全距离</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2</w:t>
                  </w:r>
                </w:p>
              </w:tc>
              <w:tc>
                <w:tcPr>
                  <w:tcW w:w="1950" w:type="dxa"/>
                  <w:shd w:val="clear" w:color="auto" w:fill="auto"/>
                  <w:vAlign w:val="center"/>
                </w:tcPr>
                <w:p>
                  <w:pPr>
                    <w:spacing w:line="360" w:lineRule="exact"/>
                    <w:jc w:val="center"/>
                    <w:rPr>
                      <w:kern w:val="0"/>
                    </w:rPr>
                  </w:pPr>
                  <w:r>
                    <w:rPr>
                      <w:rFonts w:hint="eastAsia"/>
                      <w:kern w:val="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56" w:type="dxa"/>
                  <w:shd w:val="clear" w:color="auto" w:fill="auto"/>
                  <w:vAlign w:val="center"/>
                </w:tcPr>
                <w:p>
                  <w:pPr>
                    <w:spacing w:line="360" w:lineRule="exact"/>
                    <w:jc w:val="center"/>
                    <w:rPr>
                      <w:kern w:val="0"/>
                    </w:rPr>
                  </w:pPr>
                  <w:r>
                    <w:rPr>
                      <w:rFonts w:hint="eastAsia"/>
                      <w:kern w:val="0"/>
                    </w:rPr>
                    <w:t>B</w:t>
                  </w:r>
                </w:p>
              </w:tc>
              <w:tc>
                <w:tcPr>
                  <w:tcW w:w="2178" w:type="dxa"/>
                  <w:shd w:val="clear" w:color="auto" w:fill="auto"/>
                  <w:vAlign w:val="center"/>
                </w:tcPr>
                <w:p>
                  <w:pPr>
                    <w:spacing w:line="360" w:lineRule="exact"/>
                    <w:jc w:val="center"/>
                    <w:rPr>
                      <w:kern w:val="0"/>
                    </w:rPr>
                  </w:pPr>
                  <w:r>
                    <w:rPr>
                      <w:rFonts w:hint="eastAsia"/>
                      <w:kern w:val="0"/>
                    </w:rPr>
                    <w:t>通路平盘宽度</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35</w:t>
                  </w:r>
                </w:p>
              </w:tc>
              <w:tc>
                <w:tcPr>
                  <w:tcW w:w="1950" w:type="dxa"/>
                  <w:shd w:val="clear" w:color="auto" w:fill="auto"/>
                  <w:vAlign w:val="center"/>
                </w:tcPr>
                <w:p>
                  <w:pPr>
                    <w:spacing w:line="360" w:lineRule="exact"/>
                    <w:jc w:val="center"/>
                    <w:rPr>
                      <w:kern w:val="0"/>
                    </w:rPr>
                  </w:pPr>
                  <w:r>
                    <w:rPr>
                      <w:rFonts w:hint="eastAsia"/>
                      <w:kern w:val="0"/>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56" w:type="dxa"/>
                  <w:shd w:val="clear" w:color="auto" w:fill="auto"/>
                  <w:vAlign w:val="center"/>
                </w:tcPr>
                <w:p>
                  <w:pPr>
                    <w:spacing w:line="360" w:lineRule="exact"/>
                    <w:jc w:val="center"/>
                    <w:rPr>
                      <w:kern w:val="0"/>
                    </w:rPr>
                  </w:pPr>
                  <w:r>
                    <w:rPr>
                      <w:rFonts w:hint="eastAsia"/>
                      <w:kern w:val="0"/>
                    </w:rPr>
                    <w:t>B</w:t>
                  </w:r>
                  <w:r>
                    <w:rPr>
                      <w:rFonts w:hint="eastAsia"/>
                      <w:kern w:val="0"/>
                      <w:vertAlign w:val="subscript"/>
                    </w:rPr>
                    <w:t>min</w:t>
                  </w:r>
                </w:p>
              </w:tc>
              <w:tc>
                <w:tcPr>
                  <w:tcW w:w="2178" w:type="dxa"/>
                  <w:shd w:val="clear" w:color="auto" w:fill="auto"/>
                  <w:vAlign w:val="center"/>
                </w:tcPr>
                <w:p>
                  <w:pPr>
                    <w:spacing w:line="360" w:lineRule="exact"/>
                    <w:jc w:val="center"/>
                    <w:rPr>
                      <w:kern w:val="0"/>
                    </w:rPr>
                  </w:pPr>
                  <w:r>
                    <w:rPr>
                      <w:rFonts w:hint="eastAsia"/>
                      <w:kern w:val="0"/>
                    </w:rPr>
                    <w:t>最小工作平盘宽度</w:t>
                  </w:r>
                </w:p>
              </w:tc>
              <w:tc>
                <w:tcPr>
                  <w:tcW w:w="1949" w:type="dxa"/>
                  <w:shd w:val="clear" w:color="auto" w:fill="auto"/>
                  <w:vAlign w:val="center"/>
                </w:tcPr>
                <w:p>
                  <w:pPr>
                    <w:spacing w:line="360" w:lineRule="exact"/>
                    <w:jc w:val="center"/>
                    <w:rPr>
                      <w:kern w:val="0"/>
                    </w:rPr>
                  </w:pPr>
                  <w:r>
                    <w:rPr>
                      <w:rFonts w:hint="eastAsia"/>
                      <w:kern w:val="0"/>
                    </w:rPr>
                    <w:t>m</w:t>
                  </w:r>
                </w:p>
              </w:tc>
              <w:tc>
                <w:tcPr>
                  <w:tcW w:w="1949" w:type="dxa"/>
                  <w:shd w:val="clear" w:color="auto" w:fill="auto"/>
                  <w:vAlign w:val="center"/>
                </w:tcPr>
                <w:p>
                  <w:pPr>
                    <w:spacing w:line="360" w:lineRule="exact"/>
                    <w:jc w:val="center"/>
                    <w:rPr>
                      <w:kern w:val="0"/>
                    </w:rPr>
                  </w:pPr>
                  <w:r>
                    <w:rPr>
                      <w:rFonts w:hint="eastAsia"/>
                      <w:kern w:val="0"/>
                    </w:rPr>
                    <w:t>45</w:t>
                  </w:r>
                </w:p>
              </w:tc>
              <w:tc>
                <w:tcPr>
                  <w:tcW w:w="1950" w:type="dxa"/>
                  <w:shd w:val="clear" w:color="auto" w:fill="auto"/>
                  <w:vAlign w:val="center"/>
                </w:tcPr>
                <w:p>
                  <w:pPr>
                    <w:spacing w:line="360" w:lineRule="exact"/>
                    <w:jc w:val="center"/>
                    <w:rPr>
                      <w:kern w:val="0"/>
                    </w:rPr>
                  </w:pPr>
                  <w:r>
                    <w:rPr>
                      <w:rFonts w:hint="eastAsia"/>
                      <w:kern w:val="0"/>
                    </w:rPr>
                    <w:t>45</w:t>
                  </w:r>
                </w:p>
              </w:tc>
            </w:tr>
          </w:tbl>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ascii="宋体" w:hAnsi="宋体" w:cs="宋体"/>
                <w:color w:val="auto"/>
              </w:rPr>
              <w:t>②</w:t>
            </w:r>
            <w:r>
              <w:rPr>
                <w:rFonts w:hint="eastAsia"/>
                <w:color w:val="auto"/>
              </w:rPr>
              <w:fldChar w:fldCharType="end"/>
            </w:r>
            <w:r>
              <w:rPr>
                <w:rFonts w:hint="eastAsia"/>
                <w:color w:val="auto"/>
              </w:rPr>
              <w:t>剥离方法</w:t>
            </w:r>
          </w:p>
          <w:p>
            <w:pPr>
              <w:pStyle w:val="47"/>
              <w:ind w:firstLine="480"/>
              <w:rPr>
                <w:color w:val="auto"/>
              </w:rPr>
            </w:pPr>
            <w:r>
              <w:rPr>
                <w:rFonts w:hint="eastAsia"/>
                <w:color w:val="auto"/>
              </w:rPr>
              <w:t>剥离方法采用水平分层，自上而下降段分台阶开采，垂直矿层走向布置剥离工作台阶，沿走向推进，剥离台阶高度15m，采掘带宽度10m，由2m</w:t>
            </w:r>
            <w:r>
              <w:rPr>
                <w:rFonts w:hint="eastAsia"/>
                <w:color w:val="auto"/>
                <w:vertAlign w:val="superscript"/>
              </w:rPr>
              <w:t>3</w:t>
            </w:r>
            <w:r>
              <w:rPr>
                <w:rFonts w:hint="eastAsia"/>
                <w:color w:val="auto"/>
              </w:rPr>
              <w:t>单斗液压挖掘机端工作面采装作业配32t矿用自卸卡车运输。</w:t>
            </w:r>
          </w:p>
          <w:p>
            <w:pPr>
              <w:pStyle w:val="47"/>
              <w:ind w:firstLine="480"/>
              <w:rPr>
                <w:color w:val="auto"/>
              </w:rPr>
            </w:pPr>
            <w:r>
              <w:rPr>
                <w:rFonts w:hint="eastAsia"/>
                <w:color w:val="auto"/>
              </w:rPr>
              <w:fldChar w:fldCharType="begin"/>
            </w:r>
            <w:r>
              <w:rPr>
                <w:rFonts w:hint="eastAsia"/>
                <w:color w:val="auto"/>
              </w:rPr>
              <w:instrText xml:space="preserve"> = 3 \* GB3 </w:instrText>
            </w:r>
            <w:r>
              <w:rPr>
                <w:rFonts w:hint="eastAsia"/>
                <w:color w:val="auto"/>
              </w:rPr>
              <w:fldChar w:fldCharType="separate"/>
            </w:r>
            <w:r>
              <w:rPr>
                <w:rFonts w:hint="eastAsia" w:ascii="宋体" w:hAnsi="宋体" w:cs="宋体"/>
                <w:color w:val="auto"/>
              </w:rPr>
              <w:t>③</w:t>
            </w:r>
            <w:r>
              <w:rPr>
                <w:rFonts w:hint="eastAsia"/>
                <w:color w:val="auto"/>
              </w:rPr>
              <w:fldChar w:fldCharType="end"/>
            </w:r>
            <w:r>
              <w:rPr>
                <w:rFonts w:hint="eastAsia"/>
                <w:color w:val="auto"/>
              </w:rPr>
              <w:t>采矿方法</w:t>
            </w:r>
          </w:p>
          <w:p>
            <w:pPr>
              <w:pStyle w:val="47"/>
              <w:ind w:firstLine="480"/>
              <w:rPr>
                <w:color w:val="auto"/>
              </w:rPr>
            </w:pPr>
            <w:r>
              <w:rPr>
                <w:rFonts w:hint="eastAsia"/>
                <w:color w:val="auto"/>
              </w:rPr>
              <w:t>采矿方法为自上而下、水平分层台阶开采方法，工作线垂直矿层走向布置，沿走向由北向南推进，沿顶板露矿，由顶向底采矿，采用斗容2m</w:t>
            </w:r>
            <w:r>
              <w:rPr>
                <w:rFonts w:hint="eastAsia"/>
                <w:color w:val="auto"/>
                <w:vertAlign w:val="superscript"/>
              </w:rPr>
              <w:t>3</w:t>
            </w:r>
            <w:r>
              <w:rPr>
                <w:rFonts w:hint="eastAsia"/>
                <w:color w:val="auto"/>
              </w:rPr>
              <w:t>液压挖掘机采装，台阶高度15m，最小平盘宽度45m，矿层夹石用2m</w:t>
            </w:r>
            <w:r>
              <w:rPr>
                <w:rFonts w:hint="eastAsia"/>
                <w:color w:val="auto"/>
                <w:vertAlign w:val="superscript"/>
              </w:rPr>
              <w:t>3</w:t>
            </w:r>
            <w:r>
              <w:rPr>
                <w:rFonts w:hint="eastAsia"/>
                <w:color w:val="auto"/>
              </w:rPr>
              <w:t>型液压挖掘机选采，装载机配合处理。</w:t>
            </w:r>
          </w:p>
          <w:p>
            <w:pPr>
              <w:pStyle w:val="47"/>
              <w:ind w:firstLine="480"/>
              <w:rPr>
                <w:color w:val="auto"/>
              </w:rPr>
            </w:pPr>
            <w:r>
              <w:rPr>
                <w:rFonts w:hint="eastAsia"/>
                <w:color w:val="auto"/>
              </w:rPr>
              <w:t>（3）穿孔爆破工作</w:t>
            </w:r>
          </w:p>
          <w:p>
            <w:pPr>
              <w:pStyle w:val="47"/>
              <w:ind w:firstLine="480"/>
              <w:rPr>
                <w:color w:val="auto"/>
              </w:rPr>
            </w:pPr>
            <w:r>
              <w:rPr>
                <w:rFonts w:hint="eastAsia"/>
                <w:color w:val="auto"/>
              </w:rPr>
              <w:t>杜家圈南白云岩矿矿石与岩石均需穿孔爆破。岩石岩性为坚硬，普氏硬度系数为f=5～7。</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ascii="宋体" w:hAnsi="宋体" w:cs="宋体"/>
                <w:color w:val="auto"/>
              </w:rPr>
              <w:t>①</w:t>
            </w:r>
            <w:r>
              <w:rPr>
                <w:rFonts w:hint="eastAsia"/>
                <w:color w:val="auto"/>
              </w:rPr>
              <w:fldChar w:fldCharType="end"/>
            </w:r>
            <w:r>
              <w:rPr>
                <w:rFonts w:hint="eastAsia"/>
                <w:color w:val="auto"/>
              </w:rPr>
              <w:t>穿孔方式和爆破方法</w:t>
            </w:r>
          </w:p>
          <w:p>
            <w:pPr>
              <w:pStyle w:val="47"/>
              <w:ind w:firstLine="480"/>
              <w:rPr>
                <w:color w:val="auto"/>
              </w:rPr>
            </w:pPr>
            <w:r>
              <w:rPr>
                <w:rFonts w:hint="eastAsia"/>
                <w:color w:val="auto"/>
              </w:rPr>
              <w:t>根据岩石岩性，设计选用Φ150mm潜孔钻机进行穿孔，爆破采用多排孔深孔松动微差爆破方法。爆破炸药选用铵油炸药。</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ascii="宋体" w:hAnsi="宋体" w:cs="宋体"/>
                <w:color w:val="auto"/>
              </w:rPr>
              <w:t>②</w:t>
            </w:r>
            <w:r>
              <w:rPr>
                <w:rFonts w:hint="eastAsia"/>
                <w:color w:val="auto"/>
              </w:rPr>
              <w:fldChar w:fldCharType="end"/>
            </w:r>
            <w:r>
              <w:rPr>
                <w:rFonts w:hint="eastAsia"/>
                <w:color w:val="auto"/>
              </w:rPr>
              <w:t>爆破参数</w:t>
            </w:r>
          </w:p>
          <w:p>
            <w:pPr>
              <w:pStyle w:val="47"/>
              <w:ind w:firstLine="480"/>
              <w:rPr>
                <w:color w:val="auto"/>
              </w:rPr>
            </w:pPr>
            <w:r>
              <w:rPr>
                <w:rFonts w:hint="eastAsia"/>
                <w:color w:val="auto"/>
              </w:rPr>
              <w:t>穿孔台阶高度为15m，钻孔直径150mm，孔距为5m、行距为4m，岩石台阶单耗为0.4kg/m</w:t>
            </w:r>
            <w:r>
              <w:rPr>
                <w:rFonts w:hint="eastAsia"/>
                <w:color w:val="auto"/>
                <w:vertAlign w:val="superscript"/>
              </w:rPr>
              <w:t>3</w:t>
            </w:r>
            <w:r>
              <w:rPr>
                <w:rFonts w:hint="eastAsia"/>
                <w:color w:val="auto"/>
              </w:rPr>
              <w:t>，岩石台阶布孔参数见下表。</w:t>
            </w:r>
          </w:p>
          <w:p>
            <w:pPr>
              <w:pStyle w:val="50"/>
              <w:numPr>
                <w:ilvl w:val="0"/>
                <w:numId w:val="2"/>
              </w:numPr>
              <w:snapToGrid w:val="0"/>
              <w:spacing w:line="240" w:lineRule="auto"/>
              <w:ind w:firstLineChars="0"/>
              <w:jc w:val="center"/>
              <w:rPr>
                <w:b/>
                <w:bCs/>
              </w:rPr>
            </w:pPr>
            <w:r>
              <w:rPr>
                <w:rFonts w:hint="eastAsia"/>
                <w:b/>
                <w:bCs/>
              </w:rPr>
              <w:t>爆破参数表</w:t>
            </w:r>
          </w:p>
          <w:tbl>
            <w:tblPr>
              <w:tblStyle w:val="22"/>
              <w:tblW w:w="88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6"/>
              <w:gridCol w:w="4027"/>
              <w:gridCol w:w="1261"/>
              <w:gridCol w:w="23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blHeader/>
              </w:trPr>
              <w:tc>
                <w:tcPr>
                  <w:tcW w:w="1236" w:type="dxa"/>
                  <w:shd w:val="clear" w:color="auto" w:fill="auto"/>
                  <w:vAlign w:val="center"/>
                </w:tcPr>
                <w:p>
                  <w:pPr>
                    <w:spacing w:line="360" w:lineRule="exact"/>
                    <w:jc w:val="center"/>
                    <w:rPr>
                      <w:kern w:val="0"/>
                    </w:rPr>
                  </w:pPr>
                  <w:r>
                    <w:rPr>
                      <w:rFonts w:hint="eastAsia"/>
                      <w:kern w:val="0"/>
                    </w:rPr>
                    <w:t>序号</w:t>
                  </w:r>
                </w:p>
              </w:tc>
              <w:tc>
                <w:tcPr>
                  <w:tcW w:w="4027" w:type="dxa"/>
                  <w:shd w:val="clear" w:color="auto" w:fill="auto"/>
                  <w:vAlign w:val="center"/>
                </w:tcPr>
                <w:p>
                  <w:pPr>
                    <w:spacing w:line="360" w:lineRule="exact"/>
                    <w:jc w:val="center"/>
                    <w:rPr>
                      <w:kern w:val="0"/>
                    </w:rPr>
                  </w:pPr>
                  <w:r>
                    <w:rPr>
                      <w:rFonts w:hint="eastAsia"/>
                      <w:kern w:val="0"/>
                    </w:rPr>
                    <w:t>名    称</w:t>
                  </w:r>
                </w:p>
              </w:tc>
              <w:tc>
                <w:tcPr>
                  <w:tcW w:w="1261" w:type="dxa"/>
                  <w:shd w:val="clear" w:color="auto" w:fill="auto"/>
                  <w:vAlign w:val="center"/>
                </w:tcPr>
                <w:p>
                  <w:pPr>
                    <w:spacing w:line="360" w:lineRule="exact"/>
                    <w:jc w:val="center"/>
                    <w:rPr>
                      <w:kern w:val="0"/>
                    </w:rPr>
                  </w:pPr>
                  <w:r>
                    <w:rPr>
                      <w:rFonts w:hint="eastAsia"/>
                      <w:kern w:val="0"/>
                    </w:rPr>
                    <w:t>单位</w:t>
                  </w:r>
                </w:p>
              </w:tc>
              <w:tc>
                <w:tcPr>
                  <w:tcW w:w="2358" w:type="dxa"/>
                  <w:shd w:val="clear" w:color="auto" w:fill="auto"/>
                  <w:vAlign w:val="center"/>
                </w:tcPr>
                <w:p>
                  <w:pPr>
                    <w:spacing w:line="360" w:lineRule="exact"/>
                    <w:jc w:val="center"/>
                    <w:rPr>
                      <w:kern w:val="0"/>
                    </w:rPr>
                  </w:pPr>
                  <w:r>
                    <w:rPr>
                      <w:rFonts w:hint="eastAsia"/>
                      <w:kern w:val="0"/>
                    </w:rPr>
                    <w:t>爆破参数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1</w:t>
                  </w:r>
                </w:p>
              </w:tc>
              <w:tc>
                <w:tcPr>
                  <w:tcW w:w="4027" w:type="dxa"/>
                  <w:shd w:val="clear" w:color="auto" w:fill="auto"/>
                  <w:vAlign w:val="center"/>
                </w:tcPr>
                <w:p>
                  <w:pPr>
                    <w:spacing w:line="360" w:lineRule="exact"/>
                    <w:jc w:val="center"/>
                    <w:rPr>
                      <w:kern w:val="0"/>
                    </w:rPr>
                  </w:pPr>
                  <w:r>
                    <w:rPr>
                      <w:rFonts w:hint="eastAsia"/>
                      <w:kern w:val="0"/>
                    </w:rPr>
                    <w:t>穿孔台阶高度</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2</w:t>
                  </w:r>
                </w:p>
              </w:tc>
              <w:tc>
                <w:tcPr>
                  <w:tcW w:w="4027" w:type="dxa"/>
                  <w:shd w:val="clear" w:color="auto" w:fill="auto"/>
                  <w:vAlign w:val="center"/>
                </w:tcPr>
                <w:p>
                  <w:pPr>
                    <w:spacing w:line="360" w:lineRule="exact"/>
                    <w:jc w:val="center"/>
                    <w:rPr>
                      <w:kern w:val="0"/>
                    </w:rPr>
                  </w:pPr>
                  <w:r>
                    <w:rPr>
                      <w:rFonts w:hint="eastAsia"/>
                      <w:kern w:val="0"/>
                    </w:rPr>
                    <w:t>台阶坡面角</w:t>
                  </w:r>
                </w:p>
              </w:tc>
              <w:tc>
                <w:tcPr>
                  <w:tcW w:w="1261" w:type="dxa"/>
                  <w:shd w:val="clear" w:color="auto" w:fill="auto"/>
                  <w:vAlign w:val="center"/>
                </w:tcPr>
                <w:p>
                  <w:pPr>
                    <w:spacing w:line="360" w:lineRule="exact"/>
                    <w:jc w:val="center"/>
                    <w:rPr>
                      <w:kern w:val="0"/>
                    </w:rPr>
                  </w:pPr>
                  <w:r>
                    <w:rPr>
                      <w:rFonts w:hint="eastAsia"/>
                      <w:kern w:val="0"/>
                    </w:rPr>
                    <w:t>°</w:t>
                  </w:r>
                </w:p>
              </w:tc>
              <w:tc>
                <w:tcPr>
                  <w:tcW w:w="2358" w:type="dxa"/>
                  <w:shd w:val="clear" w:color="auto" w:fill="auto"/>
                  <w:vAlign w:val="center"/>
                </w:tcPr>
                <w:p>
                  <w:pPr>
                    <w:spacing w:line="360" w:lineRule="exact"/>
                    <w:jc w:val="center"/>
                    <w:rPr>
                      <w:kern w:val="0"/>
                    </w:rPr>
                  </w:pPr>
                  <w:r>
                    <w:rPr>
                      <w:rFonts w:hint="eastAsia"/>
                      <w:kern w:val="0"/>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3</w:t>
                  </w:r>
                </w:p>
              </w:tc>
              <w:tc>
                <w:tcPr>
                  <w:tcW w:w="4027" w:type="dxa"/>
                  <w:shd w:val="clear" w:color="auto" w:fill="auto"/>
                  <w:vAlign w:val="center"/>
                </w:tcPr>
                <w:p>
                  <w:pPr>
                    <w:spacing w:line="360" w:lineRule="exact"/>
                    <w:jc w:val="center"/>
                    <w:rPr>
                      <w:kern w:val="0"/>
                    </w:rPr>
                  </w:pPr>
                  <w:r>
                    <w:rPr>
                      <w:rFonts w:hint="eastAsia"/>
                      <w:kern w:val="0"/>
                    </w:rPr>
                    <w:t>钻孔水平面夹角</w:t>
                  </w:r>
                </w:p>
              </w:tc>
              <w:tc>
                <w:tcPr>
                  <w:tcW w:w="1261" w:type="dxa"/>
                  <w:shd w:val="clear" w:color="auto" w:fill="auto"/>
                  <w:vAlign w:val="center"/>
                </w:tcPr>
                <w:p>
                  <w:pPr>
                    <w:spacing w:line="360" w:lineRule="exact"/>
                    <w:jc w:val="center"/>
                    <w:rPr>
                      <w:kern w:val="0"/>
                    </w:rPr>
                  </w:pPr>
                  <w:r>
                    <w:rPr>
                      <w:rFonts w:hint="eastAsia"/>
                      <w:kern w:val="0"/>
                    </w:rPr>
                    <w:t>°</w:t>
                  </w:r>
                </w:p>
              </w:tc>
              <w:tc>
                <w:tcPr>
                  <w:tcW w:w="2358" w:type="dxa"/>
                  <w:shd w:val="clear" w:color="auto" w:fill="auto"/>
                  <w:vAlign w:val="center"/>
                </w:tcPr>
                <w:p>
                  <w:pPr>
                    <w:spacing w:line="360" w:lineRule="exact"/>
                    <w:jc w:val="center"/>
                    <w:rPr>
                      <w:kern w:val="0"/>
                    </w:rPr>
                  </w:pPr>
                  <w:r>
                    <w:rPr>
                      <w:rFonts w:hint="eastAsia"/>
                      <w:kern w:val="0"/>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exact"/>
              </w:trPr>
              <w:tc>
                <w:tcPr>
                  <w:tcW w:w="1236" w:type="dxa"/>
                  <w:shd w:val="clear" w:color="auto" w:fill="auto"/>
                  <w:vAlign w:val="center"/>
                </w:tcPr>
                <w:p>
                  <w:pPr>
                    <w:spacing w:line="360" w:lineRule="exact"/>
                    <w:jc w:val="center"/>
                    <w:rPr>
                      <w:kern w:val="0"/>
                    </w:rPr>
                  </w:pPr>
                  <w:r>
                    <w:rPr>
                      <w:rFonts w:hint="eastAsia"/>
                      <w:kern w:val="0"/>
                    </w:rPr>
                    <w:t>4</w:t>
                  </w:r>
                </w:p>
              </w:tc>
              <w:tc>
                <w:tcPr>
                  <w:tcW w:w="4027" w:type="dxa"/>
                  <w:shd w:val="clear" w:color="auto" w:fill="auto"/>
                  <w:vAlign w:val="center"/>
                </w:tcPr>
                <w:p>
                  <w:pPr>
                    <w:spacing w:line="360" w:lineRule="exact"/>
                    <w:jc w:val="center"/>
                    <w:rPr>
                      <w:kern w:val="0"/>
                    </w:rPr>
                  </w:pPr>
                  <w:r>
                    <w:rPr>
                      <w:rFonts w:hint="eastAsia"/>
                      <w:kern w:val="0"/>
                    </w:rPr>
                    <w:t>采掘带宽度</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5</w:t>
                  </w:r>
                </w:p>
              </w:tc>
              <w:tc>
                <w:tcPr>
                  <w:tcW w:w="4027" w:type="dxa"/>
                  <w:shd w:val="clear" w:color="auto" w:fill="auto"/>
                  <w:vAlign w:val="center"/>
                </w:tcPr>
                <w:p>
                  <w:pPr>
                    <w:spacing w:line="360" w:lineRule="exact"/>
                    <w:jc w:val="center"/>
                    <w:rPr>
                      <w:kern w:val="0"/>
                    </w:rPr>
                  </w:pPr>
                  <w:r>
                    <w:rPr>
                      <w:rFonts w:hint="eastAsia"/>
                      <w:kern w:val="0"/>
                    </w:rPr>
                    <w:t>底盘抵抗线</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6</w:t>
                  </w:r>
                </w:p>
              </w:tc>
              <w:tc>
                <w:tcPr>
                  <w:tcW w:w="4027" w:type="dxa"/>
                  <w:shd w:val="clear" w:color="auto" w:fill="auto"/>
                  <w:vAlign w:val="center"/>
                </w:tcPr>
                <w:p>
                  <w:pPr>
                    <w:spacing w:line="360" w:lineRule="exact"/>
                    <w:jc w:val="center"/>
                    <w:rPr>
                      <w:kern w:val="0"/>
                    </w:rPr>
                  </w:pPr>
                  <w:r>
                    <w:rPr>
                      <w:rFonts w:hint="eastAsia"/>
                      <w:kern w:val="0"/>
                    </w:rPr>
                    <w:t>钻孔直径</w:t>
                  </w:r>
                </w:p>
              </w:tc>
              <w:tc>
                <w:tcPr>
                  <w:tcW w:w="1261" w:type="dxa"/>
                  <w:shd w:val="clear" w:color="auto" w:fill="auto"/>
                  <w:vAlign w:val="center"/>
                </w:tcPr>
                <w:p>
                  <w:pPr>
                    <w:spacing w:line="360" w:lineRule="exact"/>
                    <w:jc w:val="center"/>
                    <w:rPr>
                      <w:kern w:val="0"/>
                    </w:rPr>
                  </w:pPr>
                  <w:r>
                    <w:rPr>
                      <w:rFonts w:hint="eastAsia"/>
                      <w:kern w:val="0"/>
                    </w:rPr>
                    <w:t>mm</w:t>
                  </w:r>
                </w:p>
              </w:tc>
              <w:tc>
                <w:tcPr>
                  <w:tcW w:w="2358" w:type="dxa"/>
                  <w:shd w:val="clear" w:color="auto" w:fill="auto"/>
                  <w:vAlign w:val="center"/>
                </w:tcPr>
                <w:p>
                  <w:pPr>
                    <w:spacing w:line="360" w:lineRule="exact"/>
                    <w:jc w:val="center"/>
                    <w:rPr>
                      <w:kern w:val="0"/>
                    </w:rPr>
                  </w:pPr>
                  <w:r>
                    <w:rPr>
                      <w:rFonts w:hint="eastAsia"/>
                      <w:kern w:val="0"/>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7</w:t>
                  </w:r>
                </w:p>
              </w:tc>
              <w:tc>
                <w:tcPr>
                  <w:tcW w:w="4027" w:type="dxa"/>
                  <w:shd w:val="clear" w:color="auto" w:fill="auto"/>
                  <w:vAlign w:val="center"/>
                </w:tcPr>
                <w:p>
                  <w:pPr>
                    <w:spacing w:line="360" w:lineRule="exact"/>
                    <w:jc w:val="center"/>
                    <w:rPr>
                      <w:kern w:val="0"/>
                    </w:rPr>
                  </w:pPr>
                  <w:r>
                    <w:rPr>
                      <w:rFonts w:hint="eastAsia"/>
                      <w:kern w:val="0"/>
                    </w:rPr>
                    <w:t>边眼距</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8</w:t>
                  </w:r>
                </w:p>
              </w:tc>
              <w:tc>
                <w:tcPr>
                  <w:tcW w:w="4027" w:type="dxa"/>
                  <w:shd w:val="clear" w:color="auto" w:fill="auto"/>
                  <w:vAlign w:val="center"/>
                </w:tcPr>
                <w:p>
                  <w:pPr>
                    <w:spacing w:line="360" w:lineRule="exact"/>
                    <w:jc w:val="center"/>
                    <w:rPr>
                      <w:kern w:val="0"/>
                    </w:rPr>
                  </w:pPr>
                  <w:r>
                    <w:rPr>
                      <w:rFonts w:hint="eastAsia"/>
                      <w:kern w:val="0"/>
                    </w:rPr>
                    <w:t>孔距</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exact"/>
              </w:trPr>
              <w:tc>
                <w:tcPr>
                  <w:tcW w:w="1236" w:type="dxa"/>
                  <w:shd w:val="clear" w:color="auto" w:fill="auto"/>
                  <w:vAlign w:val="center"/>
                </w:tcPr>
                <w:p>
                  <w:pPr>
                    <w:spacing w:line="360" w:lineRule="exact"/>
                    <w:jc w:val="center"/>
                    <w:rPr>
                      <w:kern w:val="0"/>
                    </w:rPr>
                  </w:pPr>
                  <w:r>
                    <w:rPr>
                      <w:rFonts w:hint="eastAsia"/>
                      <w:kern w:val="0"/>
                    </w:rPr>
                    <w:t>9</w:t>
                  </w:r>
                </w:p>
              </w:tc>
              <w:tc>
                <w:tcPr>
                  <w:tcW w:w="4027" w:type="dxa"/>
                  <w:shd w:val="clear" w:color="auto" w:fill="auto"/>
                  <w:vAlign w:val="center"/>
                </w:tcPr>
                <w:p>
                  <w:pPr>
                    <w:spacing w:line="360" w:lineRule="exact"/>
                    <w:jc w:val="center"/>
                    <w:rPr>
                      <w:kern w:val="0"/>
                    </w:rPr>
                  </w:pPr>
                  <w:r>
                    <w:rPr>
                      <w:rFonts w:hint="eastAsia"/>
                      <w:kern w:val="0"/>
                    </w:rPr>
                    <w:t>行距</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10</w:t>
                  </w:r>
                </w:p>
              </w:tc>
              <w:tc>
                <w:tcPr>
                  <w:tcW w:w="4027" w:type="dxa"/>
                  <w:shd w:val="clear" w:color="auto" w:fill="auto"/>
                  <w:vAlign w:val="center"/>
                </w:tcPr>
                <w:p>
                  <w:pPr>
                    <w:spacing w:line="360" w:lineRule="exact"/>
                    <w:jc w:val="center"/>
                    <w:rPr>
                      <w:kern w:val="0"/>
                    </w:rPr>
                  </w:pPr>
                  <w:r>
                    <w:rPr>
                      <w:rFonts w:hint="eastAsia"/>
                      <w:kern w:val="0"/>
                    </w:rPr>
                    <w:t>超深</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11</w:t>
                  </w:r>
                </w:p>
              </w:tc>
              <w:tc>
                <w:tcPr>
                  <w:tcW w:w="4027" w:type="dxa"/>
                  <w:shd w:val="clear" w:color="auto" w:fill="auto"/>
                  <w:vAlign w:val="center"/>
                </w:tcPr>
                <w:p>
                  <w:pPr>
                    <w:spacing w:line="360" w:lineRule="exact"/>
                    <w:jc w:val="center"/>
                    <w:rPr>
                      <w:kern w:val="0"/>
                    </w:rPr>
                  </w:pPr>
                  <w:r>
                    <w:rPr>
                      <w:rFonts w:hint="eastAsia"/>
                      <w:kern w:val="0"/>
                    </w:rPr>
                    <w:t>孔深</w:t>
                  </w:r>
                </w:p>
              </w:tc>
              <w:tc>
                <w:tcPr>
                  <w:tcW w:w="1261" w:type="dxa"/>
                  <w:shd w:val="clear" w:color="auto" w:fill="auto"/>
                  <w:vAlign w:val="center"/>
                </w:tcPr>
                <w:p>
                  <w:pPr>
                    <w:spacing w:line="360" w:lineRule="exact"/>
                    <w:jc w:val="center"/>
                    <w:rPr>
                      <w:kern w:val="0"/>
                    </w:rPr>
                  </w:pP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12</w:t>
                  </w:r>
                </w:p>
              </w:tc>
              <w:tc>
                <w:tcPr>
                  <w:tcW w:w="4027" w:type="dxa"/>
                  <w:shd w:val="clear" w:color="auto" w:fill="auto"/>
                  <w:vAlign w:val="center"/>
                </w:tcPr>
                <w:p>
                  <w:pPr>
                    <w:spacing w:line="360" w:lineRule="exact"/>
                    <w:jc w:val="center"/>
                    <w:rPr>
                      <w:kern w:val="0"/>
                    </w:rPr>
                  </w:pPr>
                  <w:r>
                    <w:rPr>
                      <w:rFonts w:hint="eastAsia"/>
                      <w:kern w:val="0"/>
                    </w:rPr>
                    <w:t>炸药单耗</w:t>
                  </w:r>
                </w:p>
              </w:tc>
              <w:tc>
                <w:tcPr>
                  <w:tcW w:w="1261" w:type="dxa"/>
                  <w:shd w:val="clear" w:color="auto" w:fill="auto"/>
                  <w:vAlign w:val="center"/>
                </w:tcPr>
                <w:p>
                  <w:pPr>
                    <w:spacing w:line="360" w:lineRule="exact"/>
                    <w:jc w:val="center"/>
                    <w:rPr>
                      <w:kern w:val="0"/>
                    </w:rPr>
                  </w:pPr>
                  <w:r>
                    <w:rPr>
                      <w:rFonts w:hint="eastAsia"/>
                      <w:kern w:val="0"/>
                    </w:rPr>
                    <w:t>kg/m</w:t>
                  </w:r>
                  <w:r>
                    <w:rPr>
                      <w:rFonts w:hint="eastAsia"/>
                      <w:kern w:val="0"/>
                      <w:vertAlign w:val="superscript"/>
                    </w:rPr>
                    <w:t>3</w:t>
                  </w:r>
                </w:p>
              </w:tc>
              <w:tc>
                <w:tcPr>
                  <w:tcW w:w="2358" w:type="dxa"/>
                  <w:shd w:val="clear" w:color="auto" w:fill="auto"/>
                  <w:vAlign w:val="center"/>
                </w:tcPr>
                <w:p>
                  <w:pPr>
                    <w:spacing w:line="360" w:lineRule="exact"/>
                    <w:jc w:val="center"/>
                    <w:rPr>
                      <w:kern w:val="0"/>
                    </w:rPr>
                  </w:pPr>
                  <w:r>
                    <w:rPr>
                      <w:rFonts w:hint="eastAsia"/>
                      <w:kern w:val="0"/>
                    </w:rPr>
                    <w:t>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13</w:t>
                  </w:r>
                </w:p>
              </w:tc>
              <w:tc>
                <w:tcPr>
                  <w:tcW w:w="4027" w:type="dxa"/>
                  <w:shd w:val="clear" w:color="auto" w:fill="auto"/>
                  <w:vAlign w:val="center"/>
                </w:tcPr>
                <w:p>
                  <w:pPr>
                    <w:spacing w:line="360" w:lineRule="exact"/>
                    <w:jc w:val="center"/>
                    <w:rPr>
                      <w:kern w:val="0"/>
                    </w:rPr>
                  </w:pPr>
                  <w:r>
                    <w:rPr>
                      <w:rFonts w:hint="eastAsia"/>
                      <w:kern w:val="0"/>
                    </w:rPr>
                    <w:t>每孔爆破量</w:t>
                  </w:r>
                </w:p>
              </w:tc>
              <w:tc>
                <w:tcPr>
                  <w:tcW w:w="1261" w:type="dxa"/>
                  <w:shd w:val="clear" w:color="auto" w:fill="auto"/>
                  <w:vAlign w:val="center"/>
                </w:tcPr>
                <w:p>
                  <w:pPr>
                    <w:spacing w:line="360" w:lineRule="exact"/>
                    <w:jc w:val="center"/>
                    <w:rPr>
                      <w:kern w:val="0"/>
                    </w:rPr>
                  </w:pPr>
                  <w:r>
                    <w:rPr>
                      <w:rFonts w:hint="eastAsia"/>
                      <w:kern w:val="0"/>
                    </w:rPr>
                    <w:t>m</w:t>
                  </w:r>
                  <w:r>
                    <w:rPr>
                      <w:rFonts w:hint="eastAsia"/>
                      <w:kern w:val="0"/>
                      <w:vertAlign w:val="superscript"/>
                    </w:rPr>
                    <w:t>3</w:t>
                  </w:r>
                </w:p>
              </w:tc>
              <w:tc>
                <w:tcPr>
                  <w:tcW w:w="2358" w:type="dxa"/>
                  <w:shd w:val="clear" w:color="auto" w:fill="auto"/>
                  <w:vAlign w:val="center"/>
                </w:tcPr>
                <w:p>
                  <w:pPr>
                    <w:spacing w:line="360" w:lineRule="exact"/>
                    <w:jc w:val="center"/>
                    <w:rPr>
                      <w:kern w:val="0"/>
                    </w:rPr>
                  </w:pPr>
                  <w:r>
                    <w:rPr>
                      <w:rFonts w:hint="eastAsia"/>
                      <w:kern w:val="0"/>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14</w:t>
                  </w:r>
                </w:p>
              </w:tc>
              <w:tc>
                <w:tcPr>
                  <w:tcW w:w="4027" w:type="dxa"/>
                  <w:shd w:val="clear" w:color="auto" w:fill="auto"/>
                  <w:vAlign w:val="center"/>
                </w:tcPr>
                <w:p>
                  <w:pPr>
                    <w:spacing w:line="360" w:lineRule="exact"/>
                    <w:jc w:val="center"/>
                    <w:rPr>
                      <w:kern w:val="0"/>
                    </w:rPr>
                  </w:pPr>
                  <w:r>
                    <w:rPr>
                      <w:rFonts w:hint="eastAsia"/>
                      <w:kern w:val="0"/>
                    </w:rPr>
                    <w:t>每孔装药量</w:t>
                  </w:r>
                </w:p>
              </w:tc>
              <w:tc>
                <w:tcPr>
                  <w:tcW w:w="1261" w:type="dxa"/>
                  <w:shd w:val="clear" w:color="auto" w:fill="auto"/>
                  <w:vAlign w:val="center"/>
                </w:tcPr>
                <w:p>
                  <w:pPr>
                    <w:spacing w:line="360" w:lineRule="exact"/>
                    <w:jc w:val="center"/>
                    <w:rPr>
                      <w:kern w:val="0"/>
                    </w:rPr>
                  </w:pPr>
                  <w:r>
                    <w:rPr>
                      <w:rFonts w:hint="eastAsia"/>
                      <w:kern w:val="0"/>
                    </w:rPr>
                    <w:t>kg</w:t>
                  </w:r>
                </w:p>
              </w:tc>
              <w:tc>
                <w:tcPr>
                  <w:tcW w:w="2358" w:type="dxa"/>
                  <w:shd w:val="clear" w:color="auto" w:fill="auto"/>
                  <w:vAlign w:val="center"/>
                </w:tcPr>
                <w:p>
                  <w:pPr>
                    <w:spacing w:line="360" w:lineRule="exact"/>
                    <w:jc w:val="center"/>
                    <w:rPr>
                      <w:kern w:val="0"/>
                    </w:rPr>
                  </w:pPr>
                  <w:r>
                    <w:rPr>
                      <w:rFonts w:hint="eastAsia"/>
                      <w:kern w:val="0"/>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trPr>
              <w:tc>
                <w:tcPr>
                  <w:tcW w:w="1236" w:type="dxa"/>
                  <w:shd w:val="clear" w:color="auto" w:fill="auto"/>
                  <w:vAlign w:val="center"/>
                </w:tcPr>
                <w:p>
                  <w:pPr>
                    <w:spacing w:line="360" w:lineRule="exact"/>
                    <w:jc w:val="center"/>
                    <w:rPr>
                      <w:kern w:val="0"/>
                    </w:rPr>
                  </w:pPr>
                  <w:r>
                    <w:rPr>
                      <w:rFonts w:hint="eastAsia"/>
                      <w:kern w:val="0"/>
                    </w:rPr>
                    <w:t>15</w:t>
                  </w:r>
                </w:p>
              </w:tc>
              <w:tc>
                <w:tcPr>
                  <w:tcW w:w="4027" w:type="dxa"/>
                  <w:shd w:val="clear" w:color="auto" w:fill="auto"/>
                  <w:vAlign w:val="center"/>
                </w:tcPr>
                <w:p>
                  <w:pPr>
                    <w:spacing w:line="360" w:lineRule="exact"/>
                    <w:jc w:val="center"/>
                    <w:rPr>
                      <w:kern w:val="0"/>
                    </w:rPr>
                  </w:pPr>
                  <w:r>
                    <w:rPr>
                      <w:rFonts w:hint="eastAsia"/>
                      <w:kern w:val="0"/>
                    </w:rPr>
                    <w:t>爆破率</w:t>
                  </w:r>
                </w:p>
              </w:tc>
              <w:tc>
                <w:tcPr>
                  <w:tcW w:w="1261" w:type="dxa"/>
                  <w:shd w:val="clear" w:color="auto" w:fill="auto"/>
                  <w:vAlign w:val="center"/>
                </w:tcPr>
                <w:p>
                  <w:pPr>
                    <w:spacing w:line="360" w:lineRule="exact"/>
                    <w:jc w:val="center"/>
                    <w:rPr>
                      <w:kern w:val="0"/>
                      <w:vertAlign w:val="superscript"/>
                    </w:rPr>
                  </w:pPr>
                  <w:r>
                    <w:rPr>
                      <w:rFonts w:hint="eastAsia"/>
                      <w:kern w:val="0"/>
                    </w:rPr>
                    <w:t>m</w:t>
                  </w:r>
                  <w:r>
                    <w:rPr>
                      <w:rFonts w:hint="eastAsia"/>
                      <w:kern w:val="0"/>
                      <w:vertAlign w:val="superscript"/>
                    </w:rPr>
                    <w:t>3</w:t>
                  </w:r>
                  <w:r>
                    <w:rPr>
                      <w:rFonts w:hint="eastAsia"/>
                      <w:kern w:val="0"/>
                    </w:rPr>
                    <w:t>/m</w:t>
                  </w:r>
                </w:p>
              </w:tc>
              <w:tc>
                <w:tcPr>
                  <w:tcW w:w="2358" w:type="dxa"/>
                  <w:shd w:val="clear" w:color="auto" w:fill="auto"/>
                  <w:vAlign w:val="center"/>
                </w:tcPr>
                <w:p>
                  <w:pPr>
                    <w:spacing w:line="360" w:lineRule="exact"/>
                    <w:jc w:val="center"/>
                    <w:rPr>
                      <w:kern w:val="0"/>
                    </w:rPr>
                  </w:pPr>
                  <w:r>
                    <w:rPr>
                      <w:rFonts w:hint="eastAsia"/>
                      <w:kern w:val="0"/>
                    </w:rPr>
                    <w:t>17.6</w:t>
                  </w:r>
                </w:p>
              </w:tc>
            </w:tr>
          </w:tbl>
          <w:p>
            <w:pPr>
              <w:pStyle w:val="47"/>
              <w:ind w:firstLine="480"/>
              <w:rPr>
                <w:color w:val="auto"/>
              </w:rPr>
            </w:pPr>
            <w:r>
              <w:rPr>
                <w:rFonts w:hint="eastAsia"/>
                <w:color w:val="auto"/>
              </w:rPr>
              <w:fldChar w:fldCharType="begin"/>
            </w:r>
            <w:r>
              <w:rPr>
                <w:rFonts w:hint="eastAsia"/>
                <w:color w:val="auto"/>
              </w:rPr>
              <w:instrText xml:space="preserve"> = 3 \* GB3 </w:instrText>
            </w:r>
            <w:r>
              <w:rPr>
                <w:rFonts w:hint="eastAsia"/>
                <w:color w:val="auto"/>
              </w:rPr>
              <w:fldChar w:fldCharType="separate"/>
            </w:r>
            <w:r>
              <w:rPr>
                <w:rFonts w:hint="eastAsia" w:ascii="宋体" w:hAnsi="宋体" w:cs="宋体"/>
                <w:color w:val="auto"/>
              </w:rPr>
              <w:t>③</w:t>
            </w:r>
            <w:r>
              <w:rPr>
                <w:rFonts w:hint="eastAsia"/>
                <w:color w:val="auto"/>
              </w:rPr>
              <w:fldChar w:fldCharType="end"/>
            </w:r>
            <w:r>
              <w:rPr>
                <w:rFonts w:hint="eastAsia"/>
                <w:color w:val="auto"/>
              </w:rPr>
              <w:t>起爆方法及起爆顺序</w:t>
            </w:r>
          </w:p>
          <w:p>
            <w:pPr>
              <w:pStyle w:val="47"/>
              <w:ind w:firstLine="480"/>
              <w:rPr>
                <w:color w:val="auto"/>
              </w:rPr>
            </w:pPr>
            <w:r>
              <w:rPr>
                <w:rFonts w:hint="eastAsia"/>
                <w:color w:val="auto"/>
              </w:rPr>
              <w:t>起爆顺序为前排至后排依次起爆。矿、岩石台阶的起爆方式和起爆顺序相同。首先，激发枪激发导爆管，行间利用毫秒雷管控制爆破时间，最后顺发雷管激发药包达到微差起爆的效果，采用导爆管起爆方法。</w:t>
            </w:r>
          </w:p>
          <w:p>
            <w:pPr>
              <w:pStyle w:val="47"/>
              <w:ind w:firstLine="480"/>
              <w:rPr>
                <w:color w:val="auto"/>
              </w:rPr>
            </w:pPr>
            <w:r>
              <w:rPr>
                <w:rFonts w:hint="eastAsia"/>
                <w:color w:val="auto"/>
              </w:rPr>
              <w:t>（5）露天开采工艺流程及产污环节</w:t>
            </w:r>
          </w:p>
          <w:p>
            <w:pPr>
              <w:pStyle w:val="47"/>
              <w:ind w:firstLine="480"/>
              <w:rPr>
                <w:color w:val="auto"/>
              </w:rPr>
            </w:pPr>
            <w:r>
              <w:rPr>
                <w:rFonts w:hint="eastAsia"/>
                <w:color w:val="auto"/>
              </w:rPr>
              <w:t>露天采开主要产污环节：</w:t>
            </w:r>
          </w:p>
          <w:p>
            <w:pPr>
              <w:pStyle w:val="47"/>
              <w:ind w:firstLine="480"/>
              <w:rPr>
                <w:color w:val="auto"/>
              </w:rPr>
            </w:pPr>
            <w:r>
              <w:rPr>
                <w:rFonts w:hint="eastAsia"/>
                <w:color w:val="auto"/>
              </w:rPr>
              <w:t>废气：主要为扬尘、爆破废气CO、氮氧化物和挖掘机、装载机、卡车、推土机、加油车等产生的车辆尾气。</w:t>
            </w:r>
          </w:p>
          <w:p>
            <w:pPr>
              <w:pStyle w:val="47"/>
              <w:ind w:firstLine="480"/>
              <w:rPr>
                <w:color w:val="auto"/>
              </w:rPr>
            </w:pPr>
            <w:r>
              <w:rPr>
                <w:rFonts w:hint="eastAsia"/>
                <w:color w:val="auto"/>
              </w:rPr>
              <w:t>废水：项目运营期生产过程用水主要为洒水降尘用水、车辆冲洗用水，运营期主要为车辆冲洗过程产生冲洗废水和职工生活污水。</w:t>
            </w:r>
          </w:p>
          <w:p>
            <w:pPr>
              <w:pStyle w:val="47"/>
              <w:ind w:firstLine="480"/>
              <w:rPr>
                <w:color w:val="auto"/>
              </w:rPr>
            </w:pPr>
            <w:r>
              <w:rPr>
                <w:rFonts w:hint="eastAsia"/>
                <w:color w:val="auto"/>
              </w:rPr>
              <w:t>噪声：钻机、挖掘机、装载机、卡车、推土机、加油车及爆破噪声。</w:t>
            </w:r>
          </w:p>
          <w:p>
            <w:pPr>
              <w:pStyle w:val="47"/>
              <w:ind w:firstLine="480"/>
              <w:rPr>
                <w:color w:val="auto"/>
              </w:rPr>
            </w:pPr>
            <w:r>
              <w:rPr>
                <w:rFonts w:hint="eastAsia"/>
                <w:color w:val="auto"/>
              </w:rPr>
              <w:t>固废：表土及废石</w:t>
            </w:r>
          </w:p>
          <w:p>
            <w:pPr>
              <w:pStyle w:val="47"/>
              <w:ind w:firstLine="480"/>
              <w:rPr>
                <w:color w:val="auto"/>
              </w:rPr>
            </w:pPr>
            <w:r>
              <w:rPr>
                <w:rFonts w:hint="eastAsia"/>
                <w:color w:val="auto"/>
              </w:rPr>
              <w:t>（6）露天开采工艺流程产污环节见下图</w:t>
            </w:r>
          </w:p>
          <w:p>
            <w:pPr>
              <w:pStyle w:val="47"/>
              <w:ind w:firstLine="482"/>
              <w:rPr>
                <w:color w:val="auto"/>
              </w:rPr>
            </w:pPr>
            <w:r>
              <w:rPr>
                <w:b/>
                <w:bCs/>
                <w:color w:val="auto"/>
              </w:rPr>
              <w:pict>
                <v:shape id="_x0000_s1028" o:spid="_x0000_s1028" o:spt="75" type="#_x0000_t75" style="position:absolute;left:0pt;margin-left:8.5pt;margin-top:8.3pt;height:134.6pt;width:415.1pt;z-index:251675648;mso-width-relative:page;mso-height-relative:page;" o:ole="t" filled="f" coordsize="21600,21600">
                  <v:path/>
                  <v:fill on="f" focussize="0,0"/>
                  <v:stroke/>
                  <v:imagedata r:id="rId23" o:title=""/>
                  <o:lock v:ext="edit" aspectratio="t"/>
                </v:shape>
                <o:OLEObject Type="Embed" ProgID="Visio.Drawing.11" ShapeID="_x0000_s1028" DrawAspect="Content" ObjectID="_1468075725" r:id="rId22">
                  <o:LockedField>false</o:LockedField>
                </o:OLEObject>
              </w:pict>
            </w: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0" w:firstLineChars="0"/>
              <w:rPr>
                <w:color w:val="auto"/>
              </w:rPr>
            </w:pPr>
          </w:p>
          <w:p>
            <w:pPr>
              <w:spacing w:line="480" w:lineRule="exact"/>
              <w:ind w:firstLine="482" w:firstLineChars="200"/>
              <w:jc w:val="center"/>
              <w:rPr>
                <w:b/>
                <w:bCs/>
                <w:sz w:val="24"/>
              </w:rPr>
            </w:pPr>
            <w:r>
              <w:rPr>
                <w:rFonts w:hint="eastAsia"/>
                <w:b/>
                <w:bCs/>
                <w:sz w:val="24"/>
              </w:rPr>
              <w:t>图5  露天开采工艺流程产污环节</w:t>
            </w:r>
          </w:p>
          <w:p>
            <w:pPr>
              <w:pStyle w:val="47"/>
              <w:ind w:firstLine="482"/>
              <w:rPr>
                <w:b/>
                <w:bCs/>
                <w:color w:val="auto"/>
              </w:rPr>
            </w:pPr>
            <w:r>
              <w:rPr>
                <w:rFonts w:hint="eastAsia"/>
                <w:b/>
                <w:bCs/>
                <w:color w:val="auto"/>
              </w:rPr>
              <w:t>2、开采矿石加工生产工艺及产污环节</w:t>
            </w:r>
          </w:p>
          <w:p>
            <w:pPr>
              <w:pStyle w:val="47"/>
              <w:ind w:firstLine="480"/>
              <w:rPr>
                <w:color w:val="auto"/>
              </w:rPr>
            </w:pPr>
            <w:r>
              <w:rPr>
                <w:rFonts w:hint="eastAsia"/>
                <w:color w:val="auto"/>
              </w:rPr>
              <w:t>本矿开采的白云岩矿及建筑石料均需经筛分、破碎处理后才能销售处理。考虑本矿床矿层分离情况较好，白云岩与建筑石料色泽不同，少量白云岩含建筑石料可由汽车将矿石运至矿石储存场地后，人工分选白云岩及建筑石料。</w:t>
            </w:r>
          </w:p>
          <w:p>
            <w:pPr>
              <w:pStyle w:val="47"/>
              <w:ind w:firstLine="480"/>
              <w:rPr>
                <w:color w:val="auto"/>
              </w:rPr>
            </w:pPr>
            <w:r>
              <w:rPr>
                <w:rFonts w:hint="eastAsia"/>
                <w:color w:val="auto"/>
              </w:rPr>
              <w:t>根据开采后矿石及料石不同的产品用途，工业场地内建设两套筛分破碎系统，分别为白云岩矿石筛分破碎系统及建筑石料筛分破碎系统。矿区原矿从矿层由汽车运输运至筛分破碎工业场地进行处理。</w:t>
            </w:r>
          </w:p>
          <w:p>
            <w:pPr>
              <w:pStyle w:val="47"/>
              <w:ind w:firstLine="480"/>
              <w:rPr>
                <w:color w:val="auto"/>
              </w:rPr>
            </w:pPr>
            <w:r>
              <w:rPr>
                <w:rFonts w:hint="eastAsia"/>
                <w:color w:val="auto"/>
              </w:rPr>
              <w:t>（1）白云岩矿石筛分破碎系统</w:t>
            </w:r>
          </w:p>
          <w:p>
            <w:pPr>
              <w:pStyle w:val="47"/>
              <w:ind w:firstLine="480"/>
              <w:rPr>
                <w:color w:val="auto"/>
              </w:rPr>
            </w:pPr>
            <w:r>
              <w:rPr>
                <w:rFonts w:hint="eastAsia"/>
                <w:color w:val="auto"/>
              </w:rPr>
              <w:t>1）工艺方案</w:t>
            </w:r>
          </w:p>
          <w:p>
            <w:pPr>
              <w:pStyle w:val="47"/>
              <w:ind w:firstLine="480"/>
              <w:rPr>
                <w:color w:val="auto"/>
              </w:rPr>
            </w:pPr>
            <w:r>
              <w:rPr>
                <w:rFonts w:hint="eastAsia"/>
                <w:color w:val="auto"/>
              </w:rPr>
              <w:t>根据冶镁企业对矿石不同规格的要求，对白云岩矿产物筛分等级分别为0.5～1mm、1～25mm、25～40mm。</w:t>
            </w:r>
          </w:p>
          <w:p>
            <w:pPr>
              <w:pStyle w:val="47"/>
              <w:ind w:firstLine="480"/>
              <w:rPr>
                <w:color w:val="auto"/>
              </w:rPr>
            </w:pPr>
            <w:r>
              <w:rPr>
                <w:rFonts w:hint="eastAsia"/>
                <w:color w:val="auto"/>
              </w:rPr>
              <w:t>开采原矿石由汽车运至工业场地地势较高地段，将原矿石倒入三面围成仓斗内，经给料机将矿石经皮带机均匀给入颚式破碎机一级破碎，破碎后产品经皮带机运至反击破碎机二级破碎，破碎后产品经皮带机运至一级振动筛分级处理，分成0.5～1mm、1～25mm、25～40mm及≥40mm矿石，≥40mm矿石根据市场情况可直接销售，也可经皮带机运至反击破碎机进一步破碎，0.5～40mm产品经皮带机运至二级振动筛二次筛分，筛分成0.5～1mm、1～25mm、25～40mm三种产品。分级后矿石经汽车运至冶镁企业处理。</w:t>
            </w:r>
          </w:p>
          <w:p>
            <w:pPr>
              <w:spacing w:line="480" w:lineRule="exact"/>
              <w:ind w:firstLine="480" w:firstLineChars="200"/>
              <w:jc w:val="left"/>
              <w:rPr>
                <w:sz w:val="24"/>
              </w:rPr>
            </w:pPr>
            <w:r>
              <w:rPr>
                <w:rFonts w:hint="eastAsia"/>
                <w:sz w:val="24"/>
              </w:rPr>
              <w:t>2）工艺流程图</w:t>
            </w:r>
          </w:p>
          <w:p>
            <w:pPr>
              <w:spacing w:line="480" w:lineRule="exact"/>
              <w:ind w:firstLine="480" w:firstLineChars="200"/>
              <w:jc w:val="left"/>
              <w:rPr>
                <w:sz w:val="24"/>
              </w:rPr>
            </w:pPr>
            <w:r>
              <w:rPr>
                <w:rFonts w:hint="eastAsia"/>
                <w:sz w:val="24"/>
              </w:rPr>
              <w:t>白云岩矿石筛分破碎系统工艺流程及产污环节图见下图。</w:t>
            </w: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r>
              <w:rPr>
                <w:rFonts w:hint="eastAsia"/>
                <w:color w:val="auto"/>
              </w:rPr>
              <w:drawing>
                <wp:anchor distT="0" distB="0" distL="114300" distR="114300" simplePos="0" relativeHeight="251676672" behindDoc="0" locked="0" layoutInCell="1" allowOverlap="1">
                  <wp:simplePos x="0" y="0"/>
                  <wp:positionH relativeFrom="column">
                    <wp:posOffset>471170</wp:posOffset>
                  </wp:positionH>
                  <wp:positionV relativeFrom="paragraph">
                    <wp:posOffset>80010</wp:posOffset>
                  </wp:positionV>
                  <wp:extent cx="4632325" cy="5208270"/>
                  <wp:effectExtent l="0" t="0" r="0" b="0"/>
                  <wp:wrapNone/>
                  <wp:docPr id="6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32325" cy="5208270"/>
                          </a:xfrm>
                          <a:prstGeom prst="rect">
                            <a:avLst/>
                          </a:prstGeom>
                          <a:noFill/>
                          <a:ln>
                            <a:noFill/>
                          </a:ln>
                        </pic:spPr>
                      </pic:pic>
                    </a:graphicData>
                  </a:graphic>
                </wp:anchor>
              </w:drawing>
            </w: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0"/>
              <w:rPr>
                <w:color w:val="auto"/>
              </w:rPr>
            </w:pPr>
          </w:p>
          <w:p>
            <w:pPr>
              <w:pStyle w:val="47"/>
              <w:ind w:firstLine="482"/>
              <w:jc w:val="center"/>
              <w:rPr>
                <w:b/>
                <w:bCs/>
                <w:color w:val="auto"/>
              </w:rPr>
            </w:pPr>
            <w:r>
              <w:rPr>
                <w:rFonts w:hint="eastAsia"/>
                <w:b/>
                <w:bCs/>
                <w:color w:val="auto"/>
              </w:rPr>
              <w:t>图6  白云岩矿石筛分破碎系统工艺流程及产污环节图</w:t>
            </w:r>
          </w:p>
          <w:p>
            <w:pPr>
              <w:pStyle w:val="47"/>
              <w:ind w:firstLine="480"/>
              <w:rPr>
                <w:color w:val="auto"/>
              </w:rPr>
            </w:pPr>
            <w:r>
              <w:rPr>
                <w:rFonts w:hint="eastAsia"/>
                <w:color w:val="auto"/>
              </w:rPr>
              <w:t>（2）建筑石料筛分破碎系统</w:t>
            </w:r>
          </w:p>
          <w:p>
            <w:pPr>
              <w:pStyle w:val="47"/>
              <w:ind w:firstLine="480"/>
              <w:rPr>
                <w:color w:val="auto"/>
              </w:rPr>
            </w:pPr>
            <w:r>
              <w:rPr>
                <w:rFonts w:hint="eastAsia"/>
                <w:color w:val="auto"/>
              </w:rPr>
              <w:t>1）工艺方案</w:t>
            </w:r>
          </w:p>
          <w:p>
            <w:pPr>
              <w:pStyle w:val="47"/>
              <w:ind w:firstLine="480"/>
              <w:rPr>
                <w:color w:val="auto"/>
              </w:rPr>
            </w:pPr>
            <w:r>
              <w:rPr>
                <w:rFonts w:hint="eastAsia"/>
                <w:color w:val="auto"/>
              </w:rPr>
              <w:t>开采的建筑石料由汽车运至工业场地地势较高地段，将原建筑石料倒入三面围成仓斗内，经给料机将建筑石料均匀给入颚式破碎机、反击破碎机破碎，破碎后产品经推筛分级出10～20mm、20～30mm、≥30mm等产品，然后直接装车销售。增设一条皮带机，当小块建筑石料需求量大时，可将≥30mm产品经皮带机运至反击破碎机破碎，经推筛再一次分级后销售，可将≤10mm碎石经振动筛，制砂机制成0~5mm砂子外卖。</w:t>
            </w:r>
          </w:p>
          <w:p>
            <w:pPr>
              <w:pStyle w:val="47"/>
              <w:ind w:firstLine="480"/>
              <w:rPr>
                <w:color w:val="auto"/>
              </w:rPr>
            </w:pPr>
            <w:r>
              <w:rPr>
                <w:rFonts w:hint="eastAsia"/>
                <w:color w:val="auto"/>
              </w:rPr>
              <w:t>2）工艺流程图</w:t>
            </w:r>
          </w:p>
          <w:p>
            <w:pPr>
              <w:pStyle w:val="47"/>
              <w:ind w:firstLine="480"/>
              <w:rPr>
                <w:color w:val="auto"/>
              </w:rPr>
            </w:pPr>
            <w:r>
              <w:rPr>
                <w:rFonts w:hint="eastAsia"/>
                <w:color w:val="auto"/>
              </w:rPr>
              <w:t>建筑石料筛分破碎系统工艺流程图见下图。</w:t>
            </w:r>
          </w:p>
          <w:p>
            <w:pPr>
              <w:pStyle w:val="47"/>
              <w:ind w:firstLine="480"/>
              <w:rPr>
                <w:color w:val="auto"/>
              </w:rPr>
            </w:pPr>
            <w:r>
              <w:rPr>
                <w:rFonts w:hint="eastAsia"/>
                <w:color w:val="auto"/>
              </w:rPr>
              <w:drawing>
                <wp:anchor distT="0" distB="0" distL="114300" distR="114300" simplePos="0" relativeHeight="251677696" behindDoc="0" locked="0" layoutInCell="1" allowOverlap="1">
                  <wp:simplePos x="0" y="0"/>
                  <wp:positionH relativeFrom="column">
                    <wp:posOffset>-20320</wp:posOffset>
                  </wp:positionH>
                  <wp:positionV relativeFrom="paragraph">
                    <wp:posOffset>80010</wp:posOffset>
                  </wp:positionV>
                  <wp:extent cx="5485765" cy="4483735"/>
                  <wp:effectExtent l="0" t="0" r="0" b="0"/>
                  <wp:wrapNone/>
                  <wp:docPr id="6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5765" cy="4483735"/>
                          </a:xfrm>
                          <a:prstGeom prst="rect">
                            <a:avLst/>
                          </a:prstGeom>
                          <a:noFill/>
                          <a:ln>
                            <a:noFill/>
                          </a:ln>
                        </pic:spPr>
                      </pic:pic>
                    </a:graphicData>
                  </a:graphic>
                </wp:anchor>
              </w:drawing>
            </w:r>
          </w:p>
          <w:p>
            <w:pPr>
              <w:pStyle w:val="47"/>
              <w:ind w:firstLine="480"/>
              <w:rPr>
                <w:color w:val="auto"/>
              </w:rPr>
            </w:pPr>
          </w:p>
          <w:p>
            <w:pPr>
              <w:pStyle w:val="47"/>
              <w:ind w:firstLine="480"/>
              <w:rPr>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rPr>
                <w:b/>
                <w:bCs/>
                <w:color w:val="auto"/>
              </w:rPr>
            </w:pPr>
          </w:p>
          <w:p>
            <w:pPr>
              <w:pStyle w:val="47"/>
              <w:ind w:firstLine="482"/>
              <w:jc w:val="center"/>
              <w:rPr>
                <w:b/>
                <w:bCs/>
                <w:color w:val="auto"/>
              </w:rPr>
            </w:pPr>
            <w:r>
              <w:rPr>
                <w:rFonts w:hint="eastAsia"/>
                <w:b/>
                <w:bCs/>
                <w:color w:val="auto"/>
              </w:rPr>
              <w:t>图7  建筑石料筛分破碎系统工艺流程图</w:t>
            </w:r>
          </w:p>
          <w:p>
            <w:pPr>
              <w:pStyle w:val="47"/>
              <w:ind w:firstLine="480"/>
              <w:rPr>
                <w:rFonts w:ascii="等线" w:hAnsi="等线" w:eastAsia="等线"/>
                <w:b/>
                <w:bCs/>
                <w:color w:val="auto"/>
              </w:rPr>
            </w:pPr>
            <w:r>
              <w:rPr>
                <w:rFonts w:hint="eastAsia" w:ascii="等线" w:hAnsi="等线" w:eastAsia="等线"/>
                <w:b/>
                <w:bCs/>
                <w:color w:val="auto"/>
              </w:rPr>
              <w:t>3、运营期环境影响分析</w:t>
            </w:r>
          </w:p>
          <w:p>
            <w:pPr>
              <w:pStyle w:val="47"/>
              <w:ind w:firstLine="482"/>
              <w:rPr>
                <w:b/>
                <w:bCs/>
                <w:color w:val="auto"/>
              </w:rPr>
            </w:pPr>
            <w:r>
              <w:rPr>
                <w:rFonts w:hint="eastAsia"/>
                <w:b/>
                <w:bCs/>
                <w:color w:val="auto"/>
              </w:rPr>
              <w:t>（1）大气环境影响分析</w:t>
            </w:r>
          </w:p>
          <w:p>
            <w:pPr>
              <w:pStyle w:val="47"/>
              <w:ind w:firstLine="480"/>
              <w:rPr>
                <w:color w:val="auto"/>
              </w:rPr>
            </w:pPr>
            <w:r>
              <w:rPr>
                <w:rFonts w:hint="eastAsia"/>
                <w:color w:val="auto"/>
              </w:rPr>
              <w:t>露天开采废气主要为采掘场扬尘、运输扬尘、表土临时堆放场扬尘及工业场地碎石加工废气、成品堆场废气。</w:t>
            </w:r>
          </w:p>
          <w:p>
            <w:pPr>
              <w:pStyle w:val="47"/>
              <w:ind w:firstLine="480"/>
              <w:rPr>
                <w:color w:val="auto"/>
                <w:lang w:bidi="zh-CN"/>
              </w:rPr>
            </w:pPr>
            <w:r>
              <w:rPr>
                <w:rFonts w:hint="eastAsia"/>
                <w:color w:val="auto"/>
                <w:lang w:bidi="zh-CN"/>
              </w:rPr>
              <w:t>项目运营期无组织排放废气将形成2个面源，分别为开采过程作业面面源和表土临时堆放场面源。运营期将开采的白云岩原矿运输至生产加工区还会产生间歇排放的运输过程废气。</w:t>
            </w:r>
          </w:p>
          <w:p>
            <w:pPr>
              <w:pStyle w:val="47"/>
              <w:ind w:firstLine="480"/>
              <w:rPr>
                <w:color w:val="auto"/>
                <w:lang w:bidi="zh-CN"/>
              </w:rPr>
            </w:pPr>
            <w:r>
              <w:rPr>
                <w:rFonts w:hint="eastAsia"/>
                <w:color w:val="auto"/>
                <w:lang w:bidi="zh-CN"/>
              </w:rPr>
              <w:t>1）采掘场扬尘</w:t>
            </w:r>
          </w:p>
          <w:p>
            <w:pPr>
              <w:pStyle w:val="47"/>
              <w:ind w:firstLine="480"/>
              <w:rPr>
                <w:color w:val="auto"/>
                <w:lang w:bidi="zh-CN"/>
              </w:rPr>
            </w:pPr>
            <w:r>
              <w:rPr>
                <w:rFonts w:hint="eastAsia"/>
                <w:color w:val="auto"/>
                <w:lang w:bidi="zh-CN"/>
              </w:rPr>
              <w:t>采掘场扬尘主要在矿石作业生产过程中产生，主要产尘环节有：矿层穿孔起尘、爆破起尘、矿石装载起尘 、矿石运输过程中起尘 、物料倾卸起尘、转载起尘等。</w:t>
            </w:r>
          </w:p>
          <w:p>
            <w:pPr>
              <w:pStyle w:val="47"/>
              <w:ind w:firstLine="480"/>
              <w:rPr>
                <w:color w:val="auto"/>
                <w:lang w:bidi="zh-CN"/>
              </w:rPr>
            </w:pPr>
            <w:r>
              <w:rPr>
                <w:rFonts w:hint="eastAsia"/>
                <w:color w:val="auto"/>
                <w:lang w:bidi="zh-CN"/>
              </w:rPr>
              <w:fldChar w:fldCharType="begin"/>
            </w:r>
            <w:r>
              <w:rPr>
                <w:rFonts w:hint="eastAsia"/>
                <w:color w:val="auto"/>
                <w:lang w:bidi="zh-CN"/>
              </w:rPr>
              <w:instrText xml:space="preserve"> = 1 \* GB3 </w:instrText>
            </w:r>
            <w:r>
              <w:rPr>
                <w:rFonts w:hint="eastAsia"/>
                <w:color w:val="auto"/>
                <w:lang w:bidi="zh-CN"/>
              </w:rPr>
              <w:fldChar w:fldCharType="separate"/>
            </w:r>
            <w:r>
              <w:rPr>
                <w:rFonts w:hint="eastAsia" w:ascii="宋体" w:hAnsi="宋体" w:cs="宋体"/>
                <w:color w:val="auto"/>
                <w:lang w:bidi="zh-CN"/>
              </w:rPr>
              <w:t>①</w:t>
            </w:r>
            <w:r>
              <w:rPr>
                <w:rFonts w:hint="eastAsia"/>
                <w:color w:val="auto"/>
                <w:lang w:bidi="zh-CN"/>
              </w:rPr>
              <w:fldChar w:fldCharType="end"/>
            </w:r>
            <w:r>
              <w:rPr>
                <w:rFonts w:hint="eastAsia"/>
                <w:color w:val="auto"/>
                <w:lang w:bidi="zh-CN"/>
              </w:rPr>
              <w:t>挖掘机剥离表土扬尘</w:t>
            </w:r>
          </w:p>
          <w:p>
            <w:pPr>
              <w:pStyle w:val="47"/>
              <w:ind w:firstLine="480"/>
              <w:rPr>
                <w:color w:val="auto"/>
              </w:rPr>
            </w:pPr>
            <w:r>
              <w:rPr>
                <w:rFonts w:hint="eastAsia"/>
                <w:color w:val="auto"/>
              </w:rPr>
              <w:t>开采期主要为露天二采区表土剥离，剥离量为9.47万m</w:t>
            </w:r>
            <w:r>
              <w:rPr>
                <w:rFonts w:hint="eastAsia"/>
                <w:color w:val="auto"/>
                <w:vertAlign w:val="superscript"/>
              </w:rPr>
              <w:t>3</w:t>
            </w:r>
            <w:r>
              <w:rPr>
                <w:rFonts w:hint="eastAsia"/>
                <w:color w:val="auto"/>
              </w:rPr>
              <w:t>，剥离时间为生产第三年。剥离表土扬尘计算使用《逸散性工业粉尘控制技术》（中国环境出版社〉第一章一一四、开采四、的开采中表1-16开采中除去覆盖层作业中的逸散排放因子的地区法剥离系数，为0.025kg/t（覆盖层）。根据调查表土剥离机械的粉尘产生量主要与土壤持水率、挖斗卸料高度有关，如土壤干燥、卸料高度大，则粉尘产生量大，项目露天开采二期表土剥离量为9.47万m</w:t>
            </w:r>
            <w:r>
              <w:rPr>
                <w:rFonts w:hint="eastAsia"/>
                <w:color w:val="auto"/>
                <w:vertAlign w:val="superscript"/>
              </w:rPr>
              <w:t>3</w:t>
            </w:r>
            <w:r>
              <w:rPr>
                <w:rFonts w:hint="eastAsia"/>
                <w:color w:val="auto"/>
              </w:rPr>
              <w:t>，土壤密度为</w:t>
            </w:r>
            <w:r>
              <w:rPr>
                <w:rFonts w:hint="eastAsia"/>
                <w:color w:val="auto"/>
                <w:w w:val="90"/>
              </w:rPr>
              <w:t>1.6g/cm</w:t>
            </w:r>
            <w:r>
              <w:rPr>
                <w:rFonts w:hint="eastAsia"/>
                <w:color w:val="auto"/>
                <w:w w:val="90"/>
                <w:vertAlign w:val="superscript"/>
              </w:rPr>
              <w:t>3</w:t>
            </w:r>
            <w:r>
              <w:rPr>
                <w:rFonts w:hint="eastAsia"/>
                <w:color w:val="auto"/>
                <w:w w:val="90"/>
              </w:rPr>
              <w:t>，</w:t>
            </w:r>
            <w:r>
              <w:rPr>
                <w:rFonts w:hint="eastAsia"/>
                <w:color w:val="auto"/>
              </w:rPr>
              <w:t>根据系数计算项目露天开采二期剥离表土扬尘总产生量为3.788t/a。项目在剥离表土前对表土采用洒水预湿，在表土剥离工作面洒水增加土壤持水率，减少粉尘产生量，铲装洒水抑尘，降低挖斗装卸料高度，抑尘率75%，则剥离表土粉尘总排放量为0.947t/a。</w:t>
            </w:r>
          </w:p>
          <w:p>
            <w:pPr>
              <w:pStyle w:val="50"/>
              <w:numPr>
                <w:ilvl w:val="0"/>
                <w:numId w:val="2"/>
              </w:numPr>
              <w:snapToGrid w:val="0"/>
              <w:spacing w:line="240" w:lineRule="auto"/>
              <w:ind w:firstLineChars="0"/>
              <w:jc w:val="center"/>
              <w:rPr>
                <w:b/>
                <w:bCs/>
              </w:rPr>
            </w:pPr>
            <w:r>
              <w:rPr>
                <w:rFonts w:hint="eastAsia"/>
                <w:b/>
                <w:bCs/>
              </w:rPr>
              <w:t>项目开采期剥离表土粉尘产排情况一览表</w:t>
            </w:r>
          </w:p>
          <w:tbl>
            <w:tblPr>
              <w:tblStyle w:val="22"/>
              <w:tblW w:w="888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67"/>
              <w:gridCol w:w="1409"/>
              <w:gridCol w:w="1166"/>
              <w:gridCol w:w="1400"/>
              <w:gridCol w:w="1405"/>
              <w:gridCol w:w="1173"/>
              <w:gridCol w:w="116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50" w:hRule="atLeast"/>
                <w:jc w:val="center"/>
              </w:trPr>
              <w:tc>
                <w:tcPr>
                  <w:tcW w:w="1167" w:type="dxa"/>
                  <w:shd w:val="clear" w:color="auto" w:fill="auto"/>
                  <w:vAlign w:val="center"/>
                </w:tcPr>
                <w:p>
                  <w:pPr>
                    <w:autoSpaceDE w:val="0"/>
                    <w:autoSpaceDN w:val="0"/>
                    <w:adjustRightInd w:val="0"/>
                    <w:spacing w:line="360" w:lineRule="exact"/>
                    <w:jc w:val="center"/>
                    <w:rPr>
                      <w:kern w:val="0"/>
                    </w:rPr>
                  </w:pPr>
                  <w:r>
                    <w:rPr>
                      <w:rFonts w:hint="eastAsia"/>
                      <w:kern w:val="0"/>
                    </w:rPr>
                    <w:t>采区</w:t>
                  </w:r>
                </w:p>
              </w:tc>
              <w:tc>
                <w:tcPr>
                  <w:tcW w:w="1409"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剥采表士</w:t>
                  </w:r>
                </w:p>
                <w:p>
                  <w:pPr>
                    <w:kinsoku w:val="0"/>
                    <w:overflowPunct w:val="0"/>
                    <w:autoSpaceDE w:val="0"/>
                    <w:autoSpaceDN w:val="0"/>
                    <w:adjustRightInd w:val="0"/>
                    <w:spacing w:line="360" w:lineRule="exact"/>
                    <w:jc w:val="center"/>
                    <w:rPr>
                      <w:kern w:val="0"/>
                    </w:rPr>
                  </w:pPr>
                  <w:r>
                    <w:rPr>
                      <w:rFonts w:hint="eastAsia"/>
                      <w:w w:val="105"/>
                      <w:kern w:val="0"/>
                      <w:szCs w:val="19"/>
                    </w:rPr>
                    <w:t>万m</w:t>
                  </w:r>
                  <w:r>
                    <w:rPr>
                      <w:rFonts w:hint="eastAsia"/>
                      <w:w w:val="105"/>
                      <w:kern w:val="0"/>
                      <w:szCs w:val="19"/>
                      <w:vertAlign w:val="superscript"/>
                    </w:rPr>
                    <w:t>3</w:t>
                  </w:r>
                </w:p>
              </w:tc>
              <w:tc>
                <w:tcPr>
                  <w:tcW w:w="1166"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产尘系数</w:t>
                  </w:r>
                </w:p>
                <w:p>
                  <w:pPr>
                    <w:kinsoku w:val="0"/>
                    <w:overflowPunct w:val="0"/>
                    <w:autoSpaceDE w:val="0"/>
                    <w:autoSpaceDN w:val="0"/>
                    <w:adjustRightInd w:val="0"/>
                    <w:spacing w:line="360" w:lineRule="exact"/>
                    <w:ind w:firstLine="210"/>
                    <w:jc w:val="center"/>
                    <w:rPr>
                      <w:kern w:val="0"/>
                    </w:rPr>
                  </w:pPr>
                  <w:r>
                    <w:rPr>
                      <w:rFonts w:hint="eastAsia"/>
                      <w:kern w:val="0"/>
                      <w:szCs w:val="19"/>
                    </w:rPr>
                    <w:t>kg/t</w:t>
                  </w:r>
                  <w:r>
                    <w:rPr>
                      <w:rFonts w:hint="eastAsia"/>
                      <w:spacing w:val="-25"/>
                      <w:kern w:val="0"/>
                      <w:szCs w:val="19"/>
                    </w:rPr>
                    <w:t xml:space="preserve"> </w:t>
                  </w:r>
                </w:p>
              </w:tc>
              <w:tc>
                <w:tcPr>
                  <w:tcW w:w="1400"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产生量</w:t>
                  </w:r>
                </w:p>
                <w:p>
                  <w:pPr>
                    <w:kinsoku w:val="0"/>
                    <w:overflowPunct w:val="0"/>
                    <w:autoSpaceDE w:val="0"/>
                    <w:autoSpaceDN w:val="0"/>
                    <w:adjustRightInd w:val="0"/>
                    <w:spacing w:line="360" w:lineRule="exact"/>
                    <w:jc w:val="center"/>
                    <w:rPr>
                      <w:kern w:val="0"/>
                    </w:rPr>
                  </w:pPr>
                  <w:r>
                    <w:rPr>
                      <w:rFonts w:hint="eastAsia"/>
                      <w:w w:val="105"/>
                      <w:kern w:val="0"/>
                      <w:szCs w:val="19"/>
                    </w:rPr>
                    <w:t>t/a</w:t>
                  </w:r>
                </w:p>
              </w:tc>
              <w:tc>
                <w:tcPr>
                  <w:tcW w:w="1405"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产生速率</w:t>
                  </w:r>
                </w:p>
                <w:p>
                  <w:pPr>
                    <w:kinsoku w:val="0"/>
                    <w:overflowPunct w:val="0"/>
                    <w:autoSpaceDE w:val="0"/>
                    <w:autoSpaceDN w:val="0"/>
                    <w:adjustRightInd w:val="0"/>
                    <w:spacing w:line="360" w:lineRule="exact"/>
                    <w:jc w:val="center"/>
                    <w:rPr>
                      <w:kern w:val="0"/>
                    </w:rPr>
                  </w:pPr>
                  <w:r>
                    <w:rPr>
                      <w:rFonts w:hint="eastAsia"/>
                      <w:kern w:val="0"/>
                      <w:szCs w:val="19"/>
                    </w:rPr>
                    <w:t>kg/h</w:t>
                  </w:r>
                  <w:r>
                    <w:rPr>
                      <w:rFonts w:hint="eastAsia"/>
                      <w:spacing w:val="-21"/>
                      <w:kern w:val="0"/>
                      <w:szCs w:val="19"/>
                    </w:rPr>
                    <w:t xml:space="preserve"> </w:t>
                  </w:r>
                </w:p>
              </w:tc>
              <w:tc>
                <w:tcPr>
                  <w:tcW w:w="1173" w:type="dxa"/>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w w:val="105"/>
                      <w:kern w:val="0"/>
                      <w:szCs w:val="20"/>
                    </w:rPr>
                    <w:t>排放量</w:t>
                  </w:r>
                </w:p>
                <w:p>
                  <w:pPr>
                    <w:kinsoku w:val="0"/>
                    <w:overflowPunct w:val="0"/>
                    <w:autoSpaceDE w:val="0"/>
                    <w:autoSpaceDN w:val="0"/>
                    <w:adjustRightInd w:val="0"/>
                    <w:spacing w:line="360" w:lineRule="exact"/>
                    <w:jc w:val="center"/>
                    <w:rPr>
                      <w:kern w:val="0"/>
                    </w:rPr>
                  </w:pPr>
                  <w:r>
                    <w:rPr>
                      <w:rFonts w:hint="eastAsia"/>
                      <w:w w:val="105"/>
                      <w:kern w:val="0"/>
                      <w:szCs w:val="19"/>
                    </w:rPr>
                    <w:t>t/a</w:t>
                  </w:r>
                </w:p>
              </w:tc>
              <w:tc>
                <w:tcPr>
                  <w:tcW w:w="1162" w:type="dxa"/>
                  <w:shd w:val="clear" w:color="auto" w:fill="auto"/>
                  <w:vAlign w:val="center"/>
                </w:tcPr>
                <w:p>
                  <w:pPr>
                    <w:kinsoku w:val="0"/>
                    <w:overflowPunct w:val="0"/>
                    <w:autoSpaceDE w:val="0"/>
                    <w:autoSpaceDN w:val="0"/>
                    <w:adjustRightInd w:val="0"/>
                    <w:spacing w:line="360" w:lineRule="exact"/>
                    <w:jc w:val="center"/>
                    <w:rPr>
                      <w:rFonts w:cs="宋体"/>
                      <w:spacing w:val="3"/>
                      <w:kern w:val="0"/>
                      <w:szCs w:val="20"/>
                    </w:rPr>
                  </w:pPr>
                  <w:r>
                    <w:rPr>
                      <w:rFonts w:hint="eastAsia" w:cs="宋体"/>
                      <w:spacing w:val="3"/>
                      <w:w w:val="105"/>
                      <w:kern w:val="0"/>
                      <w:szCs w:val="20"/>
                    </w:rPr>
                    <w:t>排速率</w:t>
                  </w:r>
                </w:p>
                <w:p>
                  <w:pPr>
                    <w:kinsoku w:val="0"/>
                    <w:overflowPunct w:val="0"/>
                    <w:autoSpaceDE w:val="0"/>
                    <w:autoSpaceDN w:val="0"/>
                    <w:adjustRightInd w:val="0"/>
                    <w:spacing w:line="360" w:lineRule="exact"/>
                    <w:jc w:val="center"/>
                    <w:rPr>
                      <w:kern w:val="0"/>
                    </w:rPr>
                  </w:pPr>
                  <w:r>
                    <w:rPr>
                      <w:rFonts w:hint="eastAsia"/>
                      <w:kern w:val="0"/>
                    </w:rPr>
                    <w:t>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167"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露天二采区</w:t>
                  </w:r>
                </w:p>
              </w:tc>
              <w:tc>
                <w:tcPr>
                  <w:tcW w:w="1409"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9.47</w:t>
                  </w:r>
                </w:p>
              </w:tc>
              <w:tc>
                <w:tcPr>
                  <w:tcW w:w="1166"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0.025</w:t>
                  </w:r>
                </w:p>
              </w:tc>
              <w:tc>
                <w:tcPr>
                  <w:tcW w:w="1400"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3.788</w:t>
                  </w:r>
                </w:p>
              </w:tc>
              <w:tc>
                <w:tcPr>
                  <w:tcW w:w="1405"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1.578</w:t>
                  </w:r>
                </w:p>
              </w:tc>
              <w:tc>
                <w:tcPr>
                  <w:tcW w:w="1173"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0.947</w:t>
                  </w:r>
                </w:p>
              </w:tc>
              <w:tc>
                <w:tcPr>
                  <w:tcW w:w="1162"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0.395</w:t>
                  </w:r>
                </w:p>
              </w:tc>
            </w:tr>
          </w:tbl>
          <w:p>
            <w:pPr>
              <w:pStyle w:val="47"/>
              <w:ind w:firstLine="480"/>
              <w:rPr>
                <w:color w:val="auto"/>
              </w:rPr>
            </w:pPr>
            <w:r>
              <w:rPr>
                <w:rFonts w:hint="eastAsia"/>
                <w:color w:val="auto"/>
              </w:rPr>
              <w:t>②凿岩打孔粉尘</w:t>
            </w:r>
          </w:p>
          <w:p>
            <w:pPr>
              <w:pStyle w:val="47"/>
              <w:ind w:firstLine="480"/>
              <w:rPr>
                <w:color w:val="auto"/>
                <w:lang w:bidi="zh-CN"/>
              </w:rPr>
            </w:pPr>
            <w:r>
              <w:rPr>
                <w:rFonts w:hint="eastAsia"/>
                <w:color w:val="auto"/>
                <w:lang w:bidi="zh-CN"/>
              </w:rPr>
              <w:t>项目进行钻孔凿岩作业时，钻机的钻头高速旋转并与岩体发生摩擦，由此产生一定强度的粉尘。根据《中国铝业》2000年05期中的《露天矿粉尘污染治理》（毕上刚）一文可知，在没有任何防尘措施的条件下，钻机附近空气中的平均粉尘浓度为129.8mg/m</w:t>
            </w:r>
            <w:r>
              <w:rPr>
                <w:rFonts w:hint="eastAsia"/>
                <w:color w:val="auto"/>
                <w:vertAlign w:val="superscript"/>
                <w:lang w:bidi="zh-CN"/>
              </w:rPr>
              <w:t>3</w:t>
            </w:r>
            <w:r>
              <w:rPr>
                <w:rFonts w:hint="eastAsia"/>
                <w:color w:val="auto"/>
                <w:lang w:bidi="zh-CN"/>
              </w:rPr>
              <w:t>。凿岩钻孔粉尘影响范围一般在20m以内。</w:t>
            </w:r>
          </w:p>
          <w:p>
            <w:pPr>
              <w:pStyle w:val="47"/>
              <w:ind w:firstLine="480"/>
              <w:rPr>
                <w:color w:val="auto"/>
                <w:lang w:bidi="zh-CN"/>
              </w:rPr>
            </w:pPr>
            <w:r>
              <w:rPr>
                <w:rFonts w:hint="eastAsia"/>
                <w:color w:val="auto"/>
                <w:lang w:bidi="zh-CN"/>
              </w:rPr>
              <w:t>参考《逸散性工业粉尘控制技术》（中国环境科学出版社），开采中钻孔过程粉尘产生的排放因子为0.004kg/t矿石，本项目露天开采一期、二期矿石和白云岩开采量均为260万m</w:t>
            </w:r>
            <w:r>
              <w:rPr>
                <w:rFonts w:hint="eastAsia"/>
                <w:color w:val="auto"/>
                <w:vertAlign w:val="superscript"/>
                <w:lang w:bidi="zh-CN"/>
              </w:rPr>
              <w:t>3</w:t>
            </w:r>
            <w:r>
              <w:rPr>
                <w:rFonts w:hint="eastAsia"/>
                <w:color w:val="auto"/>
                <w:lang w:bidi="zh-CN"/>
              </w:rPr>
              <w:t>/a，矿石密度2.83t/m</w:t>
            </w:r>
            <w:r>
              <w:rPr>
                <w:rFonts w:hint="eastAsia"/>
                <w:color w:val="auto"/>
                <w:vertAlign w:val="superscript"/>
                <w:lang w:bidi="zh-CN"/>
              </w:rPr>
              <w:t>3</w:t>
            </w:r>
            <w:r>
              <w:rPr>
                <w:rFonts w:hint="eastAsia"/>
                <w:color w:val="auto"/>
                <w:lang w:bidi="zh-CN"/>
              </w:rPr>
              <w:t>，735.8万t/a，则露天开采一期、二期钻孔扬尘产生量约为29.432t/a，6.131kg/h。</w:t>
            </w:r>
          </w:p>
          <w:p>
            <w:pPr>
              <w:pStyle w:val="47"/>
              <w:ind w:firstLine="480"/>
              <w:rPr>
                <w:snapToGrid/>
                <w:color w:val="auto"/>
                <w:kern w:val="2"/>
                <w:lang w:bidi="zh-CN"/>
              </w:rPr>
            </w:pPr>
            <w:r>
              <w:rPr>
                <w:rFonts w:hint="eastAsia"/>
                <w:snapToGrid/>
                <w:color w:val="auto"/>
                <w:kern w:val="2"/>
                <w:lang w:bidi="zh-CN"/>
              </w:rPr>
              <w:t>根据类比调查结果，采用自带有收尘装置凿岩钻孔机可以有效地减少粉尘的产生。本项目在凿岩钻孔过程中采用湿法作业，凿岩前对岩面进行喷淋洒水湿润，此外，项目钻机采用自带收尘设施的钻机，参考张震宇的《露天采矿场粉尘污染及其防治》，潜孔钻机自带收尘装置可减少钻孔凿岩粉尘90%，同时工作面布设雾炮机喷雾除尘，可有效抑制粉尘产生，排入环境中的粉尘量小，进一步抑尘效率75%计算，处理后运营期粉尘排放量为0.736t/a，0.153kg/h。</w:t>
            </w:r>
          </w:p>
          <w:p>
            <w:pPr>
              <w:pStyle w:val="50"/>
              <w:numPr>
                <w:ilvl w:val="0"/>
                <w:numId w:val="2"/>
              </w:numPr>
              <w:snapToGrid w:val="0"/>
              <w:spacing w:line="240" w:lineRule="auto"/>
              <w:ind w:firstLineChars="0"/>
              <w:jc w:val="center"/>
              <w:rPr>
                <w:b/>
                <w:bCs/>
              </w:rPr>
            </w:pPr>
            <w:r>
              <w:rPr>
                <w:rFonts w:hint="eastAsia"/>
                <w:b/>
                <w:bCs/>
              </w:rPr>
              <w:t>项目钻孔粉尘产生情况一览表</w:t>
            </w:r>
          </w:p>
          <w:tbl>
            <w:tblPr>
              <w:tblStyle w:val="22"/>
              <w:tblW w:w="888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46"/>
              <w:gridCol w:w="814"/>
              <w:gridCol w:w="1233"/>
              <w:gridCol w:w="1230"/>
              <w:gridCol w:w="1352"/>
              <w:gridCol w:w="1372"/>
              <w:gridCol w:w="12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646" w:type="dxa"/>
                  <w:vMerge w:val="restart"/>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spacing w:val="-24"/>
                      <w:w w:val="94"/>
                      <w:kern w:val="0"/>
                      <w:szCs w:val="26"/>
                    </w:rPr>
                    <w:t>采区</w:t>
                  </w:r>
                </w:p>
              </w:tc>
              <w:tc>
                <w:tcPr>
                  <w:tcW w:w="814" w:type="dxa"/>
                  <w:vMerge w:val="restart"/>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w w:val="103"/>
                      <w:kern w:val="0"/>
                      <w:szCs w:val="20"/>
                    </w:rPr>
                    <w:t>剥采矿岩</w:t>
                  </w:r>
                  <w:r>
                    <w:rPr>
                      <w:rFonts w:hint="eastAsia" w:cs="宋体"/>
                      <w:w w:val="105"/>
                      <w:kern w:val="0"/>
                      <w:szCs w:val="20"/>
                    </w:rPr>
                    <w:t>万</w:t>
                  </w:r>
                  <w:r>
                    <w:rPr>
                      <w:rFonts w:hint="eastAsia"/>
                      <w:w w:val="107"/>
                      <w:kern w:val="0"/>
                      <w:szCs w:val="19"/>
                    </w:rPr>
                    <w:t>m</w:t>
                  </w:r>
                  <w:r>
                    <w:rPr>
                      <w:rFonts w:hint="eastAsia"/>
                      <w:w w:val="107"/>
                      <w:kern w:val="0"/>
                      <w:szCs w:val="19"/>
                      <w:vertAlign w:val="superscript"/>
                    </w:rPr>
                    <w:t>3</w:t>
                  </w:r>
                  <w:r>
                    <w:rPr>
                      <w:rFonts w:hint="eastAsia"/>
                      <w:w w:val="107"/>
                      <w:kern w:val="0"/>
                      <w:szCs w:val="19"/>
                    </w:rPr>
                    <w:t>/a</w:t>
                  </w:r>
                </w:p>
              </w:tc>
              <w:tc>
                <w:tcPr>
                  <w:tcW w:w="1233" w:type="dxa"/>
                  <w:vMerge w:val="restart"/>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w w:val="103"/>
                      <w:kern w:val="0"/>
                      <w:szCs w:val="20"/>
                    </w:rPr>
                    <w:t>产尘系数</w:t>
                  </w:r>
                </w:p>
                <w:p>
                  <w:pPr>
                    <w:kinsoku w:val="0"/>
                    <w:overflowPunct w:val="0"/>
                    <w:autoSpaceDE w:val="0"/>
                    <w:autoSpaceDN w:val="0"/>
                    <w:adjustRightInd w:val="0"/>
                    <w:spacing w:line="360" w:lineRule="exact"/>
                    <w:jc w:val="center"/>
                    <w:rPr>
                      <w:kern w:val="0"/>
                    </w:rPr>
                  </w:pPr>
                  <w:r>
                    <w:rPr>
                      <w:rFonts w:hint="eastAsia"/>
                      <w:w w:val="110"/>
                      <w:kern w:val="0"/>
                      <w:szCs w:val="19"/>
                    </w:rPr>
                    <w:t>k</w:t>
                  </w:r>
                  <w:r>
                    <w:rPr>
                      <w:rFonts w:hint="eastAsia"/>
                      <w:spacing w:val="-3"/>
                      <w:w w:val="110"/>
                      <w:kern w:val="0"/>
                      <w:szCs w:val="19"/>
                    </w:rPr>
                    <w:t>g</w:t>
                  </w:r>
                  <w:r>
                    <w:rPr>
                      <w:rFonts w:hint="eastAsia"/>
                      <w:spacing w:val="6"/>
                      <w:w w:val="106"/>
                      <w:kern w:val="0"/>
                      <w:szCs w:val="19"/>
                    </w:rPr>
                    <w:t>/</w:t>
                  </w:r>
                  <w:r>
                    <w:rPr>
                      <w:rFonts w:hint="eastAsia"/>
                      <w:kern w:val="0"/>
                      <w:szCs w:val="19"/>
                    </w:rPr>
                    <w:t>t</w:t>
                  </w:r>
                </w:p>
              </w:tc>
              <w:tc>
                <w:tcPr>
                  <w:tcW w:w="1230" w:type="dxa"/>
                  <w:vMerge w:val="restart"/>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spacing w:val="1"/>
                      <w:w w:val="107"/>
                      <w:kern w:val="0"/>
                      <w:szCs w:val="20"/>
                    </w:rPr>
                    <w:t>产</w:t>
                  </w:r>
                  <w:r>
                    <w:rPr>
                      <w:rFonts w:hint="eastAsia" w:cs="宋体"/>
                      <w:spacing w:val="-2"/>
                      <w:w w:val="104"/>
                      <w:kern w:val="0"/>
                      <w:szCs w:val="20"/>
                    </w:rPr>
                    <w:t>生</w:t>
                  </w:r>
                  <w:r>
                    <w:rPr>
                      <w:rFonts w:hint="eastAsia" w:cs="宋体"/>
                      <w:w w:val="102"/>
                      <w:kern w:val="0"/>
                      <w:szCs w:val="20"/>
                    </w:rPr>
                    <w:t>量</w:t>
                  </w:r>
                </w:p>
                <w:p>
                  <w:pPr>
                    <w:tabs>
                      <w:tab w:val="left" w:pos="919"/>
                    </w:tabs>
                    <w:kinsoku w:val="0"/>
                    <w:overflowPunct w:val="0"/>
                    <w:autoSpaceDE w:val="0"/>
                    <w:autoSpaceDN w:val="0"/>
                    <w:adjustRightInd w:val="0"/>
                    <w:spacing w:line="360" w:lineRule="exact"/>
                    <w:jc w:val="center"/>
                    <w:rPr>
                      <w:kern w:val="0"/>
                    </w:rPr>
                  </w:pPr>
                  <w:r>
                    <w:rPr>
                      <w:rFonts w:hint="eastAsia"/>
                      <w:w w:val="107"/>
                      <w:kern w:val="0"/>
                      <w:szCs w:val="19"/>
                    </w:rPr>
                    <w:t>t/a</w:t>
                  </w:r>
                </w:p>
              </w:tc>
              <w:tc>
                <w:tcPr>
                  <w:tcW w:w="1352" w:type="dxa"/>
                  <w:vMerge w:val="restart"/>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spacing w:val="5"/>
                      <w:w w:val="105"/>
                      <w:kern w:val="0"/>
                      <w:szCs w:val="20"/>
                    </w:rPr>
                    <w:t>产</w:t>
                  </w:r>
                  <w:r>
                    <w:rPr>
                      <w:rFonts w:hint="eastAsia" w:cs="宋体"/>
                      <w:w w:val="105"/>
                      <w:kern w:val="0"/>
                      <w:szCs w:val="20"/>
                    </w:rPr>
                    <w:t>生</w:t>
                  </w:r>
                  <w:r>
                    <w:rPr>
                      <w:rFonts w:hint="eastAsia" w:cs="宋体"/>
                      <w:spacing w:val="-3"/>
                      <w:w w:val="105"/>
                      <w:kern w:val="0"/>
                      <w:szCs w:val="20"/>
                    </w:rPr>
                    <w:t>速</w:t>
                  </w:r>
                  <w:r>
                    <w:rPr>
                      <w:rFonts w:hint="eastAsia" w:cs="宋体"/>
                      <w:w w:val="104"/>
                      <w:kern w:val="0"/>
                      <w:szCs w:val="20"/>
                    </w:rPr>
                    <w:t>率</w:t>
                  </w:r>
                </w:p>
                <w:p>
                  <w:pPr>
                    <w:kinsoku w:val="0"/>
                    <w:overflowPunct w:val="0"/>
                    <w:autoSpaceDE w:val="0"/>
                    <w:autoSpaceDN w:val="0"/>
                    <w:adjustRightInd w:val="0"/>
                    <w:spacing w:line="360" w:lineRule="exact"/>
                    <w:jc w:val="center"/>
                    <w:rPr>
                      <w:kern w:val="0"/>
                    </w:rPr>
                  </w:pPr>
                  <w:r>
                    <w:rPr>
                      <w:rFonts w:hint="eastAsia"/>
                      <w:w w:val="106"/>
                      <w:kern w:val="0"/>
                      <w:szCs w:val="19"/>
                    </w:rPr>
                    <w:t>kg/h</w:t>
                  </w:r>
                </w:p>
              </w:tc>
              <w:tc>
                <w:tcPr>
                  <w:tcW w:w="2607" w:type="dxa"/>
                  <w:gridSpan w:val="2"/>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3"/>
                      <w:kern w:val="0"/>
                      <w:szCs w:val="20"/>
                    </w:rPr>
                    <w:t>处理后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0" w:hRule="atLeast"/>
              </w:trPr>
              <w:tc>
                <w:tcPr>
                  <w:tcW w:w="1646" w:type="dxa"/>
                  <w:vMerge w:val="continue"/>
                  <w:shd w:val="clear" w:color="auto" w:fill="auto"/>
                  <w:vAlign w:val="center"/>
                </w:tcPr>
                <w:p>
                  <w:pPr>
                    <w:kinsoku w:val="0"/>
                    <w:overflowPunct w:val="0"/>
                    <w:autoSpaceDE w:val="0"/>
                    <w:autoSpaceDN w:val="0"/>
                    <w:adjustRightInd w:val="0"/>
                    <w:spacing w:line="360" w:lineRule="exact"/>
                    <w:jc w:val="center"/>
                    <w:rPr>
                      <w:kern w:val="0"/>
                    </w:rPr>
                  </w:pPr>
                </w:p>
              </w:tc>
              <w:tc>
                <w:tcPr>
                  <w:tcW w:w="814" w:type="dxa"/>
                  <w:vMerge w:val="continue"/>
                  <w:shd w:val="clear" w:color="auto" w:fill="auto"/>
                  <w:vAlign w:val="center"/>
                </w:tcPr>
                <w:p>
                  <w:pPr>
                    <w:kinsoku w:val="0"/>
                    <w:overflowPunct w:val="0"/>
                    <w:autoSpaceDE w:val="0"/>
                    <w:autoSpaceDN w:val="0"/>
                    <w:adjustRightInd w:val="0"/>
                    <w:spacing w:line="360" w:lineRule="exact"/>
                    <w:jc w:val="center"/>
                    <w:rPr>
                      <w:kern w:val="0"/>
                    </w:rPr>
                  </w:pPr>
                </w:p>
              </w:tc>
              <w:tc>
                <w:tcPr>
                  <w:tcW w:w="1233" w:type="dxa"/>
                  <w:vMerge w:val="continue"/>
                  <w:shd w:val="clear" w:color="auto" w:fill="auto"/>
                  <w:vAlign w:val="center"/>
                </w:tcPr>
                <w:p>
                  <w:pPr>
                    <w:kinsoku w:val="0"/>
                    <w:overflowPunct w:val="0"/>
                    <w:autoSpaceDE w:val="0"/>
                    <w:autoSpaceDN w:val="0"/>
                    <w:adjustRightInd w:val="0"/>
                    <w:spacing w:line="360" w:lineRule="exact"/>
                    <w:jc w:val="center"/>
                    <w:rPr>
                      <w:kern w:val="0"/>
                    </w:rPr>
                  </w:pPr>
                </w:p>
              </w:tc>
              <w:tc>
                <w:tcPr>
                  <w:tcW w:w="1230" w:type="dxa"/>
                  <w:vMerge w:val="continue"/>
                  <w:shd w:val="clear" w:color="auto" w:fill="auto"/>
                  <w:vAlign w:val="center"/>
                </w:tcPr>
                <w:p>
                  <w:pPr>
                    <w:kinsoku w:val="0"/>
                    <w:overflowPunct w:val="0"/>
                    <w:autoSpaceDE w:val="0"/>
                    <w:autoSpaceDN w:val="0"/>
                    <w:adjustRightInd w:val="0"/>
                    <w:spacing w:line="360" w:lineRule="exact"/>
                    <w:jc w:val="center"/>
                    <w:rPr>
                      <w:kern w:val="0"/>
                    </w:rPr>
                  </w:pPr>
                </w:p>
              </w:tc>
              <w:tc>
                <w:tcPr>
                  <w:tcW w:w="1352" w:type="dxa"/>
                  <w:vMerge w:val="continue"/>
                  <w:shd w:val="clear" w:color="auto" w:fill="auto"/>
                  <w:vAlign w:val="center"/>
                </w:tcPr>
                <w:p>
                  <w:pPr>
                    <w:kinsoku w:val="0"/>
                    <w:overflowPunct w:val="0"/>
                    <w:autoSpaceDE w:val="0"/>
                    <w:autoSpaceDN w:val="0"/>
                    <w:adjustRightInd w:val="0"/>
                    <w:spacing w:line="360" w:lineRule="exact"/>
                    <w:jc w:val="center"/>
                    <w:rPr>
                      <w:kern w:val="0"/>
                    </w:rPr>
                  </w:pPr>
                </w:p>
              </w:tc>
              <w:tc>
                <w:tcPr>
                  <w:tcW w:w="1372"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7"/>
                      <w:kern w:val="0"/>
                      <w:szCs w:val="20"/>
                    </w:rPr>
                    <w:t>排</w:t>
                  </w:r>
                  <w:r>
                    <w:rPr>
                      <w:rFonts w:hint="eastAsia" w:cs="宋体"/>
                      <w:spacing w:val="-1"/>
                      <w:w w:val="107"/>
                      <w:kern w:val="0"/>
                      <w:szCs w:val="20"/>
                    </w:rPr>
                    <w:t>放</w:t>
                  </w:r>
                  <w:r>
                    <w:rPr>
                      <w:rFonts w:hint="eastAsia" w:cs="宋体"/>
                      <w:w w:val="105"/>
                      <w:kern w:val="0"/>
                      <w:szCs w:val="20"/>
                    </w:rPr>
                    <w:t>量</w:t>
                  </w:r>
                  <w:r>
                    <w:rPr>
                      <w:rFonts w:hint="eastAsia" w:cs="宋体"/>
                      <w:spacing w:val="-47"/>
                      <w:kern w:val="0"/>
                      <w:szCs w:val="20"/>
                    </w:rPr>
                    <w:t xml:space="preserve"> </w:t>
                  </w:r>
                  <w:r>
                    <w:rPr>
                      <w:rFonts w:hint="eastAsia"/>
                      <w:w w:val="105"/>
                      <w:kern w:val="0"/>
                      <w:szCs w:val="19"/>
                    </w:rPr>
                    <w:t>t/a</w:t>
                  </w:r>
                </w:p>
              </w:tc>
              <w:tc>
                <w:tcPr>
                  <w:tcW w:w="1235" w:type="dxa"/>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w w:val="104"/>
                      <w:kern w:val="0"/>
                      <w:szCs w:val="20"/>
                    </w:rPr>
                    <w:t>排</w:t>
                  </w:r>
                  <w:r>
                    <w:rPr>
                      <w:rFonts w:hint="eastAsia" w:cs="宋体"/>
                      <w:spacing w:val="11"/>
                      <w:w w:val="104"/>
                      <w:kern w:val="0"/>
                      <w:szCs w:val="20"/>
                    </w:rPr>
                    <w:t>放</w:t>
                  </w:r>
                  <w:r>
                    <w:rPr>
                      <w:rFonts w:hint="eastAsia" w:cs="宋体"/>
                      <w:w w:val="101"/>
                      <w:kern w:val="0"/>
                      <w:szCs w:val="20"/>
                    </w:rPr>
                    <w:t>速率</w:t>
                  </w:r>
                </w:p>
                <w:p>
                  <w:pPr>
                    <w:kinsoku w:val="0"/>
                    <w:overflowPunct w:val="0"/>
                    <w:autoSpaceDE w:val="0"/>
                    <w:autoSpaceDN w:val="0"/>
                    <w:adjustRightInd w:val="0"/>
                    <w:spacing w:line="360" w:lineRule="exact"/>
                    <w:jc w:val="center"/>
                    <w:rPr>
                      <w:kern w:val="0"/>
                    </w:rPr>
                  </w:pPr>
                  <w:r>
                    <w:rPr>
                      <w:rFonts w:hint="eastAsia"/>
                      <w:w w:val="110"/>
                      <w:kern w:val="0"/>
                      <w:szCs w:val="19"/>
                    </w:rPr>
                    <w:t>k</w:t>
                  </w:r>
                  <w:r>
                    <w:rPr>
                      <w:rFonts w:hint="eastAsia"/>
                      <w:spacing w:val="2"/>
                      <w:w w:val="110"/>
                      <w:kern w:val="0"/>
                      <w:szCs w:val="19"/>
                    </w:rPr>
                    <w:t>g</w:t>
                  </w:r>
                  <w:r>
                    <w:rPr>
                      <w:rFonts w:hint="eastAsia"/>
                      <w:spacing w:val="1"/>
                      <w:w w:val="106"/>
                      <w:kern w:val="0"/>
                      <w:szCs w:val="19"/>
                    </w:rPr>
                    <w:t>/</w:t>
                  </w:r>
                  <w:r>
                    <w:rPr>
                      <w:rFonts w:hint="eastAsia"/>
                      <w:w w:val="107"/>
                      <w:kern w:val="0"/>
                      <w:szCs w:val="19"/>
                    </w:rPr>
                    <w:t>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646" w:type="dxa"/>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spacing w:val="-1"/>
                      <w:w w:val="106"/>
                      <w:kern w:val="0"/>
                      <w:szCs w:val="20"/>
                    </w:rPr>
                    <w:t>露天一</w:t>
                  </w:r>
                  <w:r>
                    <w:rPr>
                      <w:rFonts w:hint="eastAsia" w:cs="宋体"/>
                      <w:w w:val="103"/>
                      <w:kern w:val="0"/>
                      <w:szCs w:val="20"/>
                    </w:rPr>
                    <w:t>采区、</w:t>
                  </w:r>
                </w:p>
                <w:p>
                  <w:pPr>
                    <w:kinsoku w:val="0"/>
                    <w:overflowPunct w:val="0"/>
                    <w:autoSpaceDE w:val="0"/>
                    <w:autoSpaceDN w:val="0"/>
                    <w:adjustRightInd w:val="0"/>
                    <w:spacing w:line="360" w:lineRule="exact"/>
                    <w:jc w:val="center"/>
                    <w:rPr>
                      <w:kern w:val="0"/>
                    </w:rPr>
                  </w:pPr>
                  <w:r>
                    <w:rPr>
                      <w:rFonts w:hint="eastAsia" w:cs="宋体"/>
                      <w:spacing w:val="-6"/>
                      <w:w w:val="106"/>
                      <w:kern w:val="0"/>
                      <w:szCs w:val="20"/>
                    </w:rPr>
                    <w:t>二</w:t>
                  </w:r>
                  <w:r>
                    <w:rPr>
                      <w:rFonts w:hint="eastAsia" w:cs="宋体"/>
                      <w:w w:val="104"/>
                      <w:kern w:val="0"/>
                      <w:szCs w:val="20"/>
                    </w:rPr>
                    <w:t>采区</w:t>
                  </w:r>
                </w:p>
              </w:tc>
              <w:tc>
                <w:tcPr>
                  <w:tcW w:w="814"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3"/>
                      <w:kern w:val="0"/>
                      <w:szCs w:val="20"/>
                    </w:rPr>
                    <w:t>260</w:t>
                  </w:r>
                </w:p>
              </w:tc>
              <w:tc>
                <w:tcPr>
                  <w:tcW w:w="1233"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4"/>
                      <w:kern w:val="0"/>
                      <w:szCs w:val="20"/>
                    </w:rPr>
                    <w:t>0.004</w:t>
                  </w:r>
                </w:p>
              </w:tc>
              <w:tc>
                <w:tcPr>
                  <w:tcW w:w="1230"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4"/>
                      <w:kern w:val="0"/>
                      <w:szCs w:val="20"/>
                    </w:rPr>
                    <w:t>29.432</w:t>
                  </w:r>
                </w:p>
              </w:tc>
              <w:tc>
                <w:tcPr>
                  <w:tcW w:w="1352"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3"/>
                      <w:kern w:val="0"/>
                      <w:szCs w:val="20"/>
                    </w:rPr>
                    <w:t>6.131</w:t>
                  </w:r>
                </w:p>
              </w:tc>
              <w:tc>
                <w:tcPr>
                  <w:tcW w:w="1372"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0.736</w:t>
                  </w:r>
                </w:p>
              </w:tc>
              <w:tc>
                <w:tcPr>
                  <w:tcW w:w="1235"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0.153</w:t>
                  </w:r>
                </w:p>
              </w:tc>
            </w:tr>
          </w:tbl>
          <w:p>
            <w:pPr>
              <w:pStyle w:val="47"/>
              <w:ind w:firstLine="480"/>
              <w:rPr>
                <w:color w:val="auto"/>
              </w:rPr>
            </w:pPr>
            <w:r>
              <w:rPr>
                <w:rFonts w:hint="eastAsia"/>
                <w:color w:val="auto"/>
              </w:rPr>
              <w:fldChar w:fldCharType="begin"/>
            </w:r>
            <w:r>
              <w:rPr>
                <w:rFonts w:hint="eastAsia"/>
                <w:color w:val="auto"/>
              </w:rPr>
              <w:instrText xml:space="preserve"> = 3 \* GB3 </w:instrText>
            </w:r>
            <w:r>
              <w:rPr>
                <w:rFonts w:hint="eastAsia"/>
                <w:color w:val="auto"/>
              </w:rPr>
              <w:fldChar w:fldCharType="separate"/>
            </w:r>
            <w:r>
              <w:rPr>
                <w:rFonts w:hint="eastAsia"/>
                <w:color w:val="auto"/>
              </w:rPr>
              <w:t>③</w:t>
            </w:r>
            <w:r>
              <w:rPr>
                <w:rFonts w:hint="eastAsia"/>
                <w:color w:val="auto"/>
              </w:rPr>
              <w:fldChar w:fldCharType="end"/>
            </w:r>
            <w:r>
              <w:rPr>
                <w:rFonts w:hint="eastAsia"/>
                <w:color w:val="auto"/>
              </w:rPr>
              <w:t>装卸扬尘</w:t>
            </w:r>
          </w:p>
          <w:p>
            <w:pPr>
              <w:pStyle w:val="47"/>
              <w:ind w:firstLine="480"/>
              <w:rPr>
                <w:color w:val="auto"/>
              </w:rPr>
            </w:pPr>
            <w:r>
              <w:rPr>
                <w:rFonts w:hint="eastAsia"/>
                <w:color w:val="auto"/>
              </w:rPr>
              <w:t>本项目开采出白云岩原矿后，利用挖掘机或装载机将原矿装入自卸卡车，自卸卡车将原矿运至生产加工区，装卸过程产生的粉尘按照</w:t>
            </w:r>
            <w:r>
              <w:rPr>
                <w:rFonts w:hint="eastAsia"/>
                <w:color w:val="auto"/>
                <w:lang w:val="zh-CN" w:bidi="zh-CN"/>
              </w:rPr>
              <w:t>《固体物料堆存颗粒物产排污核算系数手册》</w:t>
            </w:r>
            <w:r>
              <w:rPr>
                <w:rFonts w:hint="eastAsia"/>
                <w:color w:val="auto"/>
              </w:rPr>
              <w:t>装卸扬尘产生量进行计算。</w:t>
            </w:r>
          </w:p>
          <w:p>
            <w:pPr>
              <w:pStyle w:val="47"/>
              <w:ind w:firstLine="480"/>
              <w:rPr>
                <w:color w:val="auto"/>
                <w:lang w:bidi="zh-CN"/>
              </w:rPr>
            </w:pPr>
            <w:r>
              <w:rPr>
                <w:rFonts w:hint="eastAsia"/>
                <w:color w:val="auto"/>
                <w:lang w:bidi="zh-CN"/>
              </w:rPr>
              <w:t>Z</w:t>
            </w:r>
            <w:r>
              <w:rPr>
                <w:color w:val="auto"/>
                <w:lang w:bidi="zh-CN"/>
              </w:rPr>
              <w:t>c</w:t>
            </w:r>
            <w:r>
              <w:rPr>
                <w:rFonts w:hint="eastAsia"/>
                <w:color w:val="auto"/>
                <w:lang w:bidi="zh-CN"/>
              </w:rPr>
              <w:t>y</w:t>
            </w:r>
            <w:r>
              <w:rPr>
                <w:color w:val="auto"/>
                <w:lang w:bidi="zh-CN"/>
              </w:rPr>
              <w:t>=</w:t>
            </w:r>
            <w:r>
              <w:rPr>
                <w:rFonts w:hint="eastAsia"/>
                <w:color w:val="auto"/>
                <w:lang w:bidi="zh-CN"/>
              </w:rPr>
              <w:t>Nc×D×(</w:t>
            </w:r>
            <w:r>
              <w:rPr>
                <w:color w:val="auto"/>
                <w:lang w:bidi="zh-CN"/>
              </w:rPr>
              <w:t>a/b)</w:t>
            </w:r>
            <w:r>
              <w:rPr>
                <w:rFonts w:hint="eastAsia"/>
                <w:color w:val="auto"/>
                <w:lang w:bidi="zh-CN"/>
              </w:rPr>
              <w:t>×1</w:t>
            </w:r>
            <w:r>
              <w:rPr>
                <w:color w:val="auto"/>
                <w:lang w:bidi="zh-CN"/>
              </w:rPr>
              <w:t>0</w:t>
            </w:r>
            <w:r>
              <w:rPr>
                <w:color w:val="auto"/>
                <w:vertAlign w:val="superscript"/>
                <w:lang w:bidi="zh-CN"/>
              </w:rPr>
              <w:t>-3</w:t>
            </w:r>
          </w:p>
          <w:p>
            <w:pPr>
              <w:pStyle w:val="47"/>
              <w:ind w:firstLine="480"/>
              <w:rPr>
                <w:color w:val="auto"/>
              </w:rPr>
            </w:pPr>
            <w:r>
              <w:rPr>
                <w:rFonts w:hint="eastAsia"/>
                <w:color w:val="auto"/>
                <w:lang w:val="zh-CN" w:bidi="zh-CN"/>
              </w:rPr>
              <w:t>其中Nc</w:t>
            </w:r>
            <w:r>
              <w:rPr>
                <w:color w:val="auto"/>
                <w:lang w:val="zh-CN" w:bidi="zh-CN"/>
              </w:rPr>
              <w:t>=171875</w:t>
            </w:r>
            <w:r>
              <w:rPr>
                <w:rFonts w:hint="eastAsia"/>
                <w:color w:val="auto"/>
                <w:lang w:val="zh-CN" w:bidi="zh-CN"/>
              </w:rPr>
              <w:t>车/</w:t>
            </w:r>
            <w:r>
              <w:rPr>
                <w:color w:val="auto"/>
                <w:lang w:val="zh-CN" w:bidi="zh-CN"/>
              </w:rPr>
              <w:t>a</w:t>
            </w:r>
            <w:r>
              <w:rPr>
                <w:rFonts w:hint="eastAsia"/>
                <w:color w:val="auto"/>
                <w:lang w:val="zh-CN" w:bidi="zh-CN"/>
              </w:rPr>
              <w:t>，D</w:t>
            </w:r>
            <w:r>
              <w:rPr>
                <w:color w:val="auto"/>
                <w:lang w:val="zh-CN" w:bidi="zh-CN"/>
              </w:rPr>
              <w:t>=</w:t>
            </w:r>
            <w:r>
              <w:rPr>
                <w:rFonts w:hint="eastAsia"/>
                <w:color w:val="auto"/>
                <w:lang w:val="zh-CN" w:bidi="zh-CN"/>
              </w:rPr>
              <w:t>3</w:t>
            </w:r>
            <w:r>
              <w:rPr>
                <w:color w:val="auto"/>
                <w:lang w:val="zh-CN" w:bidi="zh-CN"/>
              </w:rPr>
              <w:t>2t/</w:t>
            </w:r>
            <w:r>
              <w:rPr>
                <w:rFonts w:hint="eastAsia"/>
                <w:color w:val="auto"/>
                <w:lang w:val="zh-CN" w:bidi="zh-CN"/>
              </w:rPr>
              <w:t>车，a</w:t>
            </w:r>
            <w:r>
              <w:rPr>
                <w:color w:val="auto"/>
                <w:lang w:val="zh-CN" w:bidi="zh-CN"/>
              </w:rPr>
              <w:t>=0.0015</w:t>
            </w:r>
            <w:r>
              <w:rPr>
                <w:rFonts w:hint="eastAsia"/>
                <w:color w:val="auto"/>
                <w:lang w:val="zh-CN" w:bidi="zh-CN"/>
              </w:rPr>
              <w:t>，</w:t>
            </w:r>
            <w:r>
              <w:rPr>
                <w:color w:val="auto"/>
                <w:lang w:val="zh-CN" w:bidi="zh-CN"/>
              </w:rPr>
              <w:t>b</w:t>
            </w:r>
            <w:r>
              <w:rPr>
                <w:rFonts w:hint="eastAsia"/>
                <w:color w:val="auto"/>
                <w:lang w:val="zh-CN" w:bidi="zh-CN"/>
              </w:rPr>
              <w:t>=0.0</w:t>
            </w:r>
            <w:r>
              <w:rPr>
                <w:color w:val="auto"/>
                <w:lang w:val="zh-CN" w:bidi="zh-CN"/>
              </w:rPr>
              <w:t>064</w:t>
            </w:r>
            <w:r>
              <w:rPr>
                <w:rFonts w:hint="eastAsia"/>
                <w:color w:val="auto"/>
                <w:lang w:val="zh-CN" w:bidi="zh-CN"/>
              </w:rPr>
              <w:t>，经计算，</w:t>
            </w:r>
            <w:r>
              <w:rPr>
                <w:rFonts w:hint="eastAsia"/>
                <w:color w:val="auto"/>
              </w:rPr>
              <w:t>采矿场装卸扬尘产生量为1</w:t>
            </w:r>
            <w:r>
              <w:rPr>
                <w:color w:val="auto"/>
              </w:rPr>
              <w:t>289t/a</w:t>
            </w:r>
            <w:r>
              <w:rPr>
                <w:rFonts w:hint="eastAsia"/>
                <w:color w:val="auto"/>
              </w:rPr>
              <w:t>。</w:t>
            </w:r>
          </w:p>
          <w:p>
            <w:pPr>
              <w:pStyle w:val="47"/>
              <w:ind w:firstLine="480"/>
              <w:rPr>
                <w:b/>
                <w:bCs/>
                <w:color w:val="auto"/>
              </w:rPr>
            </w:pPr>
            <w:r>
              <w:rPr>
                <w:rFonts w:hint="eastAsia"/>
                <w:color w:val="auto"/>
              </w:rPr>
              <w:t>本次评价要求建设单位加强装车管理工作，尽量降低装卸物料落差；除日常对堆场采取洒水降尘措施外，原料装卸车过程应临时增加对装卸车矿石及装卸车区域的喷洒水从而减少扬尘产生；物料装车后迅速遮盖篷布，防治发生二次扬尘；建设单位应选择无风或微风的天气条件下进行装卸，大风天气严禁装卸物料。通过以上措施控制后，项目装卸扬尘降尘效率可达</w:t>
            </w:r>
            <w:r>
              <w:rPr>
                <w:color w:val="auto"/>
              </w:rPr>
              <w:t>85</w:t>
            </w:r>
            <w:r>
              <w:rPr>
                <w:rFonts w:hint="eastAsia"/>
                <w:color w:val="auto"/>
              </w:rPr>
              <w:t>%，采取以上措施后，项目装卸扬尘排放为</w:t>
            </w:r>
            <w:r>
              <w:rPr>
                <w:color w:val="auto"/>
              </w:rPr>
              <w:t>193.35</w:t>
            </w:r>
            <w:r>
              <w:rPr>
                <w:rFonts w:hint="eastAsia"/>
                <w:color w:val="auto"/>
              </w:rPr>
              <w:t>t/a。</w:t>
            </w:r>
          </w:p>
          <w:p>
            <w:pPr>
              <w:pStyle w:val="47"/>
              <w:ind w:firstLine="480"/>
              <w:rPr>
                <w:color w:val="auto"/>
              </w:rPr>
            </w:pPr>
            <w:r>
              <w:rPr>
                <w:rFonts w:hint="eastAsia"/>
                <w:snapToGrid/>
                <w:color w:val="auto"/>
                <w:lang w:bidi="zh-CN"/>
              </w:rPr>
              <w:t>2)爆破废气</w:t>
            </w:r>
          </w:p>
          <w:p>
            <w:pPr>
              <w:pStyle w:val="47"/>
              <w:ind w:firstLine="480"/>
              <w:rPr>
                <w:color w:val="auto"/>
                <w:lang w:bidi="zh-CN"/>
              </w:rPr>
            </w:pPr>
            <w:r>
              <w:rPr>
                <w:rFonts w:hint="eastAsia"/>
                <w:color w:val="auto"/>
                <w:lang w:bidi="zh-CN"/>
              </w:rPr>
              <w:t>项目爆破器材、材料和爆破作业均由当地有资质的爆破公司负责提供和操作，爆破作业采用乳化炸药一数码电子雷管的起爆网路，爆破</w:t>
            </w:r>
            <w:r>
              <w:rPr>
                <w:rFonts w:hint="eastAsia"/>
                <w:color w:val="auto"/>
              </w:rPr>
              <w:t>穿孔台阶高度为15m，钻孔直径150mm，孔距为5m、行距为4m，</w:t>
            </w:r>
            <w:r>
              <w:rPr>
                <w:rFonts w:hint="eastAsia"/>
                <w:color w:val="auto"/>
                <w:lang w:bidi="zh-CN"/>
              </w:rPr>
              <w:t>炸药使用量约为1336t/a。每7天爆破一次，爆破过程产生含粉尘、CO、NOx废气。</w:t>
            </w:r>
          </w:p>
          <w:p>
            <w:pPr>
              <w:pStyle w:val="47"/>
              <w:ind w:firstLine="480"/>
              <w:rPr>
                <w:b/>
                <w:bCs/>
                <w:color w:val="auto"/>
              </w:rPr>
            </w:pPr>
            <w:r>
              <w:rPr>
                <w:rFonts w:hint="eastAsia"/>
                <w:snapToGrid/>
                <w:color w:val="auto"/>
                <w:lang w:bidi="zh-CN"/>
              </w:rPr>
              <w:t>爆破粉尘的产生浓度受岩矿的含水率、施工方式、环境湿度、岩矿成分、爆破量等诸多因素的影响，爆破后粒径大的粉尘在近距离内短时间沉降，根据《露天矿爆破粉尘排放量的计算分析》（1996，《金属矿山》第三期）的相关研究，每吨炸药爆炸时产生的粉尘量为54.2kg。</w:t>
            </w:r>
          </w:p>
          <w:p>
            <w:pPr>
              <w:pStyle w:val="47"/>
              <w:ind w:firstLine="480"/>
              <w:rPr>
                <w:color w:val="auto"/>
                <w:lang w:bidi="zh-CN"/>
              </w:rPr>
            </w:pPr>
            <w:r>
              <w:rPr>
                <w:rFonts w:hint="eastAsia"/>
                <w:color w:val="auto"/>
                <w:lang w:bidi="zh-CN"/>
              </w:rPr>
              <w:t>根据《浅谈工程爆破中的灾害及其控制》( 2015年10月，《建材与装饰》)、《工程爆破中大气污染物的形成机理及控制》等，不同的炸药其大气污染物产生量存在明显的差别，譬如铵油炸药爆炸产生的CO、NOx分别为13.8g/kg、31.2g/kg，2＃岩石硝铵炸药产生的CO、NOx 分别为6.3g/kg、14.6g/kg。</w:t>
            </w:r>
          </w:p>
          <w:p>
            <w:pPr>
              <w:pStyle w:val="47"/>
              <w:ind w:firstLine="480"/>
              <w:rPr>
                <w:color w:val="auto"/>
                <w:lang w:bidi="zh-CN"/>
              </w:rPr>
            </w:pPr>
            <w:r>
              <w:rPr>
                <w:rFonts w:hint="eastAsia"/>
                <w:color w:val="auto"/>
                <w:lang w:bidi="zh-CN"/>
              </w:rPr>
              <w:t>本项目爆破采用2＃岩石硝铵乳化炸药，炸药用量约为1336t/a，项目的爆破工艺采用深孔爆破、在孔眼底部安装水袋，炮孔中水袋里的水体在爆炸的作用下会产生雾化作用，可以吸收粉尘，降低爆破后的粉尘浓度，并采用合理的炮孔网度及向预爆区洒水，同时采用爆堆远程洒水的方式抑尘，爆破后区域开启雾炮机增湿等措施，参考张震宇的《露天采矿场粉尘污染及其防治》，爆破粉尘量可减少90% ，采用以上措施综合防尘后，本项目基建期爆破开采产生的粉尘量、CO、NOx分别为72.4112t/a，8.4168 t/a，19.5056 t/a。</w:t>
            </w:r>
          </w:p>
          <w:p>
            <w:pPr>
              <w:pStyle w:val="50"/>
              <w:numPr>
                <w:ilvl w:val="0"/>
                <w:numId w:val="2"/>
              </w:numPr>
              <w:snapToGrid w:val="0"/>
              <w:spacing w:line="240" w:lineRule="auto"/>
              <w:ind w:firstLineChars="0"/>
              <w:jc w:val="center"/>
              <w:rPr>
                <w:b/>
                <w:bCs/>
              </w:rPr>
            </w:pPr>
            <w:r>
              <w:rPr>
                <w:rFonts w:hint="eastAsia"/>
                <w:b/>
                <w:bCs/>
              </w:rPr>
              <w:t>营运期爆破采矿的废气产生及排放量</w:t>
            </w:r>
          </w:p>
          <w:tbl>
            <w:tblPr>
              <w:tblStyle w:val="22"/>
              <w:tblW w:w="888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863"/>
              <w:gridCol w:w="1499"/>
              <w:gridCol w:w="1833"/>
              <w:gridCol w:w="1085"/>
              <w:gridCol w:w="1436"/>
              <w:gridCol w:w="116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863"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污染物</w:t>
                  </w:r>
                </w:p>
              </w:tc>
              <w:tc>
                <w:tcPr>
                  <w:tcW w:w="1499"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kern w:val="0"/>
                      <w:szCs w:val="20"/>
                    </w:rPr>
                    <w:t>单位炸药产废</w:t>
                  </w:r>
                  <w:r>
                    <w:rPr>
                      <w:rFonts w:hint="eastAsia" w:cs="宋体"/>
                      <w:spacing w:val="-53"/>
                      <w:kern w:val="0"/>
                      <w:szCs w:val="20"/>
                    </w:rPr>
                    <w:t xml:space="preserve"> </w:t>
                  </w:r>
                  <w:r>
                    <w:rPr>
                      <w:rFonts w:hint="eastAsia" w:cs="宋体"/>
                      <w:kern w:val="0"/>
                      <w:szCs w:val="20"/>
                    </w:rPr>
                    <w:t>气量</w:t>
                  </w:r>
                  <w:r>
                    <w:rPr>
                      <w:rFonts w:hint="eastAsia" w:cs="宋体"/>
                      <w:spacing w:val="-13"/>
                      <w:kern w:val="0"/>
                      <w:szCs w:val="20"/>
                    </w:rPr>
                    <w:t xml:space="preserve"> </w:t>
                  </w:r>
                  <w:r>
                    <w:rPr>
                      <w:rFonts w:hint="eastAsia" w:cs="宋体"/>
                      <w:w w:val="75"/>
                      <w:kern w:val="0"/>
                      <w:szCs w:val="20"/>
                    </w:rPr>
                    <w:t>（</w:t>
                  </w:r>
                  <w:r>
                    <w:rPr>
                      <w:rFonts w:hint="eastAsia" w:cs="宋体"/>
                      <w:spacing w:val="-59"/>
                      <w:w w:val="75"/>
                      <w:kern w:val="0"/>
                      <w:szCs w:val="20"/>
                    </w:rPr>
                    <w:t xml:space="preserve"> </w:t>
                  </w:r>
                  <w:r>
                    <w:rPr>
                      <w:rFonts w:hint="eastAsia"/>
                      <w:kern w:val="0"/>
                      <w:szCs w:val="20"/>
                    </w:rPr>
                    <w:t>kg/t</w:t>
                  </w:r>
                  <w:r>
                    <w:rPr>
                      <w:rFonts w:hint="eastAsia"/>
                      <w:spacing w:val="-29"/>
                      <w:kern w:val="0"/>
                      <w:szCs w:val="20"/>
                    </w:rPr>
                    <w:t xml:space="preserve"> </w:t>
                  </w:r>
                  <w:r>
                    <w:rPr>
                      <w:rFonts w:hint="eastAsia"/>
                      <w:kern w:val="0"/>
                      <w:szCs w:val="20"/>
                    </w:rPr>
                    <w:t>)</w:t>
                  </w:r>
                </w:p>
              </w:tc>
              <w:tc>
                <w:tcPr>
                  <w:tcW w:w="1833" w:type="dxa"/>
                  <w:shd w:val="clear" w:color="auto" w:fill="auto"/>
                  <w:vAlign w:val="center"/>
                </w:tcPr>
                <w:p>
                  <w:pPr>
                    <w:tabs>
                      <w:tab w:val="left" w:pos="1872"/>
                    </w:tabs>
                    <w:kinsoku w:val="0"/>
                    <w:overflowPunct w:val="0"/>
                    <w:autoSpaceDE w:val="0"/>
                    <w:autoSpaceDN w:val="0"/>
                    <w:adjustRightInd w:val="0"/>
                    <w:spacing w:line="360" w:lineRule="exact"/>
                    <w:jc w:val="center"/>
                    <w:rPr>
                      <w:kern w:val="0"/>
                    </w:rPr>
                  </w:pPr>
                  <w:r>
                    <w:rPr>
                      <w:rFonts w:hint="eastAsia" w:cs="宋体"/>
                      <w:kern w:val="0"/>
                      <w:szCs w:val="20"/>
                    </w:rPr>
                    <w:t xml:space="preserve">炸药年使用量 </w:t>
                  </w:r>
                  <w:r>
                    <w:rPr>
                      <w:rFonts w:hint="eastAsia"/>
                      <w:w w:val="85"/>
                      <w:kern w:val="0"/>
                      <w:szCs w:val="20"/>
                    </w:rPr>
                    <w:t>(</w:t>
                  </w:r>
                  <w:r>
                    <w:rPr>
                      <w:rFonts w:hint="eastAsia"/>
                      <w:kern w:val="0"/>
                      <w:szCs w:val="20"/>
                    </w:rPr>
                    <w:t>t</w:t>
                  </w:r>
                  <w:r>
                    <w:rPr>
                      <w:rFonts w:hint="eastAsia"/>
                      <w:spacing w:val="-6"/>
                      <w:kern w:val="0"/>
                      <w:szCs w:val="20"/>
                    </w:rPr>
                    <w:t xml:space="preserve"> </w:t>
                  </w:r>
                  <w:r>
                    <w:rPr>
                      <w:rFonts w:hint="eastAsia"/>
                      <w:kern w:val="0"/>
                      <w:szCs w:val="20"/>
                    </w:rPr>
                    <w:t xml:space="preserve">) </w:t>
                  </w:r>
                </w:p>
              </w:tc>
              <w:tc>
                <w:tcPr>
                  <w:tcW w:w="1085" w:type="dxa"/>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w w:val="105"/>
                      <w:kern w:val="0"/>
                      <w:szCs w:val="20"/>
                    </w:rPr>
                    <w:t>产生量</w:t>
                  </w:r>
                </w:p>
                <w:p>
                  <w:pPr>
                    <w:kinsoku w:val="0"/>
                    <w:overflowPunct w:val="0"/>
                    <w:autoSpaceDE w:val="0"/>
                    <w:autoSpaceDN w:val="0"/>
                    <w:adjustRightInd w:val="0"/>
                    <w:spacing w:line="360" w:lineRule="exact"/>
                    <w:jc w:val="center"/>
                    <w:rPr>
                      <w:kern w:val="0"/>
                    </w:rPr>
                  </w:pPr>
                  <w:r>
                    <w:rPr>
                      <w:rFonts w:hint="eastAsia"/>
                      <w:w w:val="75"/>
                      <w:kern w:val="0"/>
                      <w:szCs w:val="20"/>
                    </w:rPr>
                    <w:t>（t/a）</w:t>
                  </w:r>
                </w:p>
              </w:tc>
              <w:tc>
                <w:tcPr>
                  <w:tcW w:w="1436"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去除率</w:t>
                  </w:r>
                </w:p>
              </w:tc>
              <w:tc>
                <w:tcPr>
                  <w:tcW w:w="1166" w:type="dxa"/>
                  <w:shd w:val="clear" w:color="auto" w:fill="auto"/>
                  <w:vAlign w:val="center"/>
                </w:tcPr>
                <w:p>
                  <w:pPr>
                    <w:kinsoku w:val="0"/>
                    <w:overflowPunct w:val="0"/>
                    <w:autoSpaceDE w:val="0"/>
                    <w:autoSpaceDN w:val="0"/>
                    <w:adjustRightInd w:val="0"/>
                    <w:spacing w:line="360" w:lineRule="exact"/>
                    <w:jc w:val="center"/>
                    <w:rPr>
                      <w:rFonts w:cs="宋体"/>
                      <w:kern w:val="0"/>
                      <w:szCs w:val="20"/>
                    </w:rPr>
                  </w:pPr>
                  <w:r>
                    <w:rPr>
                      <w:rFonts w:hint="eastAsia" w:cs="宋体"/>
                      <w:w w:val="105"/>
                      <w:kern w:val="0"/>
                      <w:szCs w:val="20"/>
                    </w:rPr>
                    <w:t>排放量</w:t>
                  </w:r>
                </w:p>
                <w:p>
                  <w:pPr>
                    <w:kinsoku w:val="0"/>
                    <w:overflowPunct w:val="0"/>
                    <w:autoSpaceDE w:val="0"/>
                    <w:autoSpaceDN w:val="0"/>
                    <w:adjustRightInd w:val="0"/>
                    <w:spacing w:line="360" w:lineRule="exact"/>
                    <w:jc w:val="center"/>
                    <w:rPr>
                      <w:kern w:val="0"/>
                    </w:rPr>
                  </w:pPr>
                  <w:r>
                    <w:rPr>
                      <w:rFonts w:hint="eastAsia"/>
                      <w:w w:val="70"/>
                      <w:kern w:val="0"/>
                      <w:szCs w:val="20"/>
                    </w:rPr>
                    <w:t>（t/a）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863"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10"/>
                      <w:kern w:val="0"/>
                      <w:szCs w:val="29"/>
                    </w:rPr>
                    <w:t>CO</w:t>
                  </w:r>
                </w:p>
              </w:tc>
              <w:tc>
                <w:tcPr>
                  <w:tcW w:w="1499"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6.3</w:t>
                  </w:r>
                </w:p>
              </w:tc>
              <w:tc>
                <w:tcPr>
                  <w:tcW w:w="1833" w:type="dxa"/>
                  <w:vMerge w:val="restart"/>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1336</w:t>
                  </w:r>
                </w:p>
              </w:tc>
              <w:tc>
                <w:tcPr>
                  <w:tcW w:w="1085"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8.4168</w:t>
                  </w:r>
                </w:p>
              </w:tc>
              <w:tc>
                <w:tcPr>
                  <w:tcW w:w="1436" w:type="dxa"/>
                  <w:shd w:val="clear" w:color="auto" w:fill="auto"/>
                  <w:vAlign w:val="center"/>
                </w:tcPr>
                <w:p>
                  <w:pPr>
                    <w:autoSpaceDE w:val="0"/>
                    <w:autoSpaceDN w:val="0"/>
                    <w:adjustRightInd w:val="0"/>
                    <w:spacing w:line="360" w:lineRule="exact"/>
                    <w:jc w:val="center"/>
                    <w:rPr>
                      <w:kern w:val="0"/>
                    </w:rPr>
                  </w:pPr>
                  <w:r>
                    <w:rPr>
                      <w:rFonts w:hint="eastAsia"/>
                      <w:kern w:val="0"/>
                    </w:rPr>
                    <w:t>0</w:t>
                  </w:r>
                </w:p>
              </w:tc>
              <w:tc>
                <w:tcPr>
                  <w:tcW w:w="1166"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8.4168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863"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szCs w:val="20"/>
                    </w:rPr>
                    <w:t>NOx</w:t>
                  </w:r>
                </w:p>
              </w:tc>
              <w:tc>
                <w:tcPr>
                  <w:tcW w:w="1499"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14.6</w:t>
                  </w:r>
                </w:p>
              </w:tc>
              <w:tc>
                <w:tcPr>
                  <w:tcW w:w="1833" w:type="dxa"/>
                  <w:vMerge w:val="continue"/>
                  <w:shd w:val="clear" w:color="auto" w:fill="auto"/>
                  <w:vAlign w:val="center"/>
                </w:tcPr>
                <w:p>
                  <w:pPr>
                    <w:kinsoku w:val="0"/>
                    <w:overflowPunct w:val="0"/>
                    <w:autoSpaceDE w:val="0"/>
                    <w:autoSpaceDN w:val="0"/>
                    <w:adjustRightInd w:val="0"/>
                    <w:spacing w:line="360" w:lineRule="exact"/>
                    <w:jc w:val="center"/>
                    <w:rPr>
                      <w:kern w:val="0"/>
                    </w:rPr>
                  </w:pPr>
                </w:p>
              </w:tc>
              <w:tc>
                <w:tcPr>
                  <w:tcW w:w="1085"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19.5056</w:t>
                  </w:r>
                </w:p>
              </w:tc>
              <w:tc>
                <w:tcPr>
                  <w:tcW w:w="1436" w:type="dxa"/>
                  <w:shd w:val="clear" w:color="auto" w:fill="auto"/>
                  <w:vAlign w:val="center"/>
                </w:tcPr>
                <w:p>
                  <w:pPr>
                    <w:autoSpaceDE w:val="0"/>
                    <w:autoSpaceDN w:val="0"/>
                    <w:adjustRightInd w:val="0"/>
                    <w:spacing w:line="360" w:lineRule="exact"/>
                    <w:jc w:val="center"/>
                    <w:rPr>
                      <w:kern w:val="0"/>
                    </w:rPr>
                  </w:pPr>
                  <w:r>
                    <w:rPr>
                      <w:rFonts w:hint="eastAsia"/>
                      <w:kern w:val="0"/>
                    </w:rPr>
                    <w:t>0</w:t>
                  </w:r>
                </w:p>
              </w:tc>
              <w:tc>
                <w:tcPr>
                  <w:tcW w:w="1166"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19.5056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863"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TSP</w:t>
                  </w:r>
                </w:p>
              </w:tc>
              <w:tc>
                <w:tcPr>
                  <w:tcW w:w="1499"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szCs w:val="20"/>
                    </w:rPr>
                    <w:t>54.2</w:t>
                  </w:r>
                </w:p>
              </w:tc>
              <w:tc>
                <w:tcPr>
                  <w:tcW w:w="1833" w:type="dxa"/>
                  <w:vMerge w:val="continue"/>
                  <w:shd w:val="clear" w:color="auto" w:fill="auto"/>
                  <w:vAlign w:val="center"/>
                </w:tcPr>
                <w:p>
                  <w:pPr>
                    <w:kinsoku w:val="0"/>
                    <w:overflowPunct w:val="0"/>
                    <w:autoSpaceDE w:val="0"/>
                    <w:autoSpaceDN w:val="0"/>
                    <w:adjustRightInd w:val="0"/>
                    <w:spacing w:line="360" w:lineRule="exact"/>
                    <w:jc w:val="center"/>
                    <w:rPr>
                      <w:kern w:val="0"/>
                    </w:rPr>
                  </w:pPr>
                </w:p>
              </w:tc>
              <w:tc>
                <w:tcPr>
                  <w:tcW w:w="1085"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kern w:val="0"/>
                    </w:rPr>
                    <w:t>72.4112</w:t>
                  </w:r>
                </w:p>
              </w:tc>
              <w:tc>
                <w:tcPr>
                  <w:tcW w:w="1436"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cs="宋体"/>
                      <w:w w:val="105"/>
                      <w:kern w:val="0"/>
                      <w:szCs w:val="20"/>
                    </w:rPr>
                    <w:t>粉尘</w:t>
                  </w:r>
                  <w:r>
                    <w:rPr>
                      <w:rFonts w:hint="eastAsia" w:cs="宋体"/>
                      <w:spacing w:val="-45"/>
                      <w:w w:val="105"/>
                      <w:kern w:val="0"/>
                      <w:szCs w:val="20"/>
                    </w:rPr>
                    <w:t xml:space="preserve"> </w:t>
                  </w:r>
                  <w:r>
                    <w:rPr>
                      <w:rFonts w:hint="eastAsia"/>
                      <w:w w:val="105"/>
                      <w:kern w:val="0"/>
                      <w:szCs w:val="20"/>
                    </w:rPr>
                    <w:t>90%</w:t>
                  </w:r>
                </w:p>
              </w:tc>
              <w:tc>
                <w:tcPr>
                  <w:tcW w:w="1166" w:type="dxa"/>
                  <w:shd w:val="clear" w:color="auto" w:fill="auto"/>
                  <w:vAlign w:val="center"/>
                </w:tcPr>
                <w:p>
                  <w:pPr>
                    <w:kinsoku w:val="0"/>
                    <w:overflowPunct w:val="0"/>
                    <w:autoSpaceDE w:val="0"/>
                    <w:autoSpaceDN w:val="0"/>
                    <w:adjustRightInd w:val="0"/>
                    <w:spacing w:line="360" w:lineRule="exact"/>
                    <w:jc w:val="center"/>
                    <w:rPr>
                      <w:kern w:val="0"/>
                    </w:rPr>
                  </w:pPr>
                  <w:r>
                    <w:rPr>
                      <w:rFonts w:hint="eastAsia"/>
                      <w:w w:val="105"/>
                      <w:kern w:val="0"/>
                      <w:szCs w:val="20"/>
                    </w:rPr>
                    <w:t>7.241</w:t>
                  </w:r>
                </w:p>
              </w:tc>
            </w:tr>
          </w:tbl>
          <w:p>
            <w:pPr>
              <w:pStyle w:val="47"/>
              <w:ind w:firstLine="480"/>
              <w:rPr>
                <w:color w:val="auto"/>
                <w:lang w:bidi="zh-CN"/>
              </w:rPr>
            </w:pPr>
            <w:r>
              <w:rPr>
                <w:rFonts w:hint="eastAsia"/>
                <w:color w:val="auto"/>
                <w:lang w:bidi="zh-CN"/>
              </w:rPr>
              <w:t>二次破碎粉尘</w:t>
            </w:r>
          </w:p>
          <w:p>
            <w:pPr>
              <w:pStyle w:val="47"/>
              <w:ind w:firstLine="480"/>
              <w:rPr>
                <w:color w:val="auto"/>
              </w:rPr>
            </w:pPr>
            <w:r>
              <w:rPr>
                <w:rFonts w:hint="eastAsia"/>
                <w:color w:val="auto"/>
              </w:rPr>
              <w:t>露天采场出矿块度控制在0.5m以下，大于0.5m大块需进行二次破碎，设计通过挖掘机牙尖对工作面大块矿石进行二次破碎，二次破碎过程中将产生粉尘 。</w:t>
            </w:r>
          </w:p>
          <w:p>
            <w:pPr>
              <w:pStyle w:val="47"/>
              <w:ind w:firstLine="480"/>
              <w:rPr>
                <w:b/>
                <w:bCs/>
                <w:color w:val="auto"/>
              </w:rPr>
            </w:pPr>
            <w:r>
              <w:rPr>
                <w:rFonts w:hint="eastAsia"/>
                <w:color w:val="auto"/>
                <w:kern w:val="2"/>
              </w:rPr>
              <w:t>通过合理设计爆破方案控制爆破的大块率 ，经爆破后大块矿石占爆破量的约 1%，类比同类工程采场开采情况，二次破碎（破碎至0.4m以下）过程粉尘产生量较小，粉尘产生情况与风速和土岩潮湿情况有关，其影响范围主要在开采工作面上。项目采取洒水增加湿度，并配备雾炮机对作业区进行喷雾的方式减少粉尘的产生，经采用洒水的湿式作业后二次破碎粉尘较少。</w:t>
            </w:r>
          </w:p>
          <w:p>
            <w:pPr>
              <w:pStyle w:val="47"/>
              <w:ind w:firstLine="480"/>
              <w:rPr>
                <w:color w:val="auto"/>
                <w:lang w:val="zh-CN" w:bidi="zh-CN"/>
              </w:rPr>
            </w:pPr>
            <w:r>
              <w:rPr>
                <w:rFonts w:hint="eastAsia"/>
                <w:color w:val="auto"/>
                <w:lang w:val="zh-CN" w:bidi="zh-CN"/>
              </w:rPr>
              <w:t>3）表土临时堆放场面源</w:t>
            </w:r>
          </w:p>
          <w:p>
            <w:pPr>
              <w:pStyle w:val="47"/>
              <w:ind w:firstLine="480"/>
              <w:rPr>
                <w:color w:val="auto"/>
                <w:lang w:val="zh-CN" w:bidi="zh-CN"/>
              </w:rPr>
            </w:pPr>
            <w:r>
              <w:rPr>
                <w:rFonts w:hint="eastAsia"/>
                <w:color w:val="auto"/>
                <w:lang w:val="zh-CN" w:bidi="zh-CN"/>
              </w:rPr>
              <w:t>表土临时堆场产生的扬尘采用《固体物料堆存颗粒物产排污核算系数手册》进行核算。</w:t>
            </w:r>
          </w:p>
          <w:p>
            <w:pPr>
              <w:pStyle w:val="47"/>
              <w:ind w:firstLine="480"/>
              <w:rPr>
                <w:color w:val="auto"/>
                <w:lang w:val="zh-CN" w:bidi="zh-CN"/>
              </w:rPr>
            </w:pPr>
            <w:r>
              <w:rPr>
                <w:color w:val="auto"/>
                <w:lang w:val="zh-CN" w:bidi="zh-CN"/>
              </w:rPr>
              <w:fldChar w:fldCharType="begin"/>
            </w:r>
            <w:r>
              <w:rPr>
                <w:color w:val="auto"/>
                <w:lang w:val="zh-CN" w:bidi="zh-CN"/>
              </w:rPr>
              <w:instrText xml:space="preserve"> </w:instrText>
            </w:r>
            <w:r>
              <w:rPr>
                <w:rFonts w:hint="eastAsia"/>
                <w:color w:val="auto"/>
                <w:lang w:val="zh-CN" w:bidi="zh-CN"/>
              </w:rPr>
              <w:instrText xml:space="preserve">= 1 \* GB3</w:instrText>
            </w:r>
            <w:r>
              <w:rPr>
                <w:color w:val="auto"/>
                <w:lang w:val="zh-CN" w:bidi="zh-CN"/>
              </w:rPr>
              <w:instrText xml:space="preserve"> </w:instrText>
            </w:r>
            <w:r>
              <w:rPr>
                <w:color w:val="auto"/>
                <w:lang w:val="zh-CN" w:bidi="zh-CN"/>
              </w:rPr>
              <w:fldChar w:fldCharType="separate"/>
            </w:r>
            <w:r>
              <w:rPr>
                <w:rFonts w:hint="eastAsia"/>
                <w:color w:val="auto"/>
                <w:lang w:val="zh-CN" w:bidi="zh-CN"/>
              </w:rPr>
              <w:t>①</w:t>
            </w:r>
            <w:r>
              <w:rPr>
                <w:color w:val="auto"/>
                <w:lang w:val="zh-CN" w:bidi="zh-CN"/>
              </w:rPr>
              <w:fldChar w:fldCharType="end"/>
            </w:r>
            <w:r>
              <w:rPr>
                <w:rFonts w:hint="eastAsia"/>
                <w:color w:val="auto"/>
                <w:lang w:val="zh-CN" w:bidi="zh-CN"/>
              </w:rPr>
              <w:t>表土临时堆场颗粒物产生量核算</w:t>
            </w:r>
          </w:p>
          <w:p>
            <w:pPr>
              <w:pStyle w:val="47"/>
              <w:ind w:firstLine="480"/>
              <w:rPr>
                <w:color w:val="auto"/>
                <w:lang w:val="zh-CN" w:bidi="zh-CN"/>
              </w:rPr>
            </w:pPr>
            <w:r>
              <w:rPr>
                <w:color w:val="auto"/>
              </w:rPr>
              <w:drawing>
                <wp:anchor distT="0" distB="0" distL="114300" distR="114300" simplePos="0" relativeHeight="251678720" behindDoc="0" locked="0" layoutInCell="1" allowOverlap="1">
                  <wp:simplePos x="0" y="0"/>
                  <wp:positionH relativeFrom="column">
                    <wp:posOffset>664845</wp:posOffset>
                  </wp:positionH>
                  <wp:positionV relativeFrom="paragraph">
                    <wp:posOffset>203835</wp:posOffset>
                  </wp:positionV>
                  <wp:extent cx="3800475" cy="34290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3800475" cy="342900"/>
                          </a:xfrm>
                          <a:prstGeom prst="rect">
                            <a:avLst/>
                          </a:prstGeom>
                        </pic:spPr>
                      </pic:pic>
                    </a:graphicData>
                  </a:graphic>
                </wp:anchor>
              </w:drawing>
            </w:r>
            <w:r>
              <w:rPr>
                <w:rFonts w:hint="eastAsia"/>
                <w:color w:val="auto"/>
                <w:lang w:val="zh-CN" w:bidi="zh-CN"/>
              </w:rPr>
              <w:t>表土堆场颗粒物包括装卸场尘和风蚀扬尘，颗粒物产生量核算公式如下：</w:t>
            </w:r>
          </w:p>
          <w:p>
            <w:pPr>
              <w:pStyle w:val="47"/>
              <w:ind w:firstLine="0" w:firstLineChars="0"/>
              <w:rPr>
                <w:color w:val="auto"/>
                <w:lang w:val="zh-CN" w:bidi="zh-CN"/>
              </w:rPr>
            </w:pPr>
          </w:p>
          <w:p>
            <w:pPr>
              <w:pStyle w:val="47"/>
              <w:ind w:firstLine="480"/>
              <w:rPr>
                <w:color w:val="auto"/>
                <w:lang w:val="zh-CN" w:bidi="zh-CN"/>
              </w:rPr>
            </w:pPr>
            <w:r>
              <w:rPr>
                <w:rFonts w:hint="eastAsia"/>
                <w:color w:val="auto"/>
                <w:lang w:val="zh-CN" w:bidi="zh-CN"/>
              </w:rPr>
              <w:t>式中：P指颗粒物产生量（单位：吨）；</w:t>
            </w:r>
          </w:p>
          <w:p>
            <w:pPr>
              <w:pStyle w:val="47"/>
              <w:ind w:firstLine="1200" w:firstLineChars="500"/>
              <w:rPr>
                <w:color w:val="auto"/>
                <w:lang w:val="zh-CN" w:bidi="zh-CN"/>
              </w:rPr>
            </w:pPr>
            <w:r>
              <w:rPr>
                <w:rFonts w:hint="eastAsia"/>
                <w:color w:val="auto"/>
                <w:lang w:val="zh-CN" w:bidi="zh-CN"/>
              </w:rPr>
              <w:t>ZCy指装卸扬尘产生量（单位：吨）；</w:t>
            </w:r>
          </w:p>
          <w:p>
            <w:pPr>
              <w:pStyle w:val="47"/>
              <w:ind w:firstLine="1200" w:firstLineChars="500"/>
              <w:rPr>
                <w:color w:val="auto"/>
                <w:lang w:val="zh-CN" w:bidi="zh-CN"/>
              </w:rPr>
            </w:pPr>
            <w:r>
              <w:rPr>
                <w:rFonts w:hint="eastAsia"/>
                <w:color w:val="auto"/>
                <w:lang w:val="zh-CN" w:bidi="zh-CN"/>
              </w:rPr>
              <w:t>FCy指风蚀扬尘产生量（单位：吨）；</w:t>
            </w:r>
          </w:p>
          <w:p>
            <w:pPr>
              <w:pStyle w:val="47"/>
              <w:ind w:firstLine="1200" w:firstLineChars="500"/>
              <w:rPr>
                <w:color w:val="auto"/>
                <w:lang w:val="zh-CN" w:bidi="zh-CN"/>
              </w:rPr>
            </w:pPr>
            <w:r>
              <w:rPr>
                <w:rFonts w:hint="eastAsia"/>
                <w:color w:val="auto"/>
                <w:lang w:val="zh-CN" w:bidi="zh-CN"/>
              </w:rPr>
              <w:t>Nc指年物料运载车次（单位：车）,</w:t>
            </w:r>
            <w:r>
              <w:rPr>
                <w:color w:val="auto"/>
                <w:lang w:val="zh-CN" w:bidi="zh-CN"/>
              </w:rPr>
              <w:t>6313</w:t>
            </w:r>
            <w:r>
              <w:rPr>
                <w:rFonts w:hint="eastAsia"/>
                <w:color w:val="auto"/>
                <w:lang w:val="zh-CN" w:bidi="zh-CN"/>
              </w:rPr>
              <w:t>次/</w:t>
            </w:r>
            <w:r>
              <w:rPr>
                <w:color w:val="auto"/>
                <w:lang w:val="zh-CN" w:bidi="zh-CN"/>
              </w:rPr>
              <w:t>a</w:t>
            </w:r>
            <w:r>
              <w:rPr>
                <w:rFonts w:hint="eastAsia"/>
                <w:color w:val="auto"/>
                <w:lang w:val="zh-CN" w:bidi="zh-CN"/>
              </w:rPr>
              <w:t>；</w:t>
            </w:r>
          </w:p>
          <w:p>
            <w:pPr>
              <w:pStyle w:val="47"/>
              <w:ind w:firstLine="1200" w:firstLineChars="500"/>
              <w:rPr>
                <w:color w:val="auto"/>
                <w:lang w:val="zh-CN" w:bidi="zh-CN"/>
              </w:rPr>
            </w:pPr>
            <w:r>
              <w:rPr>
                <w:rFonts w:hint="eastAsia"/>
                <w:color w:val="auto"/>
                <w:lang w:val="zh-CN" w:bidi="zh-CN"/>
              </w:rPr>
              <w:t>D指单车平均运载量（单位：吨/车），本项目取3</w:t>
            </w:r>
            <w:r>
              <w:rPr>
                <w:color w:val="auto"/>
                <w:lang w:val="zh-CN" w:bidi="zh-CN"/>
              </w:rPr>
              <w:t>2t/</w:t>
            </w:r>
            <w:r>
              <w:rPr>
                <w:rFonts w:hint="eastAsia"/>
                <w:color w:val="auto"/>
                <w:lang w:val="zh-CN" w:bidi="zh-CN"/>
              </w:rPr>
              <w:t>车；</w:t>
            </w:r>
          </w:p>
          <w:p>
            <w:pPr>
              <w:pStyle w:val="47"/>
              <w:ind w:firstLine="1200" w:firstLineChars="500"/>
              <w:rPr>
                <w:color w:val="auto"/>
                <w:lang w:val="zh-CN" w:bidi="zh-CN"/>
              </w:rPr>
            </w:pPr>
            <w:r>
              <w:rPr>
                <w:rFonts w:hint="eastAsia"/>
                <w:color w:val="auto"/>
                <w:lang w:val="zh-CN" w:bidi="zh-CN"/>
              </w:rPr>
              <w:t>（a</w:t>
            </w:r>
            <w:r>
              <w:rPr>
                <w:color w:val="auto"/>
                <w:lang w:val="zh-CN" w:bidi="zh-CN"/>
              </w:rPr>
              <w:t>/b</w:t>
            </w:r>
            <w:r>
              <w:rPr>
                <w:rFonts w:hint="eastAsia"/>
                <w:color w:val="auto"/>
                <w:lang w:val="zh-CN" w:bidi="zh-CN"/>
              </w:rPr>
              <w:t>）指装卸扬尘概化系数（单位：千克/吨），a指各省风速概化系数，见附录1，经查阅a</w:t>
            </w:r>
            <w:r>
              <w:rPr>
                <w:color w:val="auto"/>
                <w:lang w:val="zh-CN" w:bidi="zh-CN"/>
              </w:rPr>
              <w:t>=0.0015</w:t>
            </w:r>
            <w:r>
              <w:rPr>
                <w:rFonts w:hint="eastAsia"/>
                <w:color w:val="auto"/>
                <w:lang w:val="zh-CN" w:bidi="zh-CN"/>
              </w:rPr>
              <w:t>，b指物料含水率概化系数，见附录2，经查阅本项目表土定期洒水，含水率1</w:t>
            </w:r>
            <w:r>
              <w:rPr>
                <w:color w:val="auto"/>
                <w:lang w:val="zh-CN" w:bidi="zh-CN"/>
              </w:rPr>
              <w:t>0%</w:t>
            </w:r>
            <w:r>
              <w:rPr>
                <w:rFonts w:hint="eastAsia"/>
                <w:color w:val="auto"/>
                <w:lang w:val="zh-CN" w:bidi="zh-CN"/>
              </w:rPr>
              <w:t>时</w:t>
            </w:r>
            <w:r>
              <w:rPr>
                <w:color w:val="auto"/>
                <w:lang w:val="zh-CN" w:bidi="zh-CN"/>
              </w:rPr>
              <w:t>b</w:t>
            </w:r>
            <w:r>
              <w:rPr>
                <w:rFonts w:hint="eastAsia"/>
                <w:color w:val="auto"/>
                <w:lang w:val="zh-CN" w:bidi="zh-CN"/>
              </w:rPr>
              <w:t>=0.015</w:t>
            </w:r>
            <w:r>
              <w:rPr>
                <w:color w:val="auto"/>
                <w:lang w:val="zh-CN" w:bidi="zh-CN"/>
              </w:rPr>
              <w:t>1</w:t>
            </w:r>
            <w:r>
              <w:rPr>
                <w:rFonts w:hint="eastAsia"/>
                <w:color w:val="auto"/>
                <w:lang w:val="zh-CN" w:bidi="zh-CN"/>
              </w:rPr>
              <w:t>；</w:t>
            </w:r>
          </w:p>
          <w:p>
            <w:pPr>
              <w:pStyle w:val="47"/>
              <w:ind w:firstLine="1200" w:firstLineChars="500"/>
              <w:rPr>
                <w:color w:val="auto"/>
                <w:lang w:val="zh-CN" w:bidi="zh-CN"/>
              </w:rPr>
            </w:pPr>
            <w:r>
              <w:rPr>
                <w:rFonts w:hint="eastAsia"/>
                <w:color w:val="auto"/>
                <w:lang w:val="zh-CN" w:bidi="zh-CN"/>
              </w:rPr>
              <w:t>E</w:t>
            </w:r>
            <w:r>
              <w:rPr>
                <w:rFonts w:hint="eastAsia"/>
                <w:color w:val="auto"/>
                <w:vertAlign w:val="subscript"/>
                <w:lang w:val="zh-CN" w:bidi="zh-CN"/>
              </w:rPr>
              <w:t>f</w:t>
            </w:r>
            <w:r>
              <w:rPr>
                <w:rFonts w:hint="eastAsia"/>
                <w:color w:val="auto"/>
                <w:lang w:val="zh-CN" w:bidi="zh-CN"/>
              </w:rPr>
              <w:t>指堆场风蚀扬尘概化系数，见附录3（单位：千克/平方米），经查阅表土E</w:t>
            </w:r>
            <w:r>
              <w:rPr>
                <w:rFonts w:hint="eastAsia"/>
                <w:color w:val="auto"/>
                <w:vertAlign w:val="subscript"/>
                <w:lang w:val="zh-CN" w:bidi="zh-CN"/>
              </w:rPr>
              <w:t>f</w:t>
            </w:r>
            <w:r>
              <w:rPr>
                <w:rFonts w:hint="eastAsia"/>
                <w:color w:val="auto"/>
                <w:lang w:val="zh-CN" w:bidi="zh-CN"/>
              </w:rPr>
              <w:t>=4</w:t>
            </w:r>
            <w:r>
              <w:rPr>
                <w:color w:val="auto"/>
                <w:lang w:val="zh-CN" w:bidi="zh-CN"/>
              </w:rPr>
              <w:t>1.5809</w:t>
            </w:r>
            <w:r>
              <w:rPr>
                <w:rFonts w:hint="eastAsia"/>
                <w:color w:val="auto"/>
                <w:lang w:val="zh-CN" w:bidi="zh-CN"/>
              </w:rPr>
              <w:t>；</w:t>
            </w:r>
          </w:p>
          <w:p>
            <w:pPr>
              <w:pStyle w:val="47"/>
              <w:ind w:firstLine="1200" w:firstLineChars="500"/>
              <w:rPr>
                <w:color w:val="auto"/>
                <w:lang w:val="zh-CN" w:bidi="zh-CN"/>
              </w:rPr>
            </w:pPr>
            <w:r>
              <w:rPr>
                <w:rFonts w:hint="eastAsia"/>
                <w:color w:val="auto"/>
                <w:lang w:val="zh-CN" w:bidi="zh-CN"/>
              </w:rPr>
              <w:t>S指堆场占地面积（单位：平方米），本项目营运期表土堆场占地面积</w:t>
            </w:r>
            <w:r>
              <w:rPr>
                <w:rFonts w:hint="eastAsia"/>
                <w:color w:val="auto"/>
                <w:szCs w:val="21"/>
              </w:rPr>
              <w:t>0.95万m</w:t>
            </w:r>
            <w:r>
              <w:rPr>
                <w:rFonts w:hint="eastAsia"/>
                <w:color w:val="auto"/>
                <w:szCs w:val="21"/>
                <w:vertAlign w:val="superscript"/>
              </w:rPr>
              <w:t>2</w:t>
            </w:r>
            <w:r>
              <w:rPr>
                <w:rFonts w:hint="eastAsia"/>
                <w:color w:val="auto"/>
                <w:lang w:val="zh-CN" w:bidi="zh-CN"/>
              </w:rPr>
              <w:t>。</w:t>
            </w:r>
          </w:p>
          <w:p>
            <w:pPr>
              <w:pStyle w:val="47"/>
              <w:ind w:firstLine="1200" w:firstLineChars="500"/>
              <w:rPr>
                <w:color w:val="auto"/>
                <w:lang w:val="zh-CN" w:bidi="zh-CN"/>
              </w:rPr>
            </w:pPr>
            <w:r>
              <w:rPr>
                <w:rFonts w:hint="eastAsia"/>
                <w:color w:val="auto"/>
                <w:lang w:val="zh-CN" w:bidi="zh-CN"/>
              </w:rPr>
              <w:t>经计算P</w:t>
            </w:r>
            <w:r>
              <w:rPr>
                <w:color w:val="auto"/>
                <w:lang w:val="zh-CN" w:bidi="zh-CN"/>
              </w:rPr>
              <w:t>=810.124</w:t>
            </w:r>
            <w:r>
              <w:rPr>
                <w:rFonts w:hint="eastAsia"/>
                <w:color w:val="auto"/>
                <w:lang w:val="zh-CN" w:bidi="zh-CN"/>
              </w:rPr>
              <w:t>吨</w:t>
            </w:r>
          </w:p>
          <w:p>
            <w:pPr>
              <w:pStyle w:val="47"/>
              <w:ind w:firstLine="480"/>
              <w:rPr>
                <w:color w:val="auto"/>
                <w:lang w:val="zh-CN" w:bidi="zh-CN"/>
              </w:rPr>
            </w:pPr>
            <w:r>
              <w:rPr>
                <w:color w:val="auto"/>
                <w:lang w:val="zh-CN" w:bidi="zh-CN"/>
              </w:rPr>
              <w:fldChar w:fldCharType="begin"/>
            </w:r>
            <w:r>
              <w:rPr>
                <w:color w:val="auto"/>
                <w:lang w:val="zh-CN" w:bidi="zh-CN"/>
              </w:rPr>
              <w:instrText xml:space="preserve"> </w:instrText>
            </w:r>
            <w:r>
              <w:rPr>
                <w:rFonts w:hint="eastAsia"/>
                <w:color w:val="auto"/>
                <w:lang w:val="zh-CN" w:bidi="zh-CN"/>
              </w:rPr>
              <w:instrText xml:space="preserve">= 2 \* GB3</w:instrText>
            </w:r>
            <w:r>
              <w:rPr>
                <w:color w:val="auto"/>
                <w:lang w:val="zh-CN" w:bidi="zh-CN"/>
              </w:rPr>
              <w:instrText xml:space="preserve"> </w:instrText>
            </w:r>
            <w:r>
              <w:rPr>
                <w:color w:val="auto"/>
                <w:lang w:val="zh-CN" w:bidi="zh-CN"/>
              </w:rPr>
              <w:fldChar w:fldCharType="separate"/>
            </w:r>
            <w:r>
              <w:rPr>
                <w:rFonts w:hint="eastAsia"/>
                <w:color w:val="auto"/>
                <w:lang w:val="zh-CN" w:bidi="zh-CN"/>
              </w:rPr>
              <w:t>②</w:t>
            </w:r>
            <w:r>
              <w:rPr>
                <w:color w:val="auto"/>
                <w:lang w:val="zh-CN" w:bidi="zh-CN"/>
              </w:rPr>
              <w:fldChar w:fldCharType="end"/>
            </w:r>
            <w:r>
              <w:rPr>
                <w:rFonts w:hint="eastAsia"/>
                <w:color w:val="auto"/>
                <w:lang w:val="zh-CN" w:bidi="zh-CN"/>
              </w:rPr>
              <w:t>表土临时堆场颗粒物排放量核算</w:t>
            </w:r>
          </w:p>
          <w:p>
            <w:pPr>
              <w:pStyle w:val="47"/>
              <w:ind w:firstLine="480"/>
              <w:rPr>
                <w:color w:val="auto"/>
                <w:lang w:val="zh-CN" w:bidi="zh-CN"/>
              </w:rPr>
            </w:pPr>
            <w:r>
              <w:rPr>
                <w:color w:val="auto"/>
              </w:rPr>
              <w:drawing>
                <wp:anchor distT="0" distB="0" distL="114300" distR="114300" simplePos="0" relativeHeight="251679744" behindDoc="0" locked="0" layoutInCell="1" allowOverlap="1">
                  <wp:simplePos x="0" y="0"/>
                  <wp:positionH relativeFrom="column">
                    <wp:posOffset>466725</wp:posOffset>
                  </wp:positionH>
                  <wp:positionV relativeFrom="paragraph">
                    <wp:posOffset>255270</wp:posOffset>
                  </wp:positionV>
                  <wp:extent cx="2533650" cy="314325"/>
                  <wp:effectExtent l="0" t="0" r="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2533650" cy="314325"/>
                          </a:xfrm>
                          <a:prstGeom prst="rect">
                            <a:avLst/>
                          </a:prstGeom>
                        </pic:spPr>
                      </pic:pic>
                    </a:graphicData>
                  </a:graphic>
                </wp:anchor>
              </w:drawing>
            </w:r>
            <w:r>
              <w:rPr>
                <w:rFonts w:hint="eastAsia"/>
                <w:color w:val="auto"/>
                <w:lang w:val="zh-CN" w:bidi="zh-CN"/>
              </w:rPr>
              <w:t>表土堆场颗粒物排放量核算公式如下：</w:t>
            </w:r>
          </w:p>
          <w:p>
            <w:pPr>
              <w:pStyle w:val="47"/>
              <w:ind w:firstLine="480"/>
              <w:rPr>
                <w:color w:val="auto"/>
                <w:lang w:val="zh-CN" w:bidi="zh-CN"/>
              </w:rPr>
            </w:pPr>
          </w:p>
          <w:p>
            <w:pPr>
              <w:pStyle w:val="47"/>
              <w:ind w:firstLine="480"/>
              <w:rPr>
                <w:color w:val="auto"/>
                <w:lang w:val="zh-CN" w:bidi="zh-CN"/>
              </w:rPr>
            </w:pPr>
            <w:r>
              <w:rPr>
                <w:rFonts w:hint="eastAsia"/>
                <w:color w:val="auto"/>
                <w:lang w:val="zh-CN" w:bidi="zh-CN"/>
              </w:rPr>
              <w:t>式中：P指颗粒物产生量（单位：吨）；</w:t>
            </w:r>
          </w:p>
          <w:p>
            <w:pPr>
              <w:pStyle w:val="47"/>
              <w:ind w:firstLine="1200" w:firstLineChars="500"/>
              <w:rPr>
                <w:color w:val="auto"/>
                <w:lang w:val="zh-CN" w:bidi="zh-CN"/>
              </w:rPr>
            </w:pPr>
            <w:r>
              <w:rPr>
                <w:rFonts w:hint="eastAsia"/>
                <w:color w:val="auto"/>
                <w:lang w:val="zh-CN" w:bidi="zh-CN"/>
              </w:rPr>
              <w:t>U</w:t>
            </w:r>
            <w:r>
              <w:rPr>
                <w:rFonts w:hint="eastAsia"/>
                <w:color w:val="auto"/>
                <w:vertAlign w:val="subscript"/>
                <w:lang w:val="zh-CN" w:bidi="zh-CN"/>
              </w:rPr>
              <w:t>c</w:t>
            </w:r>
            <w:r>
              <w:rPr>
                <w:rFonts w:hint="eastAsia"/>
                <w:color w:val="auto"/>
                <w:lang w:val="zh-CN" w:bidi="zh-CN"/>
              </w:rPr>
              <w:t>指颗粒物排放量（单位：吨）；</w:t>
            </w:r>
          </w:p>
          <w:p>
            <w:pPr>
              <w:pStyle w:val="47"/>
              <w:ind w:firstLine="1080" w:firstLineChars="450"/>
              <w:rPr>
                <w:color w:val="auto"/>
                <w:lang w:val="zh-CN" w:bidi="zh-CN"/>
              </w:rPr>
            </w:pPr>
            <w:r>
              <w:rPr>
                <w:rFonts w:hint="eastAsia"/>
                <w:color w:val="auto"/>
                <w:lang w:val="zh-CN" w:bidi="zh-CN"/>
              </w:rPr>
              <w:t>C</w:t>
            </w:r>
            <w:r>
              <w:rPr>
                <w:rFonts w:hint="eastAsia"/>
                <w:color w:val="auto"/>
                <w:vertAlign w:val="subscript"/>
                <w:lang w:val="zh-CN" w:bidi="zh-CN"/>
              </w:rPr>
              <w:t>m</w:t>
            </w:r>
            <w:r>
              <w:rPr>
                <w:rFonts w:hint="eastAsia"/>
                <w:color w:val="auto"/>
                <w:lang w:val="zh-CN" w:bidi="zh-CN"/>
              </w:rPr>
              <w:t>指颗粒物控制措施控制效率（单位：%），见附录4，排土场堆体表面采用篷布覆盖，并采用高压喷雾机定期洒水抑尘，经查阅粉尘洒水控制效率7</w:t>
            </w:r>
            <w:r>
              <w:rPr>
                <w:color w:val="auto"/>
                <w:lang w:val="zh-CN" w:bidi="zh-CN"/>
              </w:rPr>
              <w:t>4%</w:t>
            </w:r>
            <w:r>
              <w:rPr>
                <w:rFonts w:hint="eastAsia"/>
                <w:color w:val="auto"/>
                <w:lang w:val="zh-CN" w:bidi="zh-CN"/>
              </w:rPr>
              <w:t>，编织覆盖控制效率</w:t>
            </w:r>
            <w:r>
              <w:rPr>
                <w:color w:val="auto"/>
                <w:lang w:val="zh-CN" w:bidi="zh-CN"/>
              </w:rPr>
              <w:t>86%</w:t>
            </w:r>
            <w:r>
              <w:rPr>
                <w:rFonts w:hint="eastAsia"/>
                <w:color w:val="auto"/>
                <w:lang w:val="zh-CN" w:bidi="zh-CN"/>
              </w:rPr>
              <w:t>；</w:t>
            </w:r>
          </w:p>
          <w:p>
            <w:pPr>
              <w:pStyle w:val="47"/>
              <w:ind w:firstLine="1080" w:firstLineChars="450"/>
              <w:rPr>
                <w:color w:val="auto"/>
                <w:lang w:val="zh-CN" w:bidi="zh-CN"/>
              </w:rPr>
            </w:pPr>
            <w:r>
              <w:rPr>
                <w:rFonts w:hint="eastAsia"/>
                <w:color w:val="auto"/>
                <w:lang w:val="zh-CN" w:bidi="zh-CN"/>
              </w:rPr>
              <w:t>T</w:t>
            </w:r>
            <w:r>
              <w:rPr>
                <w:rFonts w:hint="eastAsia"/>
                <w:color w:val="auto"/>
                <w:vertAlign w:val="subscript"/>
                <w:lang w:val="zh-CN" w:bidi="zh-CN"/>
              </w:rPr>
              <w:t>m</w:t>
            </w:r>
            <w:r>
              <w:rPr>
                <w:rFonts w:hint="eastAsia"/>
                <w:color w:val="auto"/>
                <w:lang w:val="zh-CN" w:bidi="zh-CN"/>
              </w:rPr>
              <w:t>指堆场类型控制效率（单位：%），见附录5，本项目表土堆场采用敞开式，控制效率</w:t>
            </w:r>
            <w:r>
              <w:rPr>
                <w:color w:val="auto"/>
                <w:lang w:val="zh-CN" w:bidi="zh-CN"/>
              </w:rPr>
              <w:t>0%</w:t>
            </w:r>
            <w:r>
              <w:rPr>
                <w:rFonts w:hint="eastAsia"/>
                <w:color w:val="auto"/>
                <w:lang w:val="zh-CN" w:bidi="zh-CN"/>
              </w:rPr>
              <w:t>。</w:t>
            </w:r>
          </w:p>
          <w:p>
            <w:pPr>
              <w:pStyle w:val="47"/>
              <w:ind w:firstLine="480"/>
              <w:rPr>
                <w:color w:val="auto"/>
                <w:lang w:val="zh-CN" w:bidi="zh-CN"/>
              </w:rPr>
            </w:pPr>
            <w:r>
              <w:rPr>
                <w:rFonts w:hint="eastAsia"/>
                <w:color w:val="auto"/>
                <w:lang w:val="zh-CN" w:bidi="zh-CN"/>
              </w:rPr>
              <w:t>经计算，项目运营期</w:t>
            </w:r>
            <w:r>
              <w:rPr>
                <w:rFonts w:hint="eastAsia"/>
                <w:color w:val="auto"/>
              </w:rPr>
              <w:t>排土场扬尘排放量为</w:t>
            </w:r>
            <w:r>
              <w:rPr>
                <w:color w:val="auto"/>
              </w:rPr>
              <w:t>29.49</w:t>
            </w:r>
            <w:r>
              <w:rPr>
                <w:rFonts w:hint="eastAsia"/>
                <w:color w:val="auto"/>
              </w:rPr>
              <w:t>t/a。</w:t>
            </w:r>
          </w:p>
          <w:p>
            <w:pPr>
              <w:pStyle w:val="47"/>
              <w:ind w:firstLine="480"/>
              <w:rPr>
                <w:color w:val="auto"/>
                <w:lang w:val="zh-CN" w:bidi="zh-CN"/>
              </w:rPr>
            </w:pPr>
            <w:r>
              <w:rPr>
                <w:rFonts w:hint="eastAsia"/>
                <w:color w:val="auto"/>
                <w:lang w:val="zh-CN" w:bidi="zh-CN"/>
              </w:rPr>
              <w:t>4）成品堆场扬尘</w:t>
            </w:r>
          </w:p>
          <w:p>
            <w:pPr>
              <w:pStyle w:val="47"/>
              <w:ind w:firstLine="464"/>
              <w:rPr>
                <w:color w:val="auto"/>
              </w:rPr>
            </w:pPr>
            <w:r>
              <w:rPr>
                <w:rFonts w:hint="eastAsia"/>
                <w:color w:val="auto"/>
                <w:spacing w:val="-4"/>
                <w:lang w:val="zh-CN" w:bidi="zh-CN"/>
              </w:rPr>
              <w:t>本项目白云岩矿开采及加工量为</w:t>
            </w:r>
            <w:r>
              <w:rPr>
                <w:rFonts w:hint="eastAsia" w:eastAsia="等线"/>
                <w:color w:val="auto"/>
                <w:spacing w:val="-5"/>
                <w:lang w:val="zh-CN" w:bidi="zh-CN"/>
              </w:rPr>
              <w:t>550万</w:t>
            </w:r>
            <w:r>
              <w:rPr>
                <w:rFonts w:hint="eastAsia" w:eastAsia="Times New Roman"/>
                <w:color w:val="auto"/>
                <w:spacing w:val="-5"/>
                <w:lang w:val="zh-CN" w:bidi="zh-CN"/>
              </w:rPr>
              <w:t>t/a</w:t>
            </w:r>
            <w:r>
              <w:rPr>
                <w:rFonts w:hint="eastAsia"/>
                <w:color w:val="auto"/>
                <w:spacing w:val="-8"/>
                <w:lang w:val="zh-CN" w:bidi="zh-CN"/>
              </w:rPr>
              <w:t>，随采随加工，加工后的白云岩矿根据粒</w:t>
            </w:r>
            <w:r>
              <w:rPr>
                <w:rFonts w:hint="eastAsia"/>
                <w:color w:val="auto"/>
                <w:spacing w:val="-5"/>
                <w:lang w:val="zh-CN" w:bidi="zh-CN"/>
              </w:rPr>
              <w:t>径不同暂存于成品堆场内，项目</w:t>
            </w:r>
            <w:r>
              <w:rPr>
                <w:rFonts w:hint="eastAsia"/>
                <w:snapToGrid/>
                <w:color w:val="auto"/>
                <w:kern w:val="2"/>
              </w:rPr>
              <w:t>石料成品堆料区两个分别为6万m</w:t>
            </w:r>
            <w:r>
              <w:rPr>
                <w:rFonts w:hint="eastAsia"/>
                <w:snapToGrid/>
                <w:color w:val="auto"/>
                <w:kern w:val="2"/>
                <w:vertAlign w:val="superscript"/>
              </w:rPr>
              <w:t>3</w:t>
            </w:r>
            <w:r>
              <w:rPr>
                <w:rFonts w:hint="eastAsia"/>
                <w:snapToGrid/>
                <w:color w:val="auto"/>
                <w:kern w:val="2"/>
              </w:rPr>
              <w:t>，3万m</w:t>
            </w:r>
            <w:r>
              <w:rPr>
                <w:rFonts w:hint="eastAsia"/>
                <w:snapToGrid/>
                <w:color w:val="auto"/>
                <w:kern w:val="2"/>
                <w:vertAlign w:val="superscript"/>
              </w:rPr>
              <w:t>3</w:t>
            </w:r>
            <w:r>
              <w:rPr>
                <w:rFonts w:hint="eastAsia"/>
                <w:snapToGrid/>
                <w:color w:val="auto"/>
                <w:kern w:val="2"/>
              </w:rPr>
              <w:t>，矿石成品堆料区两个，分别为2.5万m</w:t>
            </w:r>
            <w:r>
              <w:rPr>
                <w:rFonts w:hint="eastAsia"/>
                <w:snapToGrid/>
                <w:color w:val="auto"/>
                <w:kern w:val="2"/>
                <w:vertAlign w:val="superscript"/>
              </w:rPr>
              <w:t>3</w:t>
            </w:r>
            <w:r>
              <w:rPr>
                <w:rFonts w:hint="eastAsia"/>
                <w:snapToGrid/>
                <w:color w:val="auto"/>
                <w:kern w:val="2"/>
              </w:rPr>
              <w:t>，2.0万m</w:t>
            </w:r>
            <w:r>
              <w:rPr>
                <w:rFonts w:hint="eastAsia"/>
                <w:snapToGrid/>
                <w:color w:val="auto"/>
                <w:kern w:val="2"/>
                <w:vertAlign w:val="superscript"/>
              </w:rPr>
              <w:t>3</w:t>
            </w:r>
            <w:r>
              <w:rPr>
                <w:rFonts w:hint="eastAsia"/>
                <w:snapToGrid/>
                <w:color w:val="auto"/>
                <w:kern w:val="2"/>
              </w:rPr>
              <w:t>，</w:t>
            </w:r>
            <w:r>
              <w:rPr>
                <w:rFonts w:hint="eastAsia"/>
                <w:color w:val="auto"/>
                <w:spacing w:val="-1"/>
                <w:lang w:val="zh-CN" w:bidi="zh-CN"/>
              </w:rPr>
              <w:t>共计13.5万</w:t>
            </w:r>
            <w:r>
              <w:rPr>
                <w:rFonts w:hint="eastAsia"/>
                <w:snapToGrid/>
                <w:color w:val="auto"/>
                <w:kern w:val="2"/>
              </w:rPr>
              <w:t>m</w:t>
            </w:r>
            <w:r>
              <w:rPr>
                <w:rFonts w:hint="eastAsia"/>
                <w:snapToGrid/>
                <w:color w:val="auto"/>
                <w:kern w:val="2"/>
                <w:vertAlign w:val="superscript"/>
              </w:rPr>
              <w:t>3</w:t>
            </w:r>
            <w:r>
              <w:rPr>
                <w:rFonts w:hint="eastAsia"/>
                <w:snapToGrid/>
                <w:color w:val="auto"/>
                <w:kern w:val="2"/>
              </w:rPr>
              <w:t>。</w:t>
            </w:r>
            <w:r>
              <w:rPr>
                <w:rFonts w:hint="eastAsia"/>
                <w:color w:val="auto"/>
              </w:rPr>
              <w:t>本项目通过设置全封闭的产品堆场，同时运行过程中控制产品堆存高度，定期洒水。</w:t>
            </w:r>
          </w:p>
          <w:p>
            <w:pPr>
              <w:pStyle w:val="47"/>
              <w:ind w:firstLine="480"/>
              <w:rPr>
                <w:color w:val="auto"/>
                <w:lang w:val="zh-CN" w:bidi="zh-CN"/>
              </w:rPr>
            </w:pPr>
            <w:r>
              <w:rPr>
                <w:rFonts w:hint="eastAsia"/>
                <w:color w:val="auto"/>
                <w:lang w:val="zh-CN" w:bidi="zh-CN"/>
              </w:rPr>
              <w:t>成品堆场产生的扬尘采用《固体物料堆存颗粒物产排污核算系数手册》进行核算。其中Nc</w:t>
            </w:r>
            <w:r>
              <w:rPr>
                <w:color w:val="auto"/>
                <w:lang w:val="zh-CN" w:bidi="zh-CN"/>
              </w:rPr>
              <w:t>=171875</w:t>
            </w:r>
            <w:r>
              <w:rPr>
                <w:rFonts w:hint="eastAsia"/>
                <w:color w:val="auto"/>
                <w:lang w:val="zh-CN" w:bidi="zh-CN"/>
              </w:rPr>
              <w:t>车/</w:t>
            </w:r>
            <w:r>
              <w:rPr>
                <w:color w:val="auto"/>
                <w:lang w:val="zh-CN" w:bidi="zh-CN"/>
              </w:rPr>
              <w:t>a</w:t>
            </w:r>
            <w:r>
              <w:rPr>
                <w:rFonts w:hint="eastAsia"/>
                <w:color w:val="auto"/>
                <w:lang w:val="zh-CN" w:bidi="zh-CN"/>
              </w:rPr>
              <w:t>，D</w:t>
            </w:r>
            <w:r>
              <w:rPr>
                <w:color w:val="auto"/>
                <w:lang w:val="zh-CN" w:bidi="zh-CN"/>
              </w:rPr>
              <w:t>=</w:t>
            </w:r>
            <w:r>
              <w:rPr>
                <w:rFonts w:hint="eastAsia"/>
                <w:color w:val="auto"/>
                <w:lang w:val="zh-CN" w:bidi="zh-CN"/>
              </w:rPr>
              <w:t>3</w:t>
            </w:r>
            <w:r>
              <w:rPr>
                <w:color w:val="auto"/>
                <w:lang w:val="zh-CN" w:bidi="zh-CN"/>
              </w:rPr>
              <w:t>2t/</w:t>
            </w:r>
            <w:r>
              <w:rPr>
                <w:rFonts w:hint="eastAsia"/>
                <w:color w:val="auto"/>
                <w:lang w:val="zh-CN" w:bidi="zh-CN"/>
              </w:rPr>
              <w:t>车，a</w:t>
            </w:r>
            <w:r>
              <w:rPr>
                <w:color w:val="auto"/>
                <w:lang w:val="zh-CN" w:bidi="zh-CN"/>
              </w:rPr>
              <w:t>=0.0015</w:t>
            </w:r>
            <w:r>
              <w:rPr>
                <w:rFonts w:hint="eastAsia"/>
                <w:color w:val="auto"/>
                <w:lang w:val="zh-CN" w:bidi="zh-CN"/>
              </w:rPr>
              <w:t>，</w:t>
            </w:r>
            <w:r>
              <w:rPr>
                <w:color w:val="auto"/>
                <w:lang w:val="zh-CN" w:bidi="zh-CN"/>
              </w:rPr>
              <w:t>b</w:t>
            </w:r>
            <w:r>
              <w:rPr>
                <w:rFonts w:hint="eastAsia"/>
                <w:color w:val="auto"/>
                <w:lang w:val="zh-CN" w:bidi="zh-CN"/>
              </w:rPr>
              <w:t>=0.0</w:t>
            </w:r>
            <w:r>
              <w:rPr>
                <w:color w:val="auto"/>
                <w:lang w:val="zh-CN" w:bidi="zh-CN"/>
              </w:rPr>
              <w:t>084</w:t>
            </w:r>
            <w:r>
              <w:rPr>
                <w:rFonts w:hint="eastAsia"/>
                <w:color w:val="auto"/>
                <w:lang w:val="zh-CN" w:bidi="zh-CN"/>
              </w:rPr>
              <w:t>，E</w:t>
            </w:r>
            <w:r>
              <w:rPr>
                <w:rFonts w:hint="eastAsia"/>
                <w:color w:val="auto"/>
                <w:vertAlign w:val="subscript"/>
                <w:lang w:val="zh-CN" w:bidi="zh-CN"/>
              </w:rPr>
              <w:t>f</w:t>
            </w:r>
            <w:r>
              <w:rPr>
                <w:rFonts w:hint="eastAsia"/>
                <w:color w:val="auto"/>
                <w:lang w:val="zh-CN" w:bidi="zh-CN"/>
              </w:rPr>
              <w:t>=</w:t>
            </w:r>
            <w:r>
              <w:rPr>
                <w:color w:val="auto"/>
                <w:lang w:val="zh-CN" w:bidi="zh-CN"/>
              </w:rPr>
              <w:t>0</w:t>
            </w:r>
            <w:r>
              <w:rPr>
                <w:rFonts w:hint="eastAsia"/>
                <w:color w:val="auto"/>
                <w:lang w:val="zh-CN" w:bidi="zh-CN"/>
              </w:rPr>
              <w:t>；S</w:t>
            </w:r>
            <w:r>
              <w:rPr>
                <w:color w:val="auto"/>
                <w:lang w:val="zh-CN" w:bidi="zh-CN"/>
              </w:rPr>
              <w:t>=27191m</w:t>
            </w:r>
            <w:r>
              <w:rPr>
                <w:color w:val="auto"/>
                <w:vertAlign w:val="superscript"/>
                <w:lang w:val="zh-CN" w:bidi="zh-CN"/>
              </w:rPr>
              <w:t>2</w:t>
            </w:r>
            <w:r>
              <w:rPr>
                <w:rFonts w:hint="eastAsia"/>
                <w:color w:val="auto"/>
                <w:lang w:val="zh-CN" w:bidi="zh-CN"/>
              </w:rPr>
              <w:t>，C</w:t>
            </w:r>
            <w:r>
              <w:rPr>
                <w:rFonts w:hint="eastAsia"/>
                <w:color w:val="auto"/>
                <w:vertAlign w:val="subscript"/>
                <w:lang w:val="zh-CN" w:bidi="zh-CN"/>
              </w:rPr>
              <w:t>m</w:t>
            </w:r>
            <w:r>
              <w:rPr>
                <w:color w:val="auto"/>
                <w:lang w:val="zh-CN" w:bidi="zh-CN"/>
              </w:rPr>
              <w:t>=74%</w:t>
            </w:r>
            <w:r>
              <w:rPr>
                <w:rFonts w:hint="eastAsia"/>
                <w:color w:val="auto"/>
                <w:lang w:val="zh-CN" w:bidi="zh-CN"/>
              </w:rPr>
              <w:t>，T</w:t>
            </w:r>
            <w:r>
              <w:rPr>
                <w:color w:val="auto"/>
                <w:vertAlign w:val="subscript"/>
                <w:lang w:val="zh-CN" w:bidi="zh-CN"/>
              </w:rPr>
              <w:t>m</w:t>
            </w:r>
            <w:r>
              <w:rPr>
                <w:color w:val="auto"/>
                <w:lang w:val="zh-CN" w:bidi="zh-CN"/>
              </w:rPr>
              <w:t>=99%</w:t>
            </w:r>
            <w:r>
              <w:rPr>
                <w:rFonts w:hint="eastAsia"/>
                <w:color w:val="auto"/>
                <w:lang w:val="zh-CN" w:bidi="zh-CN"/>
              </w:rPr>
              <w:t>，经计算，P</w:t>
            </w:r>
            <w:r>
              <w:rPr>
                <w:color w:val="auto"/>
                <w:lang w:val="zh-CN" w:bidi="zh-CN"/>
              </w:rPr>
              <w:t>=982.14</w:t>
            </w:r>
            <w:r>
              <w:rPr>
                <w:rFonts w:hint="eastAsia"/>
                <w:color w:val="auto"/>
                <w:lang w:val="zh-CN" w:bidi="zh-CN"/>
              </w:rPr>
              <w:t>，U</w:t>
            </w:r>
            <w:r>
              <w:rPr>
                <w:color w:val="auto"/>
                <w:lang w:val="zh-CN" w:bidi="zh-CN"/>
              </w:rPr>
              <w:t>c=2.55t/a</w:t>
            </w:r>
            <w:r>
              <w:rPr>
                <w:rFonts w:hint="eastAsia"/>
                <w:color w:val="auto"/>
                <w:lang w:val="zh-CN" w:bidi="zh-CN"/>
              </w:rPr>
              <w:t>。</w:t>
            </w:r>
          </w:p>
          <w:p>
            <w:pPr>
              <w:pStyle w:val="47"/>
              <w:ind w:firstLine="480"/>
              <w:rPr>
                <w:color w:val="auto"/>
                <w:lang w:val="zh-CN" w:bidi="zh-CN"/>
              </w:rPr>
            </w:pPr>
            <w:r>
              <w:rPr>
                <w:rFonts w:hint="eastAsia"/>
                <w:color w:val="auto"/>
                <w:lang w:val="zh-CN" w:bidi="zh-CN"/>
              </w:rPr>
              <w:t>经计算，项目运营期</w:t>
            </w:r>
            <w:r>
              <w:rPr>
                <w:rFonts w:hint="eastAsia"/>
                <w:color w:val="auto"/>
              </w:rPr>
              <w:t>成品堆场扬尘排放量为</w:t>
            </w:r>
            <w:r>
              <w:rPr>
                <w:color w:val="auto"/>
              </w:rPr>
              <w:t>2.55</w:t>
            </w:r>
            <w:r>
              <w:rPr>
                <w:rFonts w:hint="eastAsia"/>
                <w:color w:val="auto"/>
              </w:rPr>
              <w:t>t/a。</w:t>
            </w:r>
          </w:p>
          <w:p>
            <w:pPr>
              <w:pStyle w:val="47"/>
              <w:ind w:firstLine="480"/>
              <w:rPr>
                <w:color w:val="auto"/>
              </w:rPr>
            </w:pPr>
            <w:r>
              <w:rPr>
                <w:rFonts w:hint="eastAsia"/>
                <w:color w:val="auto"/>
              </w:rPr>
              <w:t>5）间歇排放运输废气</w:t>
            </w:r>
          </w:p>
          <w:p>
            <w:pPr>
              <w:pStyle w:val="47"/>
              <w:ind w:firstLine="480"/>
              <w:rPr>
                <w:color w:val="auto"/>
              </w:rPr>
            </w:pPr>
            <w:r>
              <w:rPr>
                <w:rFonts w:hint="eastAsia"/>
                <w:color w:val="auto"/>
              </w:rPr>
              <w:t>本项目运输过程废气主要来自运输扬尘及车辆尾气。</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运输扬尘</w:t>
            </w:r>
          </w:p>
          <w:p>
            <w:pPr>
              <w:pStyle w:val="47"/>
              <w:ind w:firstLine="480"/>
              <w:rPr>
                <w:color w:val="auto"/>
              </w:rPr>
            </w:pPr>
            <w:r>
              <w:rPr>
                <w:rFonts w:hint="eastAsia"/>
                <w:color w:val="auto"/>
              </w:rPr>
              <w:t>项目建成运行后，料场石料运量约为550万t/a，单辆自卸卡车运输能力为3</w:t>
            </w:r>
            <w:r>
              <w:rPr>
                <w:color w:val="auto"/>
              </w:rPr>
              <w:t>2</w:t>
            </w:r>
            <w:r>
              <w:rPr>
                <w:rFonts w:hint="eastAsia"/>
                <w:color w:val="auto"/>
              </w:rPr>
              <w:t>t，项目共有26辆自卸卡车，运距2km，每20分钟运输一次，平均每天运输次数为5</w:t>
            </w:r>
            <w:r>
              <w:rPr>
                <w:color w:val="auto"/>
              </w:rPr>
              <w:t>72</w:t>
            </w:r>
            <w:r>
              <w:rPr>
                <w:rFonts w:hint="eastAsia"/>
                <w:color w:val="auto"/>
              </w:rPr>
              <w:t>辆次。由于项目汽车运输量很大，载重车辆频繁的进出，引起周边道路扬尘量增加，影响到运输道路周边的环境空气质量。</w:t>
            </w:r>
          </w:p>
          <w:p>
            <w:pPr>
              <w:autoSpaceDE w:val="0"/>
              <w:autoSpaceDN w:val="0"/>
              <w:spacing w:line="360" w:lineRule="auto"/>
              <w:ind w:firstLine="480" w:firstLineChars="200"/>
              <w:jc w:val="left"/>
              <w:rPr>
                <w:sz w:val="24"/>
              </w:rPr>
            </w:pPr>
            <w:r>
              <w:rPr>
                <w:rFonts w:hint="eastAsia"/>
                <w:sz w:val="24"/>
              </w:rPr>
              <w:t>汽车道路扬尘量按经验公式估算：</w:t>
            </w:r>
          </w:p>
          <w:p>
            <w:pPr>
              <w:autoSpaceDE w:val="0"/>
              <w:autoSpaceDN w:val="0"/>
              <w:spacing w:line="360" w:lineRule="auto"/>
              <w:jc w:val="center"/>
              <w:rPr>
                <w:sz w:val="24"/>
              </w:rPr>
            </w:pPr>
            <w:r>
              <w:rPr>
                <w:rFonts w:hint="eastAsia"/>
                <w:sz w:val="24"/>
              </w:rPr>
              <w:t>Qi=0.0079V*W</w:t>
            </w:r>
            <w:r>
              <w:rPr>
                <w:rFonts w:hint="eastAsia"/>
                <w:sz w:val="24"/>
                <w:vertAlign w:val="superscript"/>
              </w:rPr>
              <w:t>0.85</w:t>
            </w:r>
            <w:r>
              <w:rPr>
                <w:rFonts w:hint="eastAsia"/>
                <w:sz w:val="24"/>
              </w:rPr>
              <w:t>*P</w:t>
            </w:r>
            <w:r>
              <w:rPr>
                <w:rFonts w:hint="eastAsia"/>
                <w:sz w:val="24"/>
                <w:vertAlign w:val="superscript"/>
              </w:rPr>
              <w:t>0.72</w:t>
            </w:r>
          </w:p>
          <w:p>
            <w:pPr>
              <w:autoSpaceDE w:val="0"/>
              <w:autoSpaceDN w:val="0"/>
              <w:spacing w:line="360" w:lineRule="auto"/>
              <w:jc w:val="center"/>
              <w:rPr>
                <w:sz w:val="24"/>
              </w:rPr>
            </w:pPr>
            <w:r>
              <w:rPr>
                <w:rFonts w:hint="eastAsia"/>
                <w:sz w:val="24"/>
              </w:rPr>
              <w:t>Q=ΣQi</w:t>
            </w:r>
          </w:p>
          <w:p>
            <w:pPr>
              <w:autoSpaceDE w:val="0"/>
              <w:autoSpaceDN w:val="0"/>
              <w:spacing w:line="360" w:lineRule="auto"/>
              <w:ind w:firstLine="480" w:firstLineChars="200"/>
              <w:jc w:val="left"/>
              <w:rPr>
                <w:sz w:val="24"/>
              </w:rPr>
            </w:pPr>
            <w:r>
              <w:rPr>
                <w:rFonts w:hint="eastAsia"/>
                <w:sz w:val="24"/>
              </w:rPr>
              <w:t>式中：Qi=每辆汽车扬尘量（kg/km辆）</w:t>
            </w:r>
          </w:p>
          <w:p>
            <w:pPr>
              <w:autoSpaceDE w:val="0"/>
              <w:autoSpaceDN w:val="0"/>
              <w:spacing w:line="360" w:lineRule="auto"/>
              <w:ind w:firstLine="1200" w:firstLineChars="500"/>
              <w:jc w:val="left"/>
              <w:rPr>
                <w:sz w:val="24"/>
              </w:rPr>
            </w:pPr>
            <w:r>
              <w:rPr>
                <w:rFonts w:hint="eastAsia"/>
                <w:sz w:val="24"/>
              </w:rPr>
              <w:t>Q——汽车运输总扬尘</w:t>
            </w:r>
          </w:p>
          <w:p>
            <w:pPr>
              <w:autoSpaceDE w:val="0"/>
              <w:autoSpaceDN w:val="0"/>
              <w:spacing w:line="360" w:lineRule="auto"/>
              <w:ind w:firstLine="1200" w:firstLineChars="500"/>
              <w:jc w:val="left"/>
              <w:rPr>
                <w:sz w:val="24"/>
              </w:rPr>
            </w:pPr>
            <w:r>
              <w:rPr>
                <w:rFonts w:hint="eastAsia"/>
                <w:sz w:val="24"/>
              </w:rPr>
              <w:t>V——汽车速度（km/h），取值15；</w:t>
            </w:r>
          </w:p>
          <w:p>
            <w:pPr>
              <w:autoSpaceDE w:val="0"/>
              <w:autoSpaceDN w:val="0"/>
              <w:spacing w:line="360" w:lineRule="auto"/>
              <w:ind w:firstLine="1200" w:firstLineChars="500"/>
              <w:jc w:val="left"/>
              <w:rPr>
                <w:sz w:val="24"/>
              </w:rPr>
            </w:pPr>
            <w:r>
              <w:rPr>
                <w:rFonts w:hint="eastAsia"/>
                <w:sz w:val="24"/>
              </w:rPr>
              <w:t>W——汽车重量（T），取值3</w:t>
            </w:r>
            <w:r>
              <w:rPr>
                <w:sz w:val="24"/>
              </w:rPr>
              <w:t>2</w:t>
            </w:r>
            <w:r>
              <w:rPr>
                <w:rFonts w:hint="eastAsia"/>
                <w:sz w:val="24"/>
              </w:rPr>
              <w:t>；</w:t>
            </w:r>
          </w:p>
          <w:p>
            <w:pPr>
              <w:autoSpaceDE w:val="0"/>
              <w:autoSpaceDN w:val="0"/>
              <w:spacing w:line="360" w:lineRule="auto"/>
              <w:ind w:firstLine="1200" w:firstLineChars="500"/>
              <w:jc w:val="left"/>
              <w:rPr>
                <w:sz w:val="24"/>
              </w:rPr>
            </w:pPr>
            <w:r>
              <w:rPr>
                <w:rFonts w:hint="eastAsia"/>
                <w:sz w:val="24"/>
              </w:rPr>
              <w:t>P——道路表面粉尘量（kg/m</w:t>
            </w:r>
            <w:r>
              <w:rPr>
                <w:rFonts w:hint="eastAsia"/>
                <w:sz w:val="24"/>
                <w:vertAlign w:val="superscript"/>
              </w:rPr>
              <w:t>2</w:t>
            </w:r>
            <w:r>
              <w:rPr>
                <w:rFonts w:hint="eastAsia"/>
                <w:sz w:val="24"/>
              </w:rPr>
              <w:t>），取值0.2。</w:t>
            </w:r>
          </w:p>
          <w:p>
            <w:pPr>
              <w:autoSpaceDE w:val="0"/>
              <w:autoSpaceDN w:val="0"/>
              <w:spacing w:line="360" w:lineRule="auto"/>
              <w:ind w:firstLine="480" w:firstLineChars="200"/>
              <w:jc w:val="left"/>
              <w:rPr>
                <w:sz w:val="24"/>
              </w:rPr>
            </w:pPr>
            <w:r>
              <w:rPr>
                <w:rFonts w:hint="eastAsia"/>
                <w:sz w:val="24"/>
              </w:rPr>
              <w:t>本项目岩石场内运输量550万t/a，成品运输委托地方运输力量承担。矿区运至工业场地车型以3</w:t>
            </w:r>
            <w:r>
              <w:rPr>
                <w:sz w:val="24"/>
              </w:rPr>
              <w:t>2</w:t>
            </w:r>
            <w:r>
              <w:rPr>
                <w:rFonts w:hint="eastAsia"/>
                <w:sz w:val="24"/>
              </w:rPr>
              <w:t>t自卸卡车为主，矿区内运距为2km，年</w:t>
            </w:r>
            <w:r>
              <w:rPr>
                <w:sz w:val="24"/>
              </w:rPr>
              <w:t>17.19</w:t>
            </w:r>
            <w:r>
              <w:rPr>
                <w:rFonts w:hint="eastAsia"/>
                <w:sz w:val="24"/>
              </w:rPr>
              <w:t>万辆次。根据选定参数可计算得到场内汽车扬尘产生量为</w:t>
            </w:r>
            <w:r>
              <w:rPr>
                <w:sz w:val="24"/>
              </w:rPr>
              <w:t>243.3</w:t>
            </w:r>
            <w:r>
              <w:rPr>
                <w:rFonts w:hint="eastAsia"/>
                <w:sz w:val="24"/>
              </w:rPr>
              <w:t>t/a。</w:t>
            </w:r>
          </w:p>
          <w:p>
            <w:pPr>
              <w:autoSpaceDE w:val="0"/>
              <w:autoSpaceDN w:val="0"/>
              <w:spacing w:line="360" w:lineRule="auto"/>
              <w:ind w:firstLine="480" w:firstLineChars="200"/>
              <w:jc w:val="left"/>
              <w:rPr>
                <w:sz w:val="24"/>
              </w:rPr>
            </w:pPr>
            <w:r>
              <w:rPr>
                <w:rFonts w:hint="eastAsia"/>
                <w:sz w:val="24"/>
              </w:rPr>
              <w:t>针对汽车道路扬尘，项目采用道路洒水的方式控制汽车扬尘产生，同时本次评价要求建设单位对于矿区内道路进行铺石子处理，降低厂内道路粉尘产生量。通过以上措施处理后，可减少95%的道路扬尘产生，项目厂内汽车道路扬尘排放量为</w:t>
            </w:r>
            <w:r>
              <w:rPr>
                <w:sz w:val="24"/>
              </w:rPr>
              <w:t>12.17</w:t>
            </w:r>
            <w:r>
              <w:rPr>
                <w:rFonts w:hint="eastAsia"/>
                <w:sz w:val="24"/>
              </w:rPr>
              <w:t>t/a。</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开采机械及车辆尾气</w:t>
            </w:r>
          </w:p>
          <w:p>
            <w:pPr>
              <w:pStyle w:val="47"/>
              <w:ind w:firstLine="480"/>
              <w:rPr>
                <w:color w:val="auto"/>
              </w:rPr>
            </w:pPr>
            <w:r>
              <w:rPr>
                <w:rFonts w:hint="eastAsia"/>
                <w:color w:val="auto"/>
              </w:rPr>
              <w:t>项目开采过程中主要使用车辆有7台液压挖掘机、3台装载机，2台推土机，1台平路机，2</w:t>
            </w:r>
            <w:r>
              <w:rPr>
                <w:color w:val="auto"/>
              </w:rPr>
              <w:t>6</w:t>
            </w:r>
            <w:r>
              <w:rPr>
                <w:rFonts w:hint="eastAsia"/>
                <w:color w:val="auto"/>
              </w:rPr>
              <w:t>辆自卸卡车，1辆加油车，1辆消防洒水车，2辆皮卡，1辆雾炮车，其中挖掘机、装载机、推土机、平路机现参考《车用压燃式、气体燃料点燃式发动机与汽车排气污染物排放限值及测量方法》（中国</w:t>
            </w:r>
            <w:r>
              <w:rPr>
                <w:color w:val="auto"/>
              </w:rPr>
              <w:fldChar w:fldCharType="begin"/>
            </w:r>
            <w:r>
              <w:rPr>
                <w:color w:val="auto"/>
              </w:rPr>
              <w:instrText xml:space="preserve"> </w:instrText>
            </w:r>
            <w:r>
              <w:rPr>
                <w:rFonts w:hint="eastAsia"/>
                <w:color w:val="auto"/>
              </w:rPr>
              <w:instrText xml:space="preserve">= 3 \* ROMAN</w:instrText>
            </w:r>
            <w:r>
              <w:rPr>
                <w:color w:val="auto"/>
              </w:rPr>
              <w:instrText xml:space="preserve"> </w:instrText>
            </w:r>
            <w:r>
              <w:rPr>
                <w:color w:val="auto"/>
              </w:rPr>
              <w:fldChar w:fldCharType="separate"/>
            </w:r>
            <w:r>
              <w:rPr>
                <w:color w:val="auto"/>
              </w:rPr>
              <w:t>III</w:t>
            </w:r>
            <w:r>
              <w:rPr>
                <w:color w:val="auto"/>
              </w:rPr>
              <w:fldChar w:fldCharType="end"/>
            </w:r>
            <w:r>
              <w:rPr>
                <w:rFonts w:hint="eastAsia"/>
                <w:color w:val="auto"/>
              </w:rPr>
              <w:t>、</w:t>
            </w:r>
            <w:r>
              <w:rPr>
                <w:color w:val="auto"/>
              </w:rPr>
              <w:fldChar w:fldCharType="begin"/>
            </w:r>
            <w:r>
              <w:rPr>
                <w:color w:val="auto"/>
              </w:rPr>
              <w:instrText xml:space="preserve"> </w:instrText>
            </w:r>
            <w:r>
              <w:rPr>
                <w:rFonts w:hint="eastAsia"/>
                <w:color w:val="auto"/>
              </w:rPr>
              <w:instrText xml:space="preserve">= 4 \* ROMAN</w:instrText>
            </w:r>
            <w:r>
              <w:rPr>
                <w:color w:val="auto"/>
              </w:rPr>
              <w:instrText xml:space="preserve"> </w:instrText>
            </w:r>
            <w:r>
              <w:rPr>
                <w:color w:val="auto"/>
              </w:rPr>
              <w:fldChar w:fldCharType="separate"/>
            </w:r>
            <w:r>
              <w:rPr>
                <w:color w:val="auto"/>
              </w:rPr>
              <w:t>IV</w:t>
            </w:r>
            <w:r>
              <w:rPr>
                <w:color w:val="auto"/>
              </w:rPr>
              <w:fldChar w:fldCharType="end"/>
            </w:r>
            <w:r>
              <w:rPr>
                <w:rFonts w:hint="eastAsia"/>
                <w:color w:val="auto"/>
              </w:rPr>
              <w:t>、</w:t>
            </w:r>
            <w:r>
              <w:rPr>
                <w:color w:val="auto"/>
              </w:rPr>
              <w:fldChar w:fldCharType="begin"/>
            </w:r>
            <w:r>
              <w:rPr>
                <w:color w:val="auto"/>
              </w:rPr>
              <w:instrText xml:space="preserve"> </w:instrText>
            </w:r>
            <w:r>
              <w:rPr>
                <w:rFonts w:hint="eastAsia"/>
                <w:color w:val="auto"/>
              </w:rPr>
              <w:instrText xml:space="preserve">= 5 \* ROMAN</w:instrText>
            </w:r>
            <w:r>
              <w:rPr>
                <w:color w:val="auto"/>
              </w:rPr>
              <w:instrText xml:space="preserve"> </w:instrText>
            </w:r>
            <w:r>
              <w:rPr>
                <w:color w:val="auto"/>
              </w:rPr>
              <w:fldChar w:fldCharType="separate"/>
            </w:r>
            <w:r>
              <w:rPr>
                <w:color w:val="auto"/>
              </w:rPr>
              <w:t>V</w:t>
            </w:r>
            <w:r>
              <w:rPr>
                <w:color w:val="auto"/>
              </w:rPr>
              <w:fldChar w:fldCharType="end"/>
            </w:r>
            <w:r>
              <w:rPr>
                <w:rFonts w:hint="eastAsia"/>
                <w:color w:val="auto"/>
              </w:rPr>
              <w:t>阶段G</w:t>
            </w:r>
            <w:r>
              <w:rPr>
                <w:color w:val="auto"/>
              </w:rPr>
              <w:t>B17691-2005</w:t>
            </w:r>
            <w:r>
              <w:rPr>
                <w:rFonts w:hint="eastAsia"/>
                <w:color w:val="auto"/>
              </w:rPr>
              <w:t>）中</w:t>
            </w:r>
            <w:r>
              <w:rPr>
                <w:color w:val="auto"/>
              </w:rPr>
              <w:fldChar w:fldCharType="begin"/>
            </w:r>
            <w:r>
              <w:rPr>
                <w:color w:val="auto"/>
              </w:rPr>
              <w:instrText xml:space="preserve"> </w:instrText>
            </w:r>
            <w:r>
              <w:rPr>
                <w:rFonts w:hint="eastAsia"/>
                <w:color w:val="auto"/>
              </w:rPr>
              <w:instrText xml:space="preserve">= 4 \* ROMAN</w:instrText>
            </w:r>
            <w:r>
              <w:rPr>
                <w:color w:val="auto"/>
              </w:rPr>
              <w:instrText xml:space="preserve"> </w:instrText>
            </w:r>
            <w:r>
              <w:rPr>
                <w:color w:val="auto"/>
              </w:rPr>
              <w:fldChar w:fldCharType="separate"/>
            </w:r>
            <w:r>
              <w:rPr>
                <w:color w:val="auto"/>
              </w:rPr>
              <w:t>IV</w:t>
            </w:r>
            <w:r>
              <w:rPr>
                <w:color w:val="auto"/>
              </w:rPr>
              <w:fldChar w:fldCharType="end"/>
            </w:r>
            <w:r>
              <w:rPr>
                <w:rFonts w:hint="eastAsia"/>
                <w:color w:val="auto"/>
              </w:rPr>
              <w:t>阶段标准排放限值（简称国四标准），其余道路移动车辆执行《重型柴油车污染物排放限值及测量方法（中国第六阶段G</w:t>
            </w:r>
            <w:r>
              <w:rPr>
                <w:color w:val="auto"/>
              </w:rPr>
              <w:t>B17691-2018</w:t>
            </w:r>
            <w:r>
              <w:rPr>
                <w:rFonts w:hint="eastAsia"/>
                <w:color w:val="auto"/>
              </w:rPr>
              <w:t>）》标准限值，开采机械及车辆消耗柴油总量为2379t/a。柴油燃烧产生主要污染物</w:t>
            </w:r>
            <w:r>
              <w:rPr>
                <w:color w:val="auto"/>
              </w:rPr>
              <w:t>PM</w:t>
            </w:r>
            <w:r>
              <w:rPr>
                <w:rFonts w:hint="eastAsia"/>
                <w:color w:val="auto"/>
              </w:rPr>
              <w:t>、NOx、总烃，移动车辆标准限值见表4</w:t>
            </w:r>
            <w:r>
              <w:rPr>
                <w:color w:val="auto"/>
              </w:rPr>
              <w:t>1</w:t>
            </w:r>
            <w:r>
              <w:rPr>
                <w:rFonts w:hint="eastAsia"/>
                <w:color w:val="auto"/>
              </w:rPr>
              <w:t>，废气具体排放量计算结果见表4</w:t>
            </w:r>
            <w:r>
              <w:rPr>
                <w:color w:val="auto"/>
              </w:rPr>
              <w:t>2</w:t>
            </w:r>
            <w:r>
              <w:rPr>
                <w:rFonts w:hint="eastAsia"/>
                <w:color w:val="auto"/>
              </w:rPr>
              <w:t>。</w:t>
            </w:r>
          </w:p>
          <w:p>
            <w:pPr>
              <w:pStyle w:val="50"/>
              <w:numPr>
                <w:ilvl w:val="0"/>
                <w:numId w:val="2"/>
              </w:numPr>
              <w:snapToGrid w:val="0"/>
              <w:spacing w:line="240" w:lineRule="auto"/>
              <w:ind w:firstLineChars="0"/>
              <w:jc w:val="center"/>
              <w:rPr>
                <w:b/>
                <w:bCs/>
              </w:rPr>
            </w:pPr>
            <w:r>
              <w:rPr>
                <w:rFonts w:hint="eastAsia"/>
                <w:b/>
                <w:bCs/>
              </w:rPr>
              <w:t>移动车辆标准限值表</w:t>
            </w:r>
          </w:p>
          <w:tbl>
            <w:tblPr>
              <w:tblStyle w:val="22"/>
              <w:tblW w:w="888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42"/>
              <w:gridCol w:w="1540"/>
              <w:gridCol w:w="1714"/>
              <w:gridCol w:w="1712"/>
              <w:gridCol w:w="1190"/>
              <w:gridCol w:w="11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542" w:type="dxa"/>
                  <w:vMerge w:val="restart"/>
                  <w:vAlign w:val="center"/>
                </w:tcPr>
                <w:p>
                  <w:pPr>
                    <w:spacing w:line="360" w:lineRule="exact"/>
                    <w:jc w:val="center"/>
                    <w:rPr>
                      <w:rFonts w:cs="宋体"/>
                      <w:kern w:val="0"/>
                    </w:rPr>
                  </w:pPr>
                  <w:r>
                    <w:rPr>
                      <w:rFonts w:hint="eastAsia" w:cs="宋体"/>
                      <w:kern w:val="0"/>
                    </w:rPr>
                    <w:t>执行标准</w:t>
                  </w:r>
                </w:p>
              </w:tc>
              <w:tc>
                <w:tcPr>
                  <w:tcW w:w="1540" w:type="dxa"/>
                  <w:vMerge w:val="restart"/>
                  <w:shd w:val="clear" w:color="auto" w:fill="auto"/>
                  <w:noWrap/>
                  <w:vAlign w:val="center"/>
                </w:tcPr>
                <w:p>
                  <w:pPr>
                    <w:spacing w:line="360" w:lineRule="exact"/>
                    <w:jc w:val="center"/>
                    <w:rPr>
                      <w:rFonts w:cs="宋体"/>
                      <w:kern w:val="0"/>
                      <w:szCs w:val="20"/>
                    </w:rPr>
                  </w:pPr>
                  <w:r>
                    <w:rPr>
                      <w:rFonts w:hint="eastAsia" w:cs="宋体"/>
                      <w:kern w:val="0"/>
                    </w:rPr>
                    <w:t>单位</w:t>
                  </w:r>
                </w:p>
              </w:tc>
              <w:tc>
                <w:tcPr>
                  <w:tcW w:w="5800" w:type="dxa"/>
                  <w:gridSpan w:val="4"/>
                  <w:shd w:val="clear" w:color="auto" w:fill="auto"/>
                  <w:noWrap/>
                  <w:vAlign w:val="center"/>
                </w:tcPr>
                <w:p>
                  <w:pPr>
                    <w:widowControl/>
                    <w:spacing w:line="360" w:lineRule="exact"/>
                    <w:jc w:val="center"/>
                    <w:rPr>
                      <w:rFonts w:cs="宋体"/>
                      <w:kern w:val="0"/>
                    </w:rPr>
                  </w:pPr>
                  <w:r>
                    <w:rPr>
                      <w:rFonts w:hint="eastAsia" w:cs="宋体"/>
                      <w:kern w:val="0"/>
                    </w:rPr>
                    <w:t>污染物产污系数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542" w:type="dxa"/>
                  <w:vMerge w:val="continue"/>
                  <w:vAlign w:val="center"/>
                </w:tcPr>
                <w:p>
                  <w:pPr>
                    <w:widowControl/>
                    <w:spacing w:line="360" w:lineRule="exact"/>
                    <w:jc w:val="center"/>
                    <w:rPr>
                      <w:rFonts w:cs="宋体"/>
                      <w:kern w:val="0"/>
                    </w:rPr>
                  </w:pPr>
                </w:p>
              </w:tc>
              <w:tc>
                <w:tcPr>
                  <w:tcW w:w="1540" w:type="dxa"/>
                  <w:vMerge w:val="continue"/>
                  <w:shd w:val="clear" w:color="auto" w:fill="auto"/>
                  <w:noWrap/>
                  <w:vAlign w:val="center"/>
                </w:tcPr>
                <w:p>
                  <w:pPr>
                    <w:widowControl/>
                    <w:spacing w:line="360" w:lineRule="exact"/>
                    <w:jc w:val="center"/>
                    <w:rPr>
                      <w:rFonts w:cs="宋体"/>
                      <w:kern w:val="0"/>
                    </w:rPr>
                  </w:pPr>
                </w:p>
              </w:tc>
              <w:tc>
                <w:tcPr>
                  <w:tcW w:w="1714" w:type="dxa"/>
                  <w:shd w:val="clear" w:color="auto" w:fill="auto"/>
                  <w:noWrap/>
                  <w:vAlign w:val="center"/>
                </w:tcPr>
                <w:p>
                  <w:pPr>
                    <w:widowControl/>
                    <w:spacing w:line="360" w:lineRule="exact"/>
                    <w:jc w:val="center"/>
                    <w:rPr>
                      <w:rFonts w:cs="宋体"/>
                      <w:kern w:val="0"/>
                    </w:rPr>
                  </w:pPr>
                  <w:r>
                    <w:rPr>
                      <w:rFonts w:hint="eastAsia" w:cs="宋体"/>
                      <w:kern w:val="0"/>
                    </w:rPr>
                    <w:t>THC</w:t>
                  </w:r>
                </w:p>
              </w:tc>
              <w:tc>
                <w:tcPr>
                  <w:tcW w:w="1712" w:type="dxa"/>
                  <w:shd w:val="clear" w:color="auto" w:fill="auto"/>
                  <w:noWrap/>
                  <w:vAlign w:val="center"/>
                </w:tcPr>
                <w:p>
                  <w:pPr>
                    <w:widowControl/>
                    <w:spacing w:line="360" w:lineRule="exact"/>
                    <w:jc w:val="center"/>
                    <w:rPr>
                      <w:rFonts w:cs="宋体"/>
                      <w:kern w:val="0"/>
                    </w:rPr>
                  </w:pPr>
                  <w:r>
                    <w:rPr>
                      <w:rFonts w:hint="eastAsia" w:cs="宋体"/>
                      <w:kern w:val="0"/>
                    </w:rPr>
                    <w:t>NOx</w:t>
                  </w:r>
                </w:p>
              </w:tc>
              <w:tc>
                <w:tcPr>
                  <w:tcW w:w="1190" w:type="dxa"/>
                  <w:shd w:val="clear" w:color="auto" w:fill="auto"/>
                  <w:noWrap/>
                  <w:vAlign w:val="center"/>
                </w:tcPr>
                <w:p>
                  <w:pPr>
                    <w:widowControl/>
                    <w:spacing w:line="360" w:lineRule="exact"/>
                    <w:jc w:val="center"/>
                    <w:rPr>
                      <w:rFonts w:cs="宋体"/>
                      <w:kern w:val="0"/>
                    </w:rPr>
                  </w:pPr>
                  <w:r>
                    <w:rPr>
                      <w:rFonts w:hint="eastAsia" w:cs="宋体"/>
                      <w:kern w:val="0"/>
                    </w:rPr>
                    <w:t>PM</w:t>
                  </w:r>
                </w:p>
              </w:tc>
              <w:tc>
                <w:tcPr>
                  <w:tcW w:w="1184" w:type="dxa"/>
                </w:tcPr>
                <w:p>
                  <w:pPr>
                    <w:widowControl/>
                    <w:spacing w:line="360" w:lineRule="exact"/>
                    <w:jc w:val="center"/>
                    <w:rPr>
                      <w:rFonts w:cs="宋体"/>
                      <w:kern w:val="0"/>
                    </w:rPr>
                  </w:pPr>
                  <w:r>
                    <w:rPr>
                      <w:rFonts w:hint="eastAsia" w:cs="宋体"/>
                      <w:kern w:val="0"/>
                    </w:rPr>
                    <w:t>C</w:t>
                  </w:r>
                  <w:r>
                    <w:rPr>
                      <w:rFonts w:cs="宋体"/>
                      <w:kern w:val="0"/>
                    </w:rPr>
                    <w:t>O</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542" w:type="dxa"/>
                  <w:vAlign w:val="center"/>
                </w:tcPr>
                <w:p>
                  <w:pPr>
                    <w:widowControl/>
                    <w:spacing w:line="360" w:lineRule="exact"/>
                    <w:jc w:val="center"/>
                    <w:rPr>
                      <w:rFonts w:cs="宋体"/>
                      <w:kern w:val="0"/>
                    </w:rPr>
                  </w:pPr>
                  <w:r>
                    <w:rPr>
                      <w:rFonts w:hint="eastAsia" w:cs="宋体"/>
                      <w:kern w:val="0"/>
                    </w:rPr>
                    <w:t>国</w:t>
                  </w:r>
                  <w:r>
                    <w:rPr>
                      <w:rFonts w:cs="宋体"/>
                      <w:kern w:val="0"/>
                    </w:rPr>
                    <w:t>4</w:t>
                  </w:r>
                </w:p>
              </w:tc>
              <w:tc>
                <w:tcPr>
                  <w:tcW w:w="1540" w:type="dxa"/>
                  <w:shd w:val="clear" w:color="auto" w:fill="auto"/>
                  <w:noWrap/>
                  <w:vAlign w:val="center"/>
                </w:tcPr>
                <w:p>
                  <w:pPr>
                    <w:widowControl/>
                    <w:spacing w:line="360" w:lineRule="exact"/>
                    <w:jc w:val="center"/>
                    <w:rPr>
                      <w:rFonts w:cs="宋体"/>
                      <w:kern w:val="0"/>
                    </w:rPr>
                  </w:pPr>
                  <w:r>
                    <w:rPr>
                      <w:rFonts w:hint="eastAsia" w:cs="宋体"/>
                      <w:kern w:val="0"/>
                    </w:rPr>
                    <w:t>mg/KWH</w:t>
                  </w:r>
                </w:p>
              </w:tc>
              <w:tc>
                <w:tcPr>
                  <w:tcW w:w="1714" w:type="dxa"/>
                  <w:shd w:val="clear" w:color="auto" w:fill="auto"/>
                  <w:noWrap/>
                  <w:vAlign w:val="center"/>
                </w:tcPr>
                <w:p>
                  <w:pPr>
                    <w:widowControl/>
                    <w:spacing w:line="360" w:lineRule="exact"/>
                    <w:jc w:val="center"/>
                    <w:rPr>
                      <w:rFonts w:cs="宋体"/>
                      <w:kern w:val="0"/>
                    </w:rPr>
                  </w:pPr>
                  <w:r>
                    <w:rPr>
                      <w:rFonts w:hint="eastAsia" w:cs="宋体"/>
                      <w:kern w:val="0"/>
                    </w:rPr>
                    <w:t>4</w:t>
                  </w:r>
                  <w:r>
                    <w:rPr>
                      <w:rFonts w:cs="宋体"/>
                      <w:kern w:val="0"/>
                    </w:rPr>
                    <w:t>60</w:t>
                  </w:r>
                </w:p>
              </w:tc>
              <w:tc>
                <w:tcPr>
                  <w:tcW w:w="1712" w:type="dxa"/>
                  <w:shd w:val="clear" w:color="auto" w:fill="auto"/>
                  <w:noWrap/>
                  <w:vAlign w:val="center"/>
                </w:tcPr>
                <w:p>
                  <w:pPr>
                    <w:widowControl/>
                    <w:spacing w:line="360" w:lineRule="exact"/>
                    <w:jc w:val="center"/>
                    <w:rPr>
                      <w:rFonts w:cs="宋体"/>
                      <w:kern w:val="0"/>
                    </w:rPr>
                  </w:pPr>
                  <w:r>
                    <w:rPr>
                      <w:rFonts w:hint="eastAsia" w:cs="宋体"/>
                      <w:kern w:val="0"/>
                    </w:rPr>
                    <w:t>3</w:t>
                  </w:r>
                  <w:r>
                    <w:rPr>
                      <w:rFonts w:cs="宋体"/>
                      <w:kern w:val="0"/>
                    </w:rPr>
                    <w:t>500</w:t>
                  </w:r>
                </w:p>
              </w:tc>
              <w:tc>
                <w:tcPr>
                  <w:tcW w:w="1190" w:type="dxa"/>
                  <w:shd w:val="clear" w:color="auto" w:fill="auto"/>
                  <w:noWrap/>
                  <w:vAlign w:val="center"/>
                </w:tcPr>
                <w:p>
                  <w:pPr>
                    <w:widowControl/>
                    <w:spacing w:line="360" w:lineRule="exact"/>
                    <w:jc w:val="center"/>
                    <w:rPr>
                      <w:rFonts w:cs="宋体"/>
                      <w:kern w:val="0"/>
                    </w:rPr>
                  </w:pPr>
                  <w:r>
                    <w:rPr>
                      <w:rFonts w:cs="宋体"/>
                      <w:kern w:val="0"/>
                    </w:rPr>
                    <w:t>20</w:t>
                  </w:r>
                </w:p>
              </w:tc>
              <w:tc>
                <w:tcPr>
                  <w:tcW w:w="1184" w:type="dxa"/>
                </w:tcPr>
                <w:p>
                  <w:pPr>
                    <w:widowControl/>
                    <w:spacing w:line="360" w:lineRule="exact"/>
                    <w:jc w:val="center"/>
                    <w:rPr>
                      <w:rFonts w:cs="宋体"/>
                      <w:kern w:val="0"/>
                    </w:rPr>
                  </w:pPr>
                  <w:r>
                    <w:rPr>
                      <w:rFonts w:hint="eastAsia" w:cs="宋体"/>
                      <w:kern w:val="0"/>
                    </w:rPr>
                    <w:t>1</w:t>
                  </w:r>
                  <w:r>
                    <w:rPr>
                      <w:rFonts w:cs="宋体"/>
                      <w:kern w:val="0"/>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542" w:type="dxa"/>
                  <w:vAlign w:val="center"/>
                </w:tcPr>
                <w:p>
                  <w:pPr>
                    <w:widowControl/>
                    <w:spacing w:line="360" w:lineRule="exact"/>
                    <w:jc w:val="center"/>
                    <w:rPr>
                      <w:rFonts w:cs="宋体"/>
                      <w:kern w:val="0"/>
                    </w:rPr>
                  </w:pPr>
                  <w:r>
                    <w:rPr>
                      <w:rFonts w:hint="eastAsia" w:cs="宋体"/>
                      <w:kern w:val="0"/>
                    </w:rPr>
                    <w:t>国6</w:t>
                  </w:r>
                </w:p>
              </w:tc>
              <w:tc>
                <w:tcPr>
                  <w:tcW w:w="1540" w:type="dxa"/>
                  <w:shd w:val="clear" w:color="auto" w:fill="auto"/>
                  <w:noWrap/>
                  <w:vAlign w:val="center"/>
                </w:tcPr>
                <w:p>
                  <w:pPr>
                    <w:widowControl/>
                    <w:spacing w:line="360" w:lineRule="exact"/>
                    <w:jc w:val="center"/>
                    <w:rPr>
                      <w:rFonts w:cs="宋体"/>
                      <w:kern w:val="0"/>
                    </w:rPr>
                  </w:pPr>
                  <w:r>
                    <w:rPr>
                      <w:rFonts w:hint="eastAsia" w:cs="宋体"/>
                      <w:kern w:val="0"/>
                    </w:rPr>
                    <w:t>mg/KWH</w:t>
                  </w:r>
                </w:p>
              </w:tc>
              <w:tc>
                <w:tcPr>
                  <w:tcW w:w="1714" w:type="dxa"/>
                  <w:shd w:val="clear" w:color="auto" w:fill="auto"/>
                  <w:noWrap/>
                  <w:vAlign w:val="center"/>
                </w:tcPr>
                <w:p>
                  <w:pPr>
                    <w:widowControl/>
                    <w:spacing w:line="360" w:lineRule="exact"/>
                    <w:jc w:val="center"/>
                    <w:rPr>
                      <w:rFonts w:cs="宋体"/>
                      <w:kern w:val="0"/>
                    </w:rPr>
                  </w:pPr>
                  <w:r>
                    <w:rPr>
                      <w:rFonts w:hint="eastAsia" w:cs="宋体"/>
                      <w:kern w:val="0"/>
                    </w:rPr>
                    <w:t>130</w:t>
                  </w:r>
                </w:p>
              </w:tc>
              <w:tc>
                <w:tcPr>
                  <w:tcW w:w="1712" w:type="dxa"/>
                  <w:shd w:val="clear" w:color="auto" w:fill="auto"/>
                  <w:noWrap/>
                  <w:vAlign w:val="center"/>
                </w:tcPr>
                <w:p>
                  <w:pPr>
                    <w:widowControl/>
                    <w:spacing w:line="360" w:lineRule="exact"/>
                    <w:jc w:val="center"/>
                    <w:rPr>
                      <w:rFonts w:cs="宋体"/>
                      <w:kern w:val="0"/>
                    </w:rPr>
                  </w:pPr>
                  <w:r>
                    <w:rPr>
                      <w:rFonts w:hint="eastAsia" w:cs="宋体"/>
                      <w:kern w:val="0"/>
                    </w:rPr>
                    <w:t>400</w:t>
                  </w:r>
                </w:p>
              </w:tc>
              <w:tc>
                <w:tcPr>
                  <w:tcW w:w="1190" w:type="dxa"/>
                  <w:shd w:val="clear" w:color="auto" w:fill="auto"/>
                  <w:noWrap/>
                  <w:vAlign w:val="center"/>
                </w:tcPr>
                <w:p>
                  <w:pPr>
                    <w:widowControl/>
                    <w:spacing w:line="360" w:lineRule="exact"/>
                    <w:jc w:val="center"/>
                    <w:rPr>
                      <w:rFonts w:cs="宋体"/>
                      <w:kern w:val="0"/>
                    </w:rPr>
                  </w:pPr>
                  <w:r>
                    <w:rPr>
                      <w:rFonts w:hint="eastAsia" w:cs="宋体"/>
                      <w:kern w:val="0"/>
                    </w:rPr>
                    <w:t>10</w:t>
                  </w:r>
                </w:p>
              </w:tc>
              <w:tc>
                <w:tcPr>
                  <w:tcW w:w="1184" w:type="dxa"/>
                </w:tcPr>
                <w:p>
                  <w:pPr>
                    <w:widowControl/>
                    <w:spacing w:line="360" w:lineRule="exact"/>
                    <w:jc w:val="center"/>
                    <w:rPr>
                      <w:rFonts w:cs="宋体"/>
                      <w:kern w:val="0"/>
                    </w:rPr>
                  </w:pPr>
                  <w:r>
                    <w:rPr>
                      <w:rFonts w:hint="eastAsia" w:cs="宋体"/>
                      <w:kern w:val="0"/>
                    </w:rPr>
                    <w:t>1</w:t>
                  </w:r>
                  <w:r>
                    <w:rPr>
                      <w:rFonts w:cs="宋体"/>
                      <w:kern w:val="0"/>
                    </w:rPr>
                    <w:t>500</w:t>
                  </w:r>
                </w:p>
              </w:tc>
            </w:tr>
          </w:tbl>
          <w:p>
            <w:pPr>
              <w:pStyle w:val="50"/>
              <w:numPr>
                <w:ilvl w:val="0"/>
                <w:numId w:val="2"/>
              </w:numPr>
              <w:snapToGrid w:val="0"/>
              <w:spacing w:line="240" w:lineRule="auto"/>
              <w:ind w:firstLineChars="0"/>
              <w:jc w:val="center"/>
              <w:rPr>
                <w:b/>
                <w:bCs/>
              </w:rPr>
            </w:pPr>
            <w:r>
              <w:rPr>
                <w:rFonts w:hint="eastAsia"/>
                <w:b/>
                <w:bCs/>
              </w:rPr>
              <w:t>项目机械尾气污染排放情况</w:t>
            </w:r>
          </w:p>
          <w:tbl>
            <w:tblPr>
              <w:tblStyle w:val="22"/>
              <w:tblW w:w="888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66"/>
              <w:gridCol w:w="636"/>
              <w:gridCol w:w="1056"/>
              <w:gridCol w:w="1266"/>
              <w:gridCol w:w="1056"/>
              <w:gridCol w:w="636"/>
              <w:gridCol w:w="689"/>
              <w:gridCol w:w="794"/>
              <w:gridCol w:w="689"/>
              <w:gridCol w:w="7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vMerge w:val="restart"/>
                  <w:shd w:val="clear" w:color="auto" w:fill="auto"/>
                  <w:noWrap/>
                  <w:vAlign w:val="center"/>
                </w:tcPr>
                <w:p>
                  <w:pPr>
                    <w:spacing w:line="360" w:lineRule="exact"/>
                    <w:jc w:val="center"/>
                    <w:rPr>
                      <w:rFonts w:cs="宋体"/>
                      <w:kern w:val="0"/>
                      <w:szCs w:val="20"/>
                    </w:rPr>
                  </w:pPr>
                  <w:r>
                    <w:rPr>
                      <w:rFonts w:hint="eastAsia" w:cs="宋体"/>
                      <w:kern w:val="0"/>
                    </w:rPr>
                    <w:t>车辆类型</w:t>
                  </w:r>
                </w:p>
              </w:tc>
              <w:tc>
                <w:tcPr>
                  <w:tcW w:w="636" w:type="dxa"/>
                  <w:vMerge w:val="restart"/>
                  <w:shd w:val="clear" w:color="auto" w:fill="auto"/>
                  <w:noWrap/>
                  <w:vAlign w:val="center"/>
                </w:tcPr>
                <w:p>
                  <w:pPr>
                    <w:spacing w:line="360" w:lineRule="exact"/>
                    <w:jc w:val="center"/>
                    <w:rPr>
                      <w:kern w:val="0"/>
                      <w:szCs w:val="20"/>
                    </w:rPr>
                  </w:pPr>
                  <w:r>
                    <w:rPr>
                      <w:rFonts w:hint="eastAsia" w:cs="宋体"/>
                      <w:kern w:val="0"/>
                    </w:rPr>
                    <w:t>辆数</w:t>
                  </w:r>
                </w:p>
              </w:tc>
              <w:tc>
                <w:tcPr>
                  <w:tcW w:w="1056" w:type="dxa"/>
                  <w:vMerge w:val="restart"/>
                  <w:shd w:val="clear" w:color="auto" w:fill="auto"/>
                  <w:noWrap/>
                  <w:vAlign w:val="center"/>
                </w:tcPr>
                <w:p>
                  <w:pPr>
                    <w:spacing w:line="360" w:lineRule="exact"/>
                    <w:jc w:val="center"/>
                    <w:rPr>
                      <w:kern w:val="0"/>
                      <w:szCs w:val="20"/>
                    </w:rPr>
                  </w:pPr>
                  <w:r>
                    <w:rPr>
                      <w:rFonts w:hint="eastAsia" w:cs="宋体"/>
                      <w:kern w:val="0"/>
                    </w:rPr>
                    <w:t>执行标准</w:t>
                  </w:r>
                </w:p>
              </w:tc>
              <w:tc>
                <w:tcPr>
                  <w:tcW w:w="1266" w:type="dxa"/>
                  <w:vMerge w:val="restart"/>
                  <w:shd w:val="clear" w:color="auto" w:fill="auto"/>
                  <w:noWrap/>
                  <w:vAlign w:val="center"/>
                </w:tcPr>
                <w:p>
                  <w:pPr>
                    <w:spacing w:line="360" w:lineRule="exact"/>
                    <w:jc w:val="center"/>
                    <w:rPr>
                      <w:rFonts w:cs="宋体"/>
                      <w:kern w:val="0"/>
                    </w:rPr>
                  </w:pPr>
                  <w:r>
                    <w:rPr>
                      <w:rFonts w:hint="eastAsia" w:cs="宋体"/>
                      <w:kern w:val="0"/>
                    </w:rPr>
                    <w:t>发动机功率</w:t>
                  </w:r>
                </w:p>
                <w:p>
                  <w:pPr>
                    <w:spacing w:line="360" w:lineRule="exact"/>
                    <w:jc w:val="center"/>
                    <w:rPr>
                      <w:kern w:val="0"/>
                      <w:szCs w:val="20"/>
                    </w:rPr>
                  </w:pPr>
                  <w:r>
                    <w:rPr>
                      <w:rFonts w:hint="eastAsia" w:cs="宋体"/>
                      <w:kern w:val="0"/>
                    </w:rPr>
                    <w:t>单位：kw</w:t>
                  </w:r>
                </w:p>
              </w:tc>
              <w:tc>
                <w:tcPr>
                  <w:tcW w:w="1056" w:type="dxa"/>
                  <w:vMerge w:val="restart"/>
                  <w:shd w:val="clear" w:color="auto" w:fill="auto"/>
                  <w:noWrap/>
                  <w:vAlign w:val="center"/>
                </w:tcPr>
                <w:p>
                  <w:pPr>
                    <w:spacing w:line="360" w:lineRule="exact"/>
                    <w:jc w:val="center"/>
                    <w:rPr>
                      <w:kern w:val="0"/>
                      <w:szCs w:val="20"/>
                    </w:rPr>
                  </w:pPr>
                  <w:r>
                    <w:rPr>
                      <w:rFonts w:hint="eastAsia" w:cs="宋体"/>
                      <w:kern w:val="0"/>
                    </w:rPr>
                    <w:t>工作时间</w:t>
                  </w:r>
                </w:p>
              </w:tc>
              <w:tc>
                <w:tcPr>
                  <w:tcW w:w="3602" w:type="dxa"/>
                  <w:gridSpan w:val="5"/>
                  <w:shd w:val="clear" w:color="auto" w:fill="auto"/>
                  <w:noWrap/>
                  <w:vAlign w:val="center"/>
                </w:tcPr>
                <w:p>
                  <w:pPr>
                    <w:widowControl/>
                    <w:spacing w:line="360" w:lineRule="exact"/>
                    <w:jc w:val="center"/>
                    <w:rPr>
                      <w:rFonts w:cs="宋体"/>
                      <w:kern w:val="0"/>
                    </w:rPr>
                  </w:pPr>
                  <w:r>
                    <w:rPr>
                      <w:rFonts w:hint="eastAsia" w:cs="宋体"/>
                      <w:kern w:val="0"/>
                    </w:rPr>
                    <w:t>污染物产生量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0" w:hRule="atLeast"/>
                <w:jc w:val="center"/>
              </w:trPr>
              <w:tc>
                <w:tcPr>
                  <w:tcW w:w="126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rFonts w:cs="宋体"/>
                      <w:kern w:val="0"/>
                    </w:rPr>
                  </w:pPr>
                </w:p>
              </w:tc>
              <w:tc>
                <w:tcPr>
                  <w:tcW w:w="1056" w:type="dxa"/>
                  <w:vMerge w:val="continue"/>
                  <w:shd w:val="clear" w:color="auto" w:fill="auto"/>
                  <w:noWrap/>
                  <w:vAlign w:val="center"/>
                </w:tcPr>
                <w:p>
                  <w:pPr>
                    <w:widowControl/>
                    <w:spacing w:line="360" w:lineRule="exact"/>
                    <w:jc w:val="center"/>
                    <w:rPr>
                      <w:rFonts w:cs="宋体"/>
                      <w:kern w:val="0"/>
                    </w:rPr>
                  </w:pPr>
                </w:p>
              </w:tc>
              <w:tc>
                <w:tcPr>
                  <w:tcW w:w="1266" w:type="dxa"/>
                  <w:vMerge w:val="continue"/>
                  <w:shd w:val="clear" w:color="auto" w:fill="auto"/>
                  <w:vAlign w:val="center"/>
                </w:tcPr>
                <w:p>
                  <w:pPr>
                    <w:widowControl/>
                    <w:spacing w:line="360" w:lineRule="exact"/>
                    <w:jc w:val="center"/>
                    <w:rPr>
                      <w:rFonts w:cs="宋体"/>
                      <w:kern w:val="0"/>
                    </w:rPr>
                  </w:pP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单位</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THC</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NOx</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PM</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CO</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自卸卡车</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26</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国六</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270</w:t>
                  </w:r>
                </w:p>
              </w:tc>
              <w:tc>
                <w:tcPr>
                  <w:tcW w:w="1056" w:type="dxa"/>
                  <w:vMerge w:val="restart"/>
                  <w:shd w:val="clear" w:color="auto" w:fill="auto"/>
                  <w:noWrap/>
                  <w:vAlign w:val="center"/>
                </w:tcPr>
                <w:p>
                  <w:pPr>
                    <w:widowControl/>
                    <w:spacing w:line="360" w:lineRule="exact"/>
                    <w:jc w:val="center"/>
                    <w:rPr>
                      <w:rFonts w:cs="宋体"/>
                      <w:kern w:val="0"/>
                    </w:rPr>
                  </w:pPr>
                  <w:r>
                    <w:rPr>
                      <w:rFonts w:hint="eastAsia" w:cs="宋体"/>
                      <w:kern w:val="0"/>
                    </w:rPr>
                    <w:t>4800h</w:t>
                  </w:r>
                </w:p>
              </w:tc>
              <w:tc>
                <w:tcPr>
                  <w:tcW w:w="636" w:type="dxa"/>
                  <w:vMerge w:val="restart"/>
                  <w:shd w:val="clear" w:color="auto" w:fill="auto"/>
                  <w:noWrap/>
                  <w:vAlign w:val="center"/>
                </w:tcPr>
                <w:p>
                  <w:pPr>
                    <w:widowControl/>
                    <w:spacing w:line="360" w:lineRule="exact"/>
                    <w:jc w:val="center"/>
                    <w:rPr>
                      <w:rFonts w:cs="宋体"/>
                      <w:kern w:val="0"/>
                    </w:rPr>
                  </w:pPr>
                  <w:r>
                    <w:rPr>
                      <w:rFonts w:hint="eastAsia" w:cs="宋体"/>
                      <w:kern w:val="0"/>
                    </w:rPr>
                    <w:t>t</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4.380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13.478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0.337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50.544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加油车</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1</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国六</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147</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0.092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0.282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0.007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1.058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消防洒水车</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1</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国六</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147</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0.092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0.282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0.007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1.058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皮卡</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1</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国六</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140</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0.087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0.269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0.007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1.008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雾炮车</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1</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国六</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147</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0.092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0.282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0.007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1.058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挖掘机</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7</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国四</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164</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2.535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19.286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0.110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8.266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装载机</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3</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国四</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162</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1.073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8.165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0.047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3.499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推土机</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2</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国四</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93</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0.411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3.125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0.018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1.339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spacing w:line="360" w:lineRule="exact"/>
                    <w:jc w:val="center"/>
                    <w:rPr>
                      <w:rFonts w:cs="宋体"/>
                      <w:kern w:val="0"/>
                    </w:rPr>
                  </w:pPr>
                  <w:r>
                    <w:rPr>
                      <w:rFonts w:hint="eastAsia" w:cs="宋体"/>
                      <w:kern w:val="0"/>
                    </w:rPr>
                    <w:t>平路机</w:t>
                  </w:r>
                </w:p>
              </w:tc>
              <w:tc>
                <w:tcPr>
                  <w:tcW w:w="636" w:type="dxa"/>
                  <w:shd w:val="clear" w:color="auto" w:fill="auto"/>
                  <w:noWrap/>
                  <w:vAlign w:val="center"/>
                </w:tcPr>
                <w:p>
                  <w:pPr>
                    <w:widowControl/>
                    <w:spacing w:line="360" w:lineRule="exact"/>
                    <w:jc w:val="center"/>
                    <w:rPr>
                      <w:rFonts w:cs="宋体"/>
                      <w:kern w:val="0"/>
                    </w:rPr>
                  </w:pPr>
                  <w:r>
                    <w:rPr>
                      <w:rFonts w:hint="eastAsia" w:cs="宋体"/>
                      <w:kern w:val="0"/>
                    </w:rPr>
                    <w:t>1</w:t>
                  </w:r>
                </w:p>
              </w:tc>
              <w:tc>
                <w:tcPr>
                  <w:tcW w:w="1056" w:type="dxa"/>
                  <w:shd w:val="clear" w:color="auto" w:fill="auto"/>
                  <w:noWrap/>
                  <w:vAlign w:val="center"/>
                </w:tcPr>
                <w:p>
                  <w:pPr>
                    <w:widowControl/>
                    <w:spacing w:line="360" w:lineRule="exact"/>
                    <w:jc w:val="center"/>
                    <w:rPr>
                      <w:rFonts w:cs="宋体"/>
                      <w:kern w:val="0"/>
                    </w:rPr>
                  </w:pPr>
                  <w:r>
                    <w:rPr>
                      <w:rFonts w:hint="eastAsia" w:cs="宋体"/>
                      <w:kern w:val="0"/>
                    </w:rPr>
                    <w:t>国四</w:t>
                  </w:r>
                </w:p>
              </w:tc>
              <w:tc>
                <w:tcPr>
                  <w:tcW w:w="1266" w:type="dxa"/>
                  <w:shd w:val="clear" w:color="auto" w:fill="auto"/>
                  <w:noWrap/>
                  <w:vAlign w:val="center"/>
                </w:tcPr>
                <w:p>
                  <w:pPr>
                    <w:widowControl/>
                    <w:spacing w:line="360" w:lineRule="exact"/>
                    <w:jc w:val="center"/>
                    <w:rPr>
                      <w:rFonts w:cs="宋体"/>
                      <w:kern w:val="0"/>
                    </w:rPr>
                  </w:pPr>
                  <w:r>
                    <w:rPr>
                      <w:rFonts w:hint="eastAsia" w:cs="宋体"/>
                      <w:kern w:val="0"/>
                    </w:rPr>
                    <w:t>140</w:t>
                  </w:r>
                </w:p>
              </w:tc>
              <w:tc>
                <w:tcPr>
                  <w:tcW w:w="1056" w:type="dxa"/>
                  <w:vMerge w:val="continue"/>
                  <w:shd w:val="clear" w:color="auto" w:fill="auto"/>
                  <w:noWrap/>
                  <w:vAlign w:val="center"/>
                </w:tcPr>
                <w:p>
                  <w:pPr>
                    <w:widowControl/>
                    <w:spacing w:line="360" w:lineRule="exact"/>
                    <w:jc w:val="center"/>
                    <w:rPr>
                      <w:rFonts w:cs="宋体"/>
                      <w:kern w:val="0"/>
                    </w:rPr>
                  </w:pPr>
                </w:p>
              </w:tc>
              <w:tc>
                <w:tcPr>
                  <w:tcW w:w="636" w:type="dxa"/>
                  <w:vMerge w:val="continue"/>
                  <w:shd w:val="clear" w:color="auto" w:fill="auto"/>
                  <w:noWrap/>
                  <w:vAlign w:val="center"/>
                </w:tcPr>
                <w:p>
                  <w:pPr>
                    <w:widowControl/>
                    <w:spacing w:line="360" w:lineRule="exact"/>
                    <w:jc w:val="center"/>
                    <w:rPr>
                      <w:kern w:val="0"/>
                      <w:szCs w:val="2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0.309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2.352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0.013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1.008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5280" w:type="dxa"/>
                  <w:gridSpan w:val="5"/>
                  <w:shd w:val="clear" w:color="auto" w:fill="auto"/>
                  <w:noWrap/>
                  <w:vAlign w:val="center"/>
                </w:tcPr>
                <w:p>
                  <w:pPr>
                    <w:widowControl/>
                    <w:spacing w:line="360" w:lineRule="exact"/>
                    <w:jc w:val="center"/>
                    <w:rPr>
                      <w:rFonts w:cs="宋体"/>
                      <w:kern w:val="0"/>
                    </w:rPr>
                  </w:pPr>
                  <w:r>
                    <w:rPr>
                      <w:rFonts w:hint="eastAsia" w:cs="宋体"/>
                      <w:kern w:val="0"/>
                    </w:rPr>
                    <w:t>合计</w:t>
                  </w:r>
                </w:p>
              </w:tc>
              <w:tc>
                <w:tcPr>
                  <w:tcW w:w="636" w:type="dxa"/>
                  <w:vMerge w:val="continue"/>
                  <w:shd w:val="clear" w:color="auto" w:fill="auto"/>
                  <w:noWrap/>
                  <w:vAlign w:val="center"/>
                </w:tcPr>
                <w:p>
                  <w:pPr>
                    <w:widowControl/>
                    <w:spacing w:line="360" w:lineRule="exact"/>
                    <w:jc w:val="center"/>
                    <w:rPr>
                      <w:rFonts w:cs="宋体"/>
                      <w:kern w:val="0"/>
                    </w:rPr>
                  </w:pP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9.071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47.522 </w:t>
                  </w:r>
                </w:p>
              </w:tc>
              <w:tc>
                <w:tcPr>
                  <w:tcW w:w="689" w:type="dxa"/>
                  <w:shd w:val="clear" w:color="auto" w:fill="auto"/>
                  <w:noWrap/>
                  <w:vAlign w:val="center"/>
                </w:tcPr>
                <w:p>
                  <w:pPr>
                    <w:widowControl/>
                    <w:spacing w:line="360" w:lineRule="exact"/>
                    <w:jc w:val="center"/>
                    <w:rPr>
                      <w:rFonts w:cs="宋体"/>
                      <w:kern w:val="0"/>
                    </w:rPr>
                  </w:pPr>
                  <w:r>
                    <w:rPr>
                      <w:rFonts w:hint="eastAsia" w:cs="宋体"/>
                      <w:kern w:val="0"/>
                    </w:rPr>
                    <w:t xml:space="preserve">0.553 </w:t>
                  </w:r>
                </w:p>
              </w:tc>
              <w:tc>
                <w:tcPr>
                  <w:tcW w:w="794" w:type="dxa"/>
                  <w:shd w:val="clear" w:color="auto" w:fill="auto"/>
                  <w:noWrap/>
                  <w:vAlign w:val="center"/>
                </w:tcPr>
                <w:p>
                  <w:pPr>
                    <w:widowControl/>
                    <w:spacing w:line="360" w:lineRule="exact"/>
                    <w:jc w:val="center"/>
                    <w:rPr>
                      <w:rFonts w:cs="宋体"/>
                      <w:kern w:val="0"/>
                    </w:rPr>
                  </w:pPr>
                  <w:r>
                    <w:rPr>
                      <w:rFonts w:hint="eastAsia" w:cs="宋体"/>
                      <w:kern w:val="0"/>
                    </w:rPr>
                    <w:t xml:space="preserve">68.839 </w:t>
                  </w:r>
                </w:p>
              </w:tc>
            </w:tr>
          </w:tbl>
          <w:p>
            <w:pPr>
              <w:pStyle w:val="47"/>
              <w:ind w:firstLine="480"/>
              <w:rPr>
                <w:color w:val="auto"/>
              </w:rPr>
            </w:pPr>
            <w:r>
              <w:rPr>
                <w:rFonts w:hint="eastAsia"/>
                <w:color w:val="auto"/>
              </w:rPr>
              <w:t>项目采矿为露天开采，周边开阔，空气扩散条件较好，产生的柴油燃烧尾气经稀释、扩散后对周边环境影响不大。为进一步降低尾气污染，对于开采过程使用的机械设备与运输车辆应定期维护。</w:t>
            </w:r>
          </w:p>
          <w:p>
            <w:pPr>
              <w:pStyle w:val="47"/>
              <w:ind w:firstLine="480"/>
              <w:rPr>
                <w:color w:val="auto"/>
              </w:rPr>
            </w:pPr>
            <w:r>
              <w:rPr>
                <w:rFonts w:hint="eastAsia"/>
                <w:color w:val="auto"/>
              </w:rPr>
              <w:t>6）工业场地破碎筛分粉尘</w:t>
            </w:r>
          </w:p>
          <w:p>
            <w:pPr>
              <w:pStyle w:val="47"/>
              <w:ind w:firstLine="480"/>
              <w:rPr>
                <w:color w:val="auto"/>
              </w:rPr>
            </w:pPr>
            <w:r>
              <w:rPr>
                <w:rFonts w:hint="eastAsia"/>
                <w:color w:val="auto"/>
              </w:rPr>
              <w:t>项目原料矿石在破碎和筛分过程中会产生一定的粉尘，根据《1019粘土及其他土砂石开采行业系数手册》“建筑及铺路骨料”原料矿山的开采、矿石破碎、筛分的产污系数参考石灰石行业的产污系数及污染治理效率。根据《1011石灰石石膏开采行业系数手册》石灰石破碎所有规模废气颗粒物产污系数为3</w:t>
            </w:r>
            <w:r>
              <w:rPr>
                <w:color w:val="auto"/>
              </w:rPr>
              <w:t>.07*10</w:t>
            </w:r>
            <w:r>
              <w:rPr>
                <w:color w:val="auto"/>
                <w:vertAlign w:val="superscript"/>
              </w:rPr>
              <w:t>-2</w:t>
            </w:r>
            <w:r>
              <w:rPr>
                <w:color w:val="auto"/>
              </w:rPr>
              <w:t>kg/</w:t>
            </w:r>
            <w:r>
              <w:rPr>
                <w:rFonts w:hint="eastAsia"/>
                <w:color w:val="auto"/>
              </w:rPr>
              <w:t>吨-产品；筛分所有规模废气颗粒物产污系数为</w:t>
            </w:r>
            <w:r>
              <w:rPr>
                <w:color w:val="auto"/>
              </w:rPr>
              <w:t>0.40kg/</w:t>
            </w:r>
            <w:r>
              <w:rPr>
                <w:rFonts w:hint="eastAsia"/>
                <w:color w:val="auto"/>
              </w:rPr>
              <w:t>吨-产品。末端袋式除尘治理平均去除效率为9</w:t>
            </w:r>
            <w:r>
              <w:rPr>
                <w:color w:val="auto"/>
              </w:rPr>
              <w:t>9.7%</w:t>
            </w:r>
            <w:r>
              <w:rPr>
                <w:rFonts w:hint="eastAsia"/>
                <w:color w:val="auto"/>
              </w:rPr>
              <w:t>。</w:t>
            </w:r>
          </w:p>
          <w:p>
            <w:pPr>
              <w:pStyle w:val="47"/>
              <w:ind w:firstLine="480"/>
              <w:rPr>
                <w:color w:val="auto"/>
              </w:rPr>
            </w:pPr>
            <w:r>
              <w:rPr>
                <w:rFonts w:hint="eastAsia"/>
                <w:color w:val="auto"/>
              </w:rPr>
              <w:t>本项目加工冶镁白云岩矿石50万t/a，伴生石料500万t/a，因此项目白云岩破碎筛分粉尘年产生量为</w:t>
            </w:r>
            <w:r>
              <w:rPr>
                <w:color w:val="auto"/>
              </w:rPr>
              <w:t>215.35</w:t>
            </w:r>
            <w:r>
              <w:rPr>
                <w:rFonts w:hint="eastAsia"/>
                <w:color w:val="auto"/>
              </w:rPr>
              <w:t>t/a，伴生石料破碎筛分粉尘年产生量为</w:t>
            </w:r>
            <w:r>
              <w:rPr>
                <w:color w:val="auto"/>
              </w:rPr>
              <w:t>2153.5</w:t>
            </w:r>
            <w:r>
              <w:rPr>
                <w:rFonts w:hint="eastAsia"/>
                <w:color w:val="auto"/>
              </w:rPr>
              <w:t>t/a。</w:t>
            </w:r>
          </w:p>
          <w:p>
            <w:pPr>
              <w:spacing w:line="360" w:lineRule="auto"/>
              <w:ind w:firstLine="480"/>
              <w:rPr>
                <w:sz w:val="24"/>
              </w:rPr>
            </w:pPr>
            <w:r>
              <w:rPr>
                <w:rFonts w:hint="eastAsia"/>
                <w:sz w:val="24"/>
              </w:rPr>
              <w:t>针对白云岩和伴生石料破碎筛分粉尘，项目通过全密闭破碎车间、同时在给料机、破碎机投料口﹑出料口及筛分机上部安装密闭收集装置，带式输送采用密闭廊道，将含尘废气抽送至旋风除尘器+布袋除尘器处理。项目拟设置白云岩矿石破碎筛分生产线1条，伴生石料破碎筛分生产线1条，每条生产线配备一套废气收集装置（收集率90%）+旋风除尘器+布袋除尘器，旋风除尘器除尘效率70%，布袋除尘器除尘效率99</w:t>
            </w:r>
            <w:r>
              <w:rPr>
                <w:sz w:val="24"/>
              </w:rPr>
              <w:t>.7</w:t>
            </w:r>
            <w:r>
              <w:rPr>
                <w:rFonts w:hint="eastAsia"/>
                <w:sz w:val="24"/>
              </w:rPr>
              <w:t>%，白云岩矿石破碎筛分生产线除尘系统风量为</w:t>
            </w:r>
            <w:r>
              <w:rPr>
                <w:sz w:val="24"/>
              </w:rPr>
              <w:t>1</w:t>
            </w:r>
            <w:r>
              <w:rPr>
                <w:rFonts w:hint="eastAsia"/>
                <w:sz w:val="24"/>
              </w:rPr>
              <w:t>000</w:t>
            </w:r>
            <w:r>
              <w:rPr>
                <w:sz w:val="24"/>
              </w:rPr>
              <w:t>0</w:t>
            </w:r>
            <w:r>
              <w:rPr>
                <w:rFonts w:hint="eastAsia"/>
                <w:sz w:val="24"/>
              </w:rPr>
              <w:t>m</w:t>
            </w:r>
            <w:r>
              <w:rPr>
                <w:rFonts w:hint="eastAsia"/>
                <w:sz w:val="24"/>
                <w:vertAlign w:val="superscript"/>
              </w:rPr>
              <w:t>3</w:t>
            </w:r>
            <w:r>
              <w:rPr>
                <w:rFonts w:hint="eastAsia"/>
                <w:sz w:val="24"/>
              </w:rPr>
              <w:t>/h，伴生石料破碎筛分生产线除尘系统风量为</w:t>
            </w:r>
            <w:r>
              <w:rPr>
                <w:sz w:val="24"/>
              </w:rPr>
              <w:t>10</w:t>
            </w:r>
            <w:r>
              <w:rPr>
                <w:rFonts w:hint="eastAsia"/>
                <w:sz w:val="24"/>
              </w:rPr>
              <w:t>0000m</w:t>
            </w:r>
            <w:r>
              <w:rPr>
                <w:rFonts w:hint="eastAsia"/>
                <w:sz w:val="24"/>
                <w:vertAlign w:val="superscript"/>
              </w:rPr>
              <w:t>3</w:t>
            </w:r>
            <w:r>
              <w:rPr>
                <w:rFonts w:hint="eastAsia"/>
                <w:sz w:val="24"/>
              </w:rPr>
              <w:t>/h，除尘系统综合除尘效率均为99.</w:t>
            </w:r>
            <w:r>
              <w:rPr>
                <w:sz w:val="24"/>
              </w:rPr>
              <w:t>91</w:t>
            </w:r>
            <w:r>
              <w:rPr>
                <w:rFonts w:hint="eastAsia"/>
                <w:sz w:val="24"/>
              </w:rPr>
              <w:t>%（废气处理系统匹配含尘废气最大浓度设置）。项目白云岩和伴生石料破碎筛分含尘废气产排情况见下表。</w:t>
            </w:r>
          </w:p>
          <w:p>
            <w:pPr>
              <w:pStyle w:val="50"/>
              <w:numPr>
                <w:ilvl w:val="0"/>
                <w:numId w:val="2"/>
              </w:numPr>
              <w:snapToGrid w:val="0"/>
              <w:spacing w:line="240" w:lineRule="auto"/>
              <w:ind w:firstLineChars="0"/>
              <w:jc w:val="center"/>
              <w:rPr>
                <w:b/>
                <w:bCs/>
              </w:rPr>
            </w:pPr>
            <w:r>
              <w:rPr>
                <w:rFonts w:hint="eastAsia"/>
                <w:b/>
                <w:bCs/>
              </w:rPr>
              <w:t>白云岩和伴生石料破碎筛分含尘废气产排情况</w:t>
            </w:r>
          </w:p>
          <w:tbl>
            <w:tblPr>
              <w:tblStyle w:val="22"/>
              <w:tblW w:w="888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3"/>
              <w:gridCol w:w="945"/>
              <w:gridCol w:w="899"/>
              <w:gridCol w:w="899"/>
              <w:gridCol w:w="2568"/>
              <w:gridCol w:w="682"/>
              <w:gridCol w:w="798"/>
              <w:gridCol w:w="689"/>
              <w:gridCol w:w="68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restart"/>
                  <w:shd w:val="clear" w:color="auto" w:fill="auto"/>
                  <w:vAlign w:val="center"/>
                </w:tcPr>
                <w:p>
                  <w:pPr>
                    <w:spacing w:line="360" w:lineRule="exact"/>
                    <w:jc w:val="center"/>
                    <w:rPr>
                      <w:b/>
                      <w:kern w:val="1"/>
                      <w:szCs w:val="21"/>
                    </w:rPr>
                  </w:pPr>
                  <w:r>
                    <w:rPr>
                      <w:rFonts w:hint="eastAsia"/>
                      <w:b/>
                      <w:kern w:val="1"/>
                      <w:szCs w:val="21"/>
                    </w:rPr>
                    <w:t>污染物</w:t>
                  </w:r>
                </w:p>
              </w:tc>
              <w:tc>
                <w:tcPr>
                  <w:tcW w:w="2743" w:type="dxa"/>
                  <w:gridSpan w:val="3"/>
                  <w:shd w:val="clear" w:color="auto" w:fill="auto"/>
                  <w:vAlign w:val="center"/>
                </w:tcPr>
                <w:p>
                  <w:pPr>
                    <w:spacing w:line="360" w:lineRule="exact"/>
                    <w:jc w:val="center"/>
                    <w:rPr>
                      <w:b/>
                      <w:kern w:val="1"/>
                      <w:szCs w:val="21"/>
                    </w:rPr>
                  </w:pPr>
                  <w:r>
                    <w:rPr>
                      <w:rFonts w:hint="eastAsia"/>
                      <w:b/>
                      <w:kern w:val="1"/>
                      <w:szCs w:val="21"/>
                    </w:rPr>
                    <w:t>产生情况</w:t>
                  </w:r>
                </w:p>
              </w:tc>
              <w:tc>
                <w:tcPr>
                  <w:tcW w:w="2568" w:type="dxa"/>
                  <w:vMerge w:val="restart"/>
                  <w:shd w:val="clear" w:color="auto" w:fill="auto"/>
                  <w:vAlign w:val="center"/>
                </w:tcPr>
                <w:p>
                  <w:pPr>
                    <w:spacing w:line="360" w:lineRule="exact"/>
                    <w:jc w:val="center"/>
                    <w:rPr>
                      <w:b/>
                      <w:kern w:val="1"/>
                      <w:szCs w:val="21"/>
                    </w:rPr>
                  </w:pPr>
                  <w:r>
                    <w:rPr>
                      <w:rFonts w:hint="eastAsia"/>
                      <w:b/>
                      <w:kern w:val="1"/>
                      <w:szCs w:val="21"/>
                    </w:rPr>
                    <w:t>措施</w:t>
                  </w:r>
                </w:p>
              </w:tc>
              <w:tc>
                <w:tcPr>
                  <w:tcW w:w="682" w:type="dxa"/>
                  <w:vMerge w:val="restart"/>
                  <w:shd w:val="clear" w:color="auto" w:fill="auto"/>
                  <w:vAlign w:val="center"/>
                </w:tcPr>
                <w:p>
                  <w:pPr>
                    <w:spacing w:line="360" w:lineRule="exact"/>
                    <w:jc w:val="center"/>
                    <w:rPr>
                      <w:b/>
                      <w:kern w:val="1"/>
                      <w:szCs w:val="21"/>
                    </w:rPr>
                  </w:pPr>
                  <w:r>
                    <w:rPr>
                      <w:rFonts w:hint="eastAsia"/>
                      <w:b/>
                      <w:kern w:val="1"/>
                      <w:szCs w:val="21"/>
                    </w:rPr>
                    <w:t>排放方式</w:t>
                  </w:r>
                </w:p>
              </w:tc>
              <w:tc>
                <w:tcPr>
                  <w:tcW w:w="2176" w:type="dxa"/>
                  <w:gridSpan w:val="3"/>
                  <w:shd w:val="clear" w:color="auto" w:fill="auto"/>
                  <w:vAlign w:val="center"/>
                </w:tcPr>
                <w:p>
                  <w:pPr>
                    <w:spacing w:line="360" w:lineRule="exact"/>
                    <w:jc w:val="center"/>
                    <w:rPr>
                      <w:b/>
                      <w:kern w:val="1"/>
                      <w:szCs w:val="21"/>
                    </w:rPr>
                  </w:pPr>
                  <w:r>
                    <w:rPr>
                      <w:rFonts w:hint="eastAsia"/>
                      <w:b/>
                      <w:kern w:val="1"/>
                      <w:szCs w:val="21"/>
                    </w:rPr>
                    <w:t>排放情况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continue"/>
                  <w:shd w:val="clear" w:color="auto" w:fill="auto"/>
                  <w:vAlign w:val="center"/>
                </w:tcPr>
                <w:p>
                  <w:pPr>
                    <w:spacing w:line="360" w:lineRule="exact"/>
                    <w:jc w:val="center"/>
                    <w:rPr>
                      <w:b/>
                      <w:kern w:val="1"/>
                      <w:szCs w:val="21"/>
                    </w:rPr>
                  </w:pPr>
                </w:p>
              </w:tc>
              <w:tc>
                <w:tcPr>
                  <w:tcW w:w="945" w:type="dxa"/>
                  <w:shd w:val="clear" w:color="auto" w:fill="auto"/>
                  <w:vAlign w:val="center"/>
                </w:tcPr>
                <w:p>
                  <w:pPr>
                    <w:spacing w:line="360" w:lineRule="exact"/>
                    <w:jc w:val="center"/>
                    <w:rPr>
                      <w:b/>
                      <w:kern w:val="1"/>
                      <w:szCs w:val="21"/>
                    </w:rPr>
                  </w:pPr>
                  <w:r>
                    <w:rPr>
                      <w:rFonts w:hint="eastAsia"/>
                      <w:b/>
                      <w:kern w:val="1"/>
                      <w:szCs w:val="21"/>
                    </w:rPr>
                    <w:t>浓度</w:t>
                  </w:r>
                </w:p>
                <w:p>
                  <w:pPr>
                    <w:spacing w:line="360" w:lineRule="exact"/>
                    <w:jc w:val="center"/>
                    <w:rPr>
                      <w:b/>
                      <w:kern w:val="1"/>
                      <w:szCs w:val="21"/>
                    </w:rPr>
                  </w:pPr>
                  <w:r>
                    <w:rPr>
                      <w:rFonts w:hint="eastAsia"/>
                      <w:b/>
                      <w:kern w:val="1"/>
                      <w:szCs w:val="21"/>
                    </w:rPr>
                    <w:t>mg/m</w:t>
                  </w:r>
                  <w:r>
                    <w:rPr>
                      <w:rFonts w:hint="eastAsia"/>
                      <w:b/>
                      <w:kern w:val="1"/>
                      <w:szCs w:val="21"/>
                      <w:vertAlign w:val="superscript"/>
                    </w:rPr>
                    <w:t>3</w:t>
                  </w:r>
                </w:p>
              </w:tc>
              <w:tc>
                <w:tcPr>
                  <w:tcW w:w="899" w:type="dxa"/>
                  <w:shd w:val="clear" w:color="auto" w:fill="auto"/>
                  <w:vAlign w:val="center"/>
                </w:tcPr>
                <w:p>
                  <w:pPr>
                    <w:spacing w:line="360" w:lineRule="exact"/>
                    <w:jc w:val="center"/>
                    <w:rPr>
                      <w:b/>
                      <w:kern w:val="1"/>
                      <w:szCs w:val="21"/>
                    </w:rPr>
                  </w:pPr>
                  <w:r>
                    <w:rPr>
                      <w:rFonts w:hint="eastAsia"/>
                      <w:b/>
                      <w:kern w:val="1"/>
                      <w:szCs w:val="21"/>
                    </w:rPr>
                    <w:t>产生</w:t>
                  </w:r>
                </w:p>
                <w:p>
                  <w:pPr>
                    <w:spacing w:line="360" w:lineRule="exact"/>
                    <w:jc w:val="center"/>
                    <w:rPr>
                      <w:b/>
                      <w:kern w:val="1"/>
                      <w:szCs w:val="21"/>
                    </w:rPr>
                  </w:pPr>
                  <w:r>
                    <w:rPr>
                      <w:rFonts w:hint="eastAsia"/>
                      <w:b/>
                      <w:kern w:val="1"/>
                      <w:szCs w:val="21"/>
                    </w:rPr>
                    <w:t>量t/a</w:t>
                  </w:r>
                </w:p>
              </w:tc>
              <w:tc>
                <w:tcPr>
                  <w:tcW w:w="899" w:type="dxa"/>
                  <w:shd w:val="clear" w:color="auto" w:fill="auto"/>
                  <w:vAlign w:val="center"/>
                </w:tcPr>
                <w:p>
                  <w:pPr>
                    <w:spacing w:line="360" w:lineRule="exact"/>
                    <w:jc w:val="center"/>
                    <w:rPr>
                      <w:b/>
                      <w:kern w:val="1"/>
                      <w:szCs w:val="21"/>
                    </w:rPr>
                  </w:pPr>
                  <w:r>
                    <w:rPr>
                      <w:rFonts w:hint="eastAsia"/>
                      <w:b/>
                      <w:kern w:val="1"/>
                      <w:szCs w:val="21"/>
                    </w:rPr>
                    <w:t>产生速率kg/h</w:t>
                  </w:r>
                </w:p>
              </w:tc>
              <w:tc>
                <w:tcPr>
                  <w:tcW w:w="2568" w:type="dxa"/>
                  <w:vMerge w:val="continue"/>
                  <w:shd w:val="clear" w:color="auto" w:fill="auto"/>
                  <w:vAlign w:val="center"/>
                </w:tcPr>
                <w:p>
                  <w:pPr>
                    <w:spacing w:line="360" w:lineRule="exact"/>
                    <w:jc w:val="center"/>
                    <w:rPr>
                      <w:b/>
                      <w:kern w:val="1"/>
                      <w:szCs w:val="21"/>
                    </w:rPr>
                  </w:pPr>
                </w:p>
              </w:tc>
              <w:tc>
                <w:tcPr>
                  <w:tcW w:w="682" w:type="dxa"/>
                  <w:vMerge w:val="continue"/>
                  <w:shd w:val="clear" w:color="auto" w:fill="auto"/>
                  <w:vAlign w:val="center"/>
                </w:tcPr>
                <w:p>
                  <w:pPr>
                    <w:spacing w:line="360" w:lineRule="exact"/>
                    <w:jc w:val="center"/>
                    <w:rPr>
                      <w:b/>
                      <w:kern w:val="1"/>
                      <w:szCs w:val="21"/>
                    </w:rPr>
                  </w:pPr>
                </w:p>
              </w:tc>
              <w:tc>
                <w:tcPr>
                  <w:tcW w:w="798" w:type="dxa"/>
                  <w:shd w:val="clear" w:color="auto" w:fill="auto"/>
                  <w:vAlign w:val="center"/>
                </w:tcPr>
                <w:p>
                  <w:pPr>
                    <w:spacing w:line="360" w:lineRule="exact"/>
                    <w:jc w:val="center"/>
                    <w:rPr>
                      <w:b/>
                      <w:kern w:val="1"/>
                      <w:szCs w:val="21"/>
                    </w:rPr>
                  </w:pPr>
                  <w:r>
                    <w:rPr>
                      <w:rFonts w:hint="eastAsia"/>
                      <w:b/>
                      <w:kern w:val="1"/>
                      <w:szCs w:val="21"/>
                    </w:rPr>
                    <w:t>浓度</w:t>
                  </w:r>
                </w:p>
                <w:p>
                  <w:pPr>
                    <w:spacing w:line="360" w:lineRule="exact"/>
                    <w:jc w:val="center"/>
                    <w:rPr>
                      <w:b/>
                      <w:kern w:val="1"/>
                      <w:szCs w:val="21"/>
                    </w:rPr>
                  </w:pPr>
                  <w:r>
                    <w:rPr>
                      <w:rFonts w:hint="eastAsia"/>
                      <w:b/>
                      <w:kern w:val="1"/>
                      <w:szCs w:val="21"/>
                    </w:rPr>
                    <w:t>mg/m</w:t>
                  </w:r>
                  <w:r>
                    <w:rPr>
                      <w:rFonts w:hint="eastAsia"/>
                      <w:b/>
                      <w:kern w:val="1"/>
                      <w:szCs w:val="21"/>
                      <w:vertAlign w:val="superscript"/>
                    </w:rPr>
                    <w:t>3</w:t>
                  </w:r>
                </w:p>
              </w:tc>
              <w:tc>
                <w:tcPr>
                  <w:tcW w:w="689" w:type="dxa"/>
                  <w:shd w:val="clear" w:color="auto" w:fill="auto"/>
                  <w:vAlign w:val="center"/>
                </w:tcPr>
                <w:p>
                  <w:pPr>
                    <w:spacing w:line="360" w:lineRule="exact"/>
                    <w:jc w:val="center"/>
                    <w:rPr>
                      <w:b/>
                      <w:kern w:val="1"/>
                      <w:szCs w:val="21"/>
                    </w:rPr>
                  </w:pPr>
                  <w:r>
                    <w:rPr>
                      <w:rFonts w:hint="eastAsia"/>
                      <w:b/>
                      <w:kern w:val="1"/>
                      <w:szCs w:val="21"/>
                    </w:rPr>
                    <w:t>排放</w:t>
                  </w:r>
                </w:p>
                <w:p>
                  <w:pPr>
                    <w:spacing w:line="360" w:lineRule="exact"/>
                    <w:jc w:val="center"/>
                    <w:rPr>
                      <w:b/>
                      <w:kern w:val="1"/>
                      <w:szCs w:val="21"/>
                    </w:rPr>
                  </w:pPr>
                  <w:r>
                    <w:rPr>
                      <w:rFonts w:hint="eastAsia"/>
                      <w:b/>
                      <w:kern w:val="1"/>
                      <w:szCs w:val="21"/>
                    </w:rPr>
                    <w:t>量t/a</w:t>
                  </w:r>
                </w:p>
              </w:tc>
              <w:tc>
                <w:tcPr>
                  <w:tcW w:w="689" w:type="dxa"/>
                  <w:shd w:val="clear" w:color="auto" w:fill="auto"/>
                  <w:vAlign w:val="center"/>
                </w:tcPr>
                <w:p>
                  <w:pPr>
                    <w:spacing w:line="360" w:lineRule="exact"/>
                    <w:jc w:val="center"/>
                    <w:rPr>
                      <w:b/>
                      <w:kern w:val="1"/>
                      <w:szCs w:val="21"/>
                    </w:rPr>
                  </w:pPr>
                  <w:r>
                    <w:rPr>
                      <w:rFonts w:hint="eastAsia"/>
                      <w:b/>
                      <w:kern w:val="1"/>
                      <w:szCs w:val="21"/>
                    </w:rPr>
                    <w:t>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restart"/>
                  <w:shd w:val="clear" w:color="auto" w:fill="auto"/>
                  <w:vAlign w:val="center"/>
                </w:tcPr>
                <w:p>
                  <w:pPr>
                    <w:spacing w:line="360" w:lineRule="exact"/>
                    <w:jc w:val="center"/>
                    <w:rPr>
                      <w:kern w:val="1"/>
                      <w:szCs w:val="21"/>
                    </w:rPr>
                  </w:pPr>
                  <w:r>
                    <w:rPr>
                      <w:rFonts w:hint="eastAsia"/>
                      <w:kern w:val="1"/>
                      <w:szCs w:val="21"/>
                    </w:rPr>
                    <w:t>白云岩矿石破碎筛分含尘废气</w:t>
                  </w:r>
                </w:p>
              </w:tc>
              <w:tc>
                <w:tcPr>
                  <w:tcW w:w="2743" w:type="dxa"/>
                  <w:gridSpan w:val="3"/>
                  <w:shd w:val="clear" w:color="auto" w:fill="auto"/>
                  <w:vAlign w:val="center"/>
                </w:tcPr>
                <w:p>
                  <w:pPr>
                    <w:spacing w:line="360" w:lineRule="exact"/>
                    <w:jc w:val="center"/>
                    <w:rPr>
                      <w:kern w:val="1"/>
                      <w:szCs w:val="21"/>
                    </w:rPr>
                  </w:pPr>
                  <w:r>
                    <w:rPr>
                      <w:kern w:val="1"/>
                      <w:szCs w:val="21"/>
                    </w:rPr>
                    <w:t>10</w:t>
                  </w:r>
                  <w:r>
                    <w:rPr>
                      <w:rFonts w:hint="eastAsia"/>
                      <w:kern w:val="1"/>
                      <w:szCs w:val="21"/>
                    </w:rPr>
                    <w:t>000m</w:t>
                  </w:r>
                  <w:r>
                    <w:rPr>
                      <w:rFonts w:hint="eastAsia"/>
                      <w:kern w:val="21"/>
                      <w:szCs w:val="21"/>
                      <w:vertAlign w:val="superscript"/>
                    </w:rPr>
                    <w:t>3</w:t>
                  </w:r>
                  <w:r>
                    <w:rPr>
                      <w:rFonts w:hint="eastAsia"/>
                      <w:kern w:val="1"/>
                      <w:szCs w:val="21"/>
                    </w:rPr>
                    <w:t>/h</w:t>
                  </w:r>
                </w:p>
              </w:tc>
              <w:tc>
                <w:tcPr>
                  <w:tcW w:w="2568" w:type="dxa"/>
                  <w:vMerge w:val="restart"/>
                  <w:shd w:val="clear" w:color="auto" w:fill="auto"/>
                  <w:vAlign w:val="center"/>
                </w:tcPr>
                <w:p>
                  <w:pPr>
                    <w:spacing w:line="360" w:lineRule="exact"/>
                    <w:jc w:val="center"/>
                    <w:rPr>
                      <w:kern w:val="1"/>
                      <w:szCs w:val="21"/>
                    </w:rPr>
                  </w:pPr>
                  <w:r>
                    <w:rPr>
                      <w:rFonts w:hint="eastAsia"/>
                      <w:szCs w:val="21"/>
                    </w:rPr>
                    <w:t>1套密闭收集装置（收集率90%）+旋风除尘器+布袋除尘器，旋风除尘器除尘效率70%，布袋除尘器除尘效率99</w:t>
                  </w:r>
                  <w:r>
                    <w:rPr>
                      <w:szCs w:val="21"/>
                    </w:rPr>
                    <w:t>.7</w:t>
                  </w:r>
                  <w:r>
                    <w:rPr>
                      <w:rFonts w:hint="eastAsia"/>
                      <w:szCs w:val="21"/>
                    </w:rPr>
                    <w:t>%，15m高排气筒DA001</w:t>
                  </w:r>
                </w:p>
              </w:tc>
              <w:tc>
                <w:tcPr>
                  <w:tcW w:w="682" w:type="dxa"/>
                  <w:vMerge w:val="restart"/>
                  <w:shd w:val="clear" w:color="auto" w:fill="auto"/>
                  <w:vAlign w:val="center"/>
                </w:tcPr>
                <w:p>
                  <w:pPr>
                    <w:spacing w:line="360" w:lineRule="exact"/>
                    <w:jc w:val="center"/>
                    <w:rPr>
                      <w:kern w:val="1"/>
                      <w:szCs w:val="21"/>
                    </w:rPr>
                  </w:pPr>
                  <w:r>
                    <w:rPr>
                      <w:rFonts w:hint="eastAsia"/>
                      <w:kern w:val="1"/>
                      <w:szCs w:val="21"/>
                    </w:rPr>
                    <w:t>有组织</w:t>
                  </w:r>
                </w:p>
              </w:tc>
              <w:tc>
                <w:tcPr>
                  <w:tcW w:w="2176" w:type="dxa"/>
                  <w:gridSpan w:val="3"/>
                  <w:shd w:val="clear" w:color="auto" w:fill="auto"/>
                  <w:vAlign w:val="center"/>
                </w:tcPr>
                <w:p>
                  <w:pPr>
                    <w:spacing w:line="360" w:lineRule="exact"/>
                    <w:jc w:val="center"/>
                    <w:rPr>
                      <w:kern w:val="1"/>
                      <w:szCs w:val="21"/>
                    </w:rPr>
                  </w:pPr>
                  <w:r>
                    <w:rPr>
                      <w:kern w:val="1"/>
                      <w:szCs w:val="21"/>
                    </w:rPr>
                    <w:t>10</w:t>
                  </w:r>
                  <w:r>
                    <w:rPr>
                      <w:rFonts w:hint="eastAsia"/>
                      <w:kern w:val="1"/>
                      <w:szCs w:val="21"/>
                    </w:rPr>
                    <w:t>000m</w:t>
                  </w:r>
                  <w:r>
                    <w:rPr>
                      <w:rFonts w:hint="eastAsia"/>
                      <w:kern w:val="21"/>
                      <w:szCs w:val="21"/>
                      <w:vertAlign w:val="superscript"/>
                    </w:rPr>
                    <w:t>3</w:t>
                  </w:r>
                  <w:r>
                    <w:rPr>
                      <w:rFonts w:hint="eastAsia"/>
                      <w:kern w:val="1"/>
                      <w:szCs w:val="21"/>
                    </w:rPr>
                    <w:t>/h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continue"/>
                  <w:shd w:val="clear" w:color="auto" w:fill="auto"/>
                  <w:vAlign w:val="center"/>
                </w:tcPr>
                <w:p>
                  <w:pPr>
                    <w:spacing w:line="360" w:lineRule="exact"/>
                    <w:jc w:val="center"/>
                    <w:rPr>
                      <w:kern w:val="1"/>
                      <w:szCs w:val="21"/>
                    </w:rPr>
                  </w:pPr>
                </w:p>
              </w:tc>
              <w:tc>
                <w:tcPr>
                  <w:tcW w:w="945" w:type="dxa"/>
                  <w:shd w:val="clear" w:color="auto" w:fill="auto"/>
                  <w:vAlign w:val="center"/>
                </w:tcPr>
                <w:p>
                  <w:pPr>
                    <w:spacing w:line="360" w:lineRule="exact"/>
                    <w:jc w:val="center"/>
                    <w:rPr>
                      <w:kern w:val="1"/>
                      <w:szCs w:val="21"/>
                    </w:rPr>
                  </w:pPr>
                  <w:r>
                    <w:rPr>
                      <w:kern w:val="1"/>
                      <w:szCs w:val="21"/>
                    </w:rPr>
                    <w:t>4037.81</w:t>
                  </w:r>
                </w:p>
              </w:tc>
              <w:tc>
                <w:tcPr>
                  <w:tcW w:w="899" w:type="dxa"/>
                  <w:shd w:val="clear" w:color="auto" w:fill="auto"/>
                  <w:vAlign w:val="center"/>
                </w:tcPr>
                <w:p>
                  <w:pPr>
                    <w:spacing w:line="360" w:lineRule="exact"/>
                    <w:jc w:val="center"/>
                    <w:rPr>
                      <w:kern w:val="1"/>
                      <w:szCs w:val="21"/>
                    </w:rPr>
                  </w:pPr>
                  <w:r>
                    <w:rPr>
                      <w:kern w:val="1"/>
                      <w:szCs w:val="21"/>
                    </w:rPr>
                    <w:t>193.815</w:t>
                  </w:r>
                </w:p>
              </w:tc>
              <w:tc>
                <w:tcPr>
                  <w:tcW w:w="899" w:type="dxa"/>
                  <w:shd w:val="clear" w:color="auto" w:fill="auto"/>
                  <w:vAlign w:val="center"/>
                </w:tcPr>
                <w:p>
                  <w:pPr>
                    <w:spacing w:line="360" w:lineRule="exact"/>
                    <w:jc w:val="center"/>
                    <w:rPr>
                      <w:kern w:val="1"/>
                      <w:szCs w:val="21"/>
                    </w:rPr>
                  </w:pPr>
                  <w:r>
                    <w:rPr>
                      <w:kern w:val="1"/>
                      <w:szCs w:val="21"/>
                    </w:rPr>
                    <w:t>4037.81</w:t>
                  </w:r>
                </w:p>
              </w:tc>
              <w:tc>
                <w:tcPr>
                  <w:tcW w:w="2568" w:type="dxa"/>
                  <w:vMerge w:val="continue"/>
                  <w:shd w:val="clear" w:color="auto" w:fill="auto"/>
                  <w:vAlign w:val="center"/>
                </w:tcPr>
                <w:p>
                  <w:pPr>
                    <w:spacing w:line="360" w:lineRule="exact"/>
                    <w:jc w:val="center"/>
                    <w:rPr>
                      <w:kern w:val="1"/>
                      <w:szCs w:val="21"/>
                    </w:rPr>
                  </w:pPr>
                </w:p>
              </w:tc>
              <w:tc>
                <w:tcPr>
                  <w:tcW w:w="682" w:type="dxa"/>
                  <w:vMerge w:val="continue"/>
                  <w:shd w:val="clear" w:color="auto" w:fill="auto"/>
                  <w:vAlign w:val="center"/>
                </w:tcPr>
                <w:p>
                  <w:pPr>
                    <w:spacing w:line="360" w:lineRule="exact"/>
                    <w:jc w:val="center"/>
                    <w:rPr>
                      <w:kern w:val="1"/>
                      <w:szCs w:val="21"/>
                    </w:rPr>
                  </w:pPr>
                </w:p>
              </w:tc>
              <w:tc>
                <w:tcPr>
                  <w:tcW w:w="798" w:type="dxa"/>
                  <w:shd w:val="clear" w:color="auto" w:fill="auto"/>
                  <w:vAlign w:val="center"/>
                </w:tcPr>
                <w:p>
                  <w:pPr>
                    <w:spacing w:line="360" w:lineRule="exact"/>
                    <w:jc w:val="center"/>
                    <w:rPr>
                      <w:kern w:val="1"/>
                      <w:szCs w:val="21"/>
                    </w:rPr>
                  </w:pPr>
                  <w:r>
                    <w:rPr>
                      <w:kern w:val="1"/>
                      <w:szCs w:val="21"/>
                    </w:rPr>
                    <w:t>3.63</w:t>
                  </w:r>
                </w:p>
              </w:tc>
              <w:tc>
                <w:tcPr>
                  <w:tcW w:w="689" w:type="dxa"/>
                  <w:shd w:val="clear" w:color="auto" w:fill="auto"/>
                  <w:vAlign w:val="center"/>
                </w:tcPr>
                <w:p>
                  <w:pPr>
                    <w:spacing w:line="360" w:lineRule="exact"/>
                    <w:jc w:val="center"/>
                    <w:rPr>
                      <w:szCs w:val="21"/>
                    </w:rPr>
                  </w:pPr>
                  <w:r>
                    <w:rPr>
                      <w:szCs w:val="21"/>
                    </w:rPr>
                    <w:t>0.174</w:t>
                  </w:r>
                </w:p>
              </w:tc>
              <w:tc>
                <w:tcPr>
                  <w:tcW w:w="689" w:type="dxa"/>
                  <w:shd w:val="clear" w:color="auto" w:fill="auto"/>
                  <w:vAlign w:val="center"/>
                </w:tcPr>
                <w:p>
                  <w:pPr>
                    <w:spacing w:line="360" w:lineRule="exact"/>
                    <w:jc w:val="center"/>
                    <w:rPr>
                      <w:szCs w:val="21"/>
                    </w:rPr>
                  </w:pPr>
                  <w:r>
                    <w:rPr>
                      <w:szCs w:val="21"/>
                    </w:rPr>
                    <w:t>0.036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continue"/>
                  <w:shd w:val="clear" w:color="auto" w:fill="auto"/>
                  <w:vAlign w:val="center"/>
                </w:tcPr>
                <w:p>
                  <w:pPr>
                    <w:spacing w:line="360" w:lineRule="exact"/>
                    <w:jc w:val="center"/>
                    <w:rPr>
                      <w:kern w:val="1"/>
                      <w:szCs w:val="21"/>
                    </w:rPr>
                  </w:pPr>
                </w:p>
              </w:tc>
              <w:tc>
                <w:tcPr>
                  <w:tcW w:w="945" w:type="dxa"/>
                  <w:shd w:val="clear" w:color="auto" w:fill="auto"/>
                  <w:vAlign w:val="center"/>
                </w:tcPr>
                <w:p>
                  <w:pPr>
                    <w:spacing w:line="360" w:lineRule="exact"/>
                    <w:jc w:val="center"/>
                    <w:rPr>
                      <w:kern w:val="1"/>
                      <w:szCs w:val="21"/>
                    </w:rPr>
                  </w:pPr>
                  <w:r>
                    <w:rPr>
                      <w:rFonts w:hint="eastAsia"/>
                      <w:kern w:val="1"/>
                      <w:szCs w:val="21"/>
                    </w:rPr>
                    <w:t>/</w:t>
                  </w:r>
                </w:p>
              </w:tc>
              <w:tc>
                <w:tcPr>
                  <w:tcW w:w="899" w:type="dxa"/>
                  <w:shd w:val="clear" w:color="auto" w:fill="auto"/>
                  <w:vAlign w:val="center"/>
                </w:tcPr>
                <w:p>
                  <w:pPr>
                    <w:spacing w:line="360" w:lineRule="exact"/>
                    <w:jc w:val="center"/>
                    <w:rPr>
                      <w:kern w:val="1"/>
                      <w:szCs w:val="21"/>
                    </w:rPr>
                  </w:pPr>
                  <w:r>
                    <w:rPr>
                      <w:szCs w:val="21"/>
                    </w:rPr>
                    <w:t>21.535</w:t>
                  </w:r>
                </w:p>
              </w:tc>
              <w:tc>
                <w:tcPr>
                  <w:tcW w:w="899" w:type="dxa"/>
                  <w:shd w:val="clear" w:color="auto" w:fill="auto"/>
                  <w:vAlign w:val="center"/>
                </w:tcPr>
                <w:p>
                  <w:pPr>
                    <w:spacing w:line="360" w:lineRule="exact"/>
                    <w:jc w:val="center"/>
                    <w:rPr>
                      <w:kern w:val="1"/>
                      <w:szCs w:val="21"/>
                    </w:rPr>
                  </w:pPr>
                  <w:r>
                    <w:rPr>
                      <w:szCs w:val="21"/>
                    </w:rPr>
                    <w:t>4.486</w:t>
                  </w:r>
                </w:p>
              </w:tc>
              <w:tc>
                <w:tcPr>
                  <w:tcW w:w="2568" w:type="dxa"/>
                  <w:shd w:val="clear" w:color="auto" w:fill="auto"/>
                  <w:vAlign w:val="center"/>
                </w:tcPr>
                <w:p>
                  <w:pPr>
                    <w:spacing w:line="360" w:lineRule="exact"/>
                    <w:jc w:val="center"/>
                    <w:rPr>
                      <w:kern w:val="1"/>
                      <w:szCs w:val="21"/>
                    </w:rPr>
                  </w:pPr>
                  <w:r>
                    <w:rPr>
                      <w:rFonts w:hint="eastAsia"/>
                      <w:kern w:val="1"/>
                      <w:szCs w:val="21"/>
                    </w:rPr>
                    <w:t>密闭车间9</w:t>
                  </w:r>
                  <w:r>
                    <w:rPr>
                      <w:kern w:val="1"/>
                      <w:szCs w:val="21"/>
                    </w:rPr>
                    <w:t>9%+</w:t>
                  </w:r>
                  <w:r>
                    <w:rPr>
                      <w:rFonts w:hint="eastAsia"/>
                      <w:kern w:val="1"/>
                      <w:szCs w:val="21"/>
                    </w:rPr>
                    <w:t>洒水降尘处理效率</w:t>
                  </w:r>
                  <w:r>
                    <w:rPr>
                      <w:kern w:val="1"/>
                      <w:szCs w:val="21"/>
                    </w:rPr>
                    <w:t>74</w:t>
                  </w:r>
                  <w:r>
                    <w:rPr>
                      <w:rFonts w:hint="eastAsia"/>
                      <w:kern w:val="1"/>
                      <w:szCs w:val="21"/>
                    </w:rPr>
                    <w:t>%</w:t>
                  </w:r>
                </w:p>
              </w:tc>
              <w:tc>
                <w:tcPr>
                  <w:tcW w:w="682" w:type="dxa"/>
                  <w:shd w:val="clear" w:color="auto" w:fill="auto"/>
                  <w:vAlign w:val="center"/>
                </w:tcPr>
                <w:p>
                  <w:pPr>
                    <w:spacing w:line="360" w:lineRule="exact"/>
                    <w:jc w:val="center"/>
                    <w:rPr>
                      <w:kern w:val="1"/>
                      <w:szCs w:val="21"/>
                    </w:rPr>
                  </w:pPr>
                  <w:r>
                    <w:rPr>
                      <w:rFonts w:hint="eastAsia"/>
                      <w:kern w:val="1"/>
                      <w:szCs w:val="21"/>
                    </w:rPr>
                    <w:t>无组织</w:t>
                  </w:r>
                </w:p>
              </w:tc>
              <w:tc>
                <w:tcPr>
                  <w:tcW w:w="798" w:type="dxa"/>
                  <w:shd w:val="clear" w:color="auto" w:fill="auto"/>
                  <w:vAlign w:val="center"/>
                </w:tcPr>
                <w:p>
                  <w:pPr>
                    <w:spacing w:line="360" w:lineRule="exact"/>
                    <w:jc w:val="center"/>
                    <w:rPr>
                      <w:kern w:val="1"/>
                      <w:szCs w:val="21"/>
                    </w:rPr>
                  </w:pPr>
                  <w:r>
                    <w:rPr>
                      <w:rFonts w:hint="eastAsia"/>
                      <w:kern w:val="1"/>
                      <w:szCs w:val="21"/>
                    </w:rPr>
                    <w:t>/</w:t>
                  </w:r>
                </w:p>
              </w:tc>
              <w:tc>
                <w:tcPr>
                  <w:tcW w:w="689" w:type="dxa"/>
                  <w:shd w:val="clear" w:color="auto" w:fill="auto"/>
                  <w:vAlign w:val="center"/>
                </w:tcPr>
                <w:p>
                  <w:pPr>
                    <w:spacing w:line="360" w:lineRule="exact"/>
                    <w:jc w:val="center"/>
                    <w:rPr>
                      <w:szCs w:val="21"/>
                    </w:rPr>
                  </w:pPr>
                  <w:r>
                    <w:rPr>
                      <w:szCs w:val="21"/>
                    </w:rPr>
                    <w:t>0.056</w:t>
                  </w:r>
                </w:p>
              </w:tc>
              <w:tc>
                <w:tcPr>
                  <w:tcW w:w="689" w:type="dxa"/>
                  <w:shd w:val="clear" w:color="auto" w:fill="auto"/>
                  <w:vAlign w:val="center"/>
                </w:tcPr>
                <w:p>
                  <w:pPr>
                    <w:spacing w:line="360" w:lineRule="exact"/>
                    <w:jc w:val="center"/>
                    <w:rPr>
                      <w:szCs w:val="21"/>
                    </w:rPr>
                  </w:pPr>
                  <w:r>
                    <w:rPr>
                      <w:szCs w:val="21"/>
                    </w:rPr>
                    <w:t>0.012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restart"/>
                  <w:shd w:val="clear" w:color="auto" w:fill="auto"/>
                  <w:vAlign w:val="center"/>
                </w:tcPr>
                <w:p>
                  <w:pPr>
                    <w:spacing w:line="360" w:lineRule="exact"/>
                    <w:jc w:val="center"/>
                    <w:rPr>
                      <w:kern w:val="1"/>
                      <w:szCs w:val="21"/>
                    </w:rPr>
                  </w:pPr>
                  <w:r>
                    <w:rPr>
                      <w:rFonts w:hint="eastAsia"/>
                      <w:kern w:val="1"/>
                      <w:szCs w:val="21"/>
                    </w:rPr>
                    <w:t>伴生石料破碎筛分含尘废气</w:t>
                  </w:r>
                </w:p>
              </w:tc>
              <w:tc>
                <w:tcPr>
                  <w:tcW w:w="2743" w:type="dxa"/>
                  <w:gridSpan w:val="3"/>
                  <w:shd w:val="clear" w:color="auto" w:fill="auto"/>
                  <w:vAlign w:val="center"/>
                </w:tcPr>
                <w:p>
                  <w:pPr>
                    <w:spacing w:line="360" w:lineRule="exact"/>
                    <w:jc w:val="center"/>
                    <w:rPr>
                      <w:kern w:val="1"/>
                      <w:szCs w:val="21"/>
                    </w:rPr>
                  </w:pPr>
                  <w:r>
                    <w:rPr>
                      <w:kern w:val="1"/>
                      <w:szCs w:val="21"/>
                    </w:rPr>
                    <w:t>10</w:t>
                  </w:r>
                  <w:r>
                    <w:rPr>
                      <w:rFonts w:hint="eastAsia"/>
                      <w:kern w:val="1"/>
                      <w:szCs w:val="21"/>
                    </w:rPr>
                    <w:t>0000m</w:t>
                  </w:r>
                  <w:r>
                    <w:rPr>
                      <w:rFonts w:hint="eastAsia"/>
                      <w:kern w:val="21"/>
                      <w:szCs w:val="21"/>
                      <w:vertAlign w:val="superscript"/>
                    </w:rPr>
                    <w:t>3</w:t>
                  </w:r>
                  <w:r>
                    <w:rPr>
                      <w:rFonts w:hint="eastAsia"/>
                      <w:kern w:val="1"/>
                      <w:szCs w:val="21"/>
                    </w:rPr>
                    <w:t>/h</w:t>
                  </w:r>
                </w:p>
              </w:tc>
              <w:tc>
                <w:tcPr>
                  <w:tcW w:w="2568" w:type="dxa"/>
                  <w:vMerge w:val="restart"/>
                  <w:shd w:val="clear" w:color="auto" w:fill="auto"/>
                  <w:vAlign w:val="center"/>
                </w:tcPr>
                <w:p>
                  <w:pPr>
                    <w:spacing w:line="360" w:lineRule="exact"/>
                    <w:jc w:val="center"/>
                    <w:rPr>
                      <w:kern w:val="1"/>
                      <w:szCs w:val="21"/>
                    </w:rPr>
                  </w:pPr>
                  <w:r>
                    <w:rPr>
                      <w:rFonts w:hint="eastAsia"/>
                      <w:szCs w:val="21"/>
                    </w:rPr>
                    <w:t>1套密闭收集装置（收集率90%）+旋风除尘器+布袋除尘器，旋风除尘器除尘效率70%，布袋除尘器除尘效率99</w:t>
                  </w:r>
                  <w:r>
                    <w:rPr>
                      <w:szCs w:val="21"/>
                    </w:rPr>
                    <w:t>.7</w:t>
                  </w:r>
                  <w:r>
                    <w:rPr>
                      <w:rFonts w:hint="eastAsia"/>
                      <w:szCs w:val="21"/>
                    </w:rPr>
                    <w:t>%，15m高排气筒DA002</w:t>
                  </w:r>
                </w:p>
              </w:tc>
              <w:tc>
                <w:tcPr>
                  <w:tcW w:w="682" w:type="dxa"/>
                  <w:vMerge w:val="restart"/>
                  <w:shd w:val="clear" w:color="auto" w:fill="auto"/>
                  <w:vAlign w:val="center"/>
                </w:tcPr>
                <w:p>
                  <w:pPr>
                    <w:spacing w:line="360" w:lineRule="exact"/>
                    <w:jc w:val="center"/>
                    <w:rPr>
                      <w:kern w:val="1"/>
                      <w:szCs w:val="21"/>
                    </w:rPr>
                  </w:pPr>
                  <w:r>
                    <w:rPr>
                      <w:rFonts w:hint="eastAsia"/>
                      <w:kern w:val="1"/>
                      <w:szCs w:val="21"/>
                    </w:rPr>
                    <w:t>有组织</w:t>
                  </w:r>
                </w:p>
              </w:tc>
              <w:tc>
                <w:tcPr>
                  <w:tcW w:w="2176" w:type="dxa"/>
                  <w:gridSpan w:val="3"/>
                  <w:shd w:val="clear" w:color="auto" w:fill="auto"/>
                  <w:vAlign w:val="center"/>
                </w:tcPr>
                <w:p>
                  <w:pPr>
                    <w:spacing w:line="360" w:lineRule="exact"/>
                    <w:jc w:val="center"/>
                    <w:rPr>
                      <w:kern w:val="1"/>
                      <w:szCs w:val="21"/>
                    </w:rPr>
                  </w:pPr>
                  <w:r>
                    <w:rPr>
                      <w:rFonts w:hint="eastAsia"/>
                      <w:kern w:val="1"/>
                      <w:szCs w:val="21"/>
                    </w:rPr>
                    <w:t>30000m</w:t>
                  </w:r>
                  <w:r>
                    <w:rPr>
                      <w:rFonts w:hint="eastAsia"/>
                      <w:kern w:val="21"/>
                      <w:szCs w:val="21"/>
                      <w:vertAlign w:val="superscript"/>
                    </w:rPr>
                    <w:t>3</w:t>
                  </w:r>
                  <w:r>
                    <w:rPr>
                      <w:rFonts w:hint="eastAsia"/>
                      <w:kern w:val="1"/>
                      <w:szCs w:val="21"/>
                    </w:rPr>
                    <w:t>/h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continue"/>
                  <w:shd w:val="clear" w:color="auto" w:fill="auto"/>
                  <w:vAlign w:val="center"/>
                </w:tcPr>
                <w:p>
                  <w:pPr>
                    <w:spacing w:line="360" w:lineRule="exact"/>
                    <w:jc w:val="center"/>
                    <w:rPr>
                      <w:kern w:val="1"/>
                      <w:szCs w:val="21"/>
                    </w:rPr>
                  </w:pPr>
                </w:p>
              </w:tc>
              <w:tc>
                <w:tcPr>
                  <w:tcW w:w="945" w:type="dxa"/>
                  <w:shd w:val="clear" w:color="auto" w:fill="auto"/>
                  <w:vAlign w:val="center"/>
                </w:tcPr>
                <w:p>
                  <w:pPr>
                    <w:spacing w:line="360" w:lineRule="exact"/>
                    <w:jc w:val="center"/>
                    <w:rPr>
                      <w:kern w:val="1"/>
                      <w:szCs w:val="21"/>
                    </w:rPr>
                  </w:pPr>
                  <w:r>
                    <w:rPr>
                      <w:kern w:val="1"/>
                      <w:szCs w:val="21"/>
                    </w:rPr>
                    <w:t>4037.81</w:t>
                  </w:r>
                </w:p>
              </w:tc>
              <w:tc>
                <w:tcPr>
                  <w:tcW w:w="899" w:type="dxa"/>
                  <w:shd w:val="clear" w:color="auto" w:fill="auto"/>
                  <w:vAlign w:val="center"/>
                </w:tcPr>
                <w:p>
                  <w:pPr>
                    <w:spacing w:line="360" w:lineRule="exact"/>
                    <w:jc w:val="center"/>
                    <w:rPr>
                      <w:kern w:val="1"/>
                      <w:szCs w:val="21"/>
                    </w:rPr>
                  </w:pPr>
                  <w:r>
                    <w:rPr>
                      <w:kern w:val="1"/>
                      <w:szCs w:val="21"/>
                    </w:rPr>
                    <w:t>1938.15</w:t>
                  </w:r>
                </w:p>
              </w:tc>
              <w:tc>
                <w:tcPr>
                  <w:tcW w:w="899" w:type="dxa"/>
                  <w:shd w:val="clear" w:color="auto" w:fill="auto"/>
                  <w:vAlign w:val="center"/>
                </w:tcPr>
                <w:p>
                  <w:pPr>
                    <w:spacing w:line="360" w:lineRule="exact"/>
                    <w:jc w:val="center"/>
                    <w:rPr>
                      <w:kern w:val="1"/>
                      <w:szCs w:val="21"/>
                    </w:rPr>
                  </w:pPr>
                  <w:r>
                    <w:rPr>
                      <w:kern w:val="1"/>
                      <w:szCs w:val="21"/>
                    </w:rPr>
                    <w:t>403.781</w:t>
                  </w:r>
                </w:p>
              </w:tc>
              <w:tc>
                <w:tcPr>
                  <w:tcW w:w="2568" w:type="dxa"/>
                  <w:vMerge w:val="continue"/>
                  <w:shd w:val="clear" w:color="auto" w:fill="auto"/>
                  <w:vAlign w:val="center"/>
                </w:tcPr>
                <w:p>
                  <w:pPr>
                    <w:spacing w:line="360" w:lineRule="exact"/>
                    <w:jc w:val="center"/>
                    <w:rPr>
                      <w:kern w:val="1"/>
                      <w:szCs w:val="21"/>
                    </w:rPr>
                  </w:pPr>
                </w:p>
              </w:tc>
              <w:tc>
                <w:tcPr>
                  <w:tcW w:w="682" w:type="dxa"/>
                  <w:vMerge w:val="continue"/>
                  <w:shd w:val="clear" w:color="auto" w:fill="auto"/>
                  <w:vAlign w:val="center"/>
                </w:tcPr>
                <w:p>
                  <w:pPr>
                    <w:spacing w:line="360" w:lineRule="exact"/>
                    <w:jc w:val="center"/>
                    <w:rPr>
                      <w:szCs w:val="21"/>
                    </w:rPr>
                  </w:pPr>
                </w:p>
              </w:tc>
              <w:tc>
                <w:tcPr>
                  <w:tcW w:w="798" w:type="dxa"/>
                  <w:shd w:val="clear" w:color="auto" w:fill="auto"/>
                  <w:vAlign w:val="center"/>
                </w:tcPr>
                <w:p>
                  <w:pPr>
                    <w:spacing w:line="360" w:lineRule="exact"/>
                    <w:jc w:val="center"/>
                    <w:rPr>
                      <w:szCs w:val="21"/>
                    </w:rPr>
                  </w:pPr>
                  <w:r>
                    <w:rPr>
                      <w:szCs w:val="21"/>
                    </w:rPr>
                    <w:t>3.634</w:t>
                  </w:r>
                </w:p>
              </w:tc>
              <w:tc>
                <w:tcPr>
                  <w:tcW w:w="689" w:type="dxa"/>
                  <w:shd w:val="clear" w:color="auto" w:fill="auto"/>
                  <w:vAlign w:val="center"/>
                </w:tcPr>
                <w:p>
                  <w:pPr>
                    <w:spacing w:line="360" w:lineRule="exact"/>
                    <w:jc w:val="center"/>
                    <w:rPr>
                      <w:szCs w:val="21"/>
                    </w:rPr>
                  </w:pPr>
                  <w:r>
                    <w:rPr>
                      <w:szCs w:val="21"/>
                    </w:rPr>
                    <w:t>1.744</w:t>
                  </w:r>
                </w:p>
              </w:tc>
              <w:tc>
                <w:tcPr>
                  <w:tcW w:w="689" w:type="dxa"/>
                  <w:shd w:val="clear" w:color="auto" w:fill="auto"/>
                  <w:vAlign w:val="center"/>
                </w:tcPr>
                <w:p>
                  <w:pPr>
                    <w:spacing w:line="360" w:lineRule="exact"/>
                    <w:jc w:val="center"/>
                    <w:rPr>
                      <w:szCs w:val="21"/>
                    </w:rPr>
                  </w:pPr>
                  <w:r>
                    <w:rPr>
                      <w:szCs w:val="21"/>
                    </w:rPr>
                    <w:t>0.363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13" w:type="dxa"/>
                  <w:vMerge w:val="continue"/>
                  <w:shd w:val="clear" w:color="auto" w:fill="auto"/>
                  <w:vAlign w:val="center"/>
                </w:tcPr>
                <w:p>
                  <w:pPr>
                    <w:spacing w:line="360" w:lineRule="exact"/>
                    <w:jc w:val="center"/>
                    <w:rPr>
                      <w:kern w:val="1"/>
                      <w:szCs w:val="21"/>
                    </w:rPr>
                  </w:pPr>
                </w:p>
              </w:tc>
              <w:tc>
                <w:tcPr>
                  <w:tcW w:w="945" w:type="dxa"/>
                  <w:shd w:val="clear" w:color="auto" w:fill="auto"/>
                  <w:vAlign w:val="center"/>
                </w:tcPr>
                <w:p>
                  <w:pPr>
                    <w:spacing w:line="360" w:lineRule="exact"/>
                    <w:jc w:val="center"/>
                    <w:rPr>
                      <w:kern w:val="1"/>
                      <w:szCs w:val="21"/>
                    </w:rPr>
                  </w:pPr>
                  <w:r>
                    <w:rPr>
                      <w:rFonts w:hint="eastAsia"/>
                      <w:szCs w:val="21"/>
                    </w:rPr>
                    <w:t>/</w:t>
                  </w:r>
                </w:p>
              </w:tc>
              <w:tc>
                <w:tcPr>
                  <w:tcW w:w="899" w:type="dxa"/>
                  <w:shd w:val="clear" w:color="auto" w:fill="auto"/>
                  <w:vAlign w:val="center"/>
                </w:tcPr>
                <w:p>
                  <w:pPr>
                    <w:spacing w:line="360" w:lineRule="exact"/>
                    <w:jc w:val="center"/>
                    <w:rPr>
                      <w:kern w:val="1"/>
                      <w:szCs w:val="21"/>
                    </w:rPr>
                  </w:pPr>
                  <w:r>
                    <w:rPr>
                      <w:szCs w:val="21"/>
                    </w:rPr>
                    <w:t>215.35</w:t>
                  </w:r>
                </w:p>
              </w:tc>
              <w:tc>
                <w:tcPr>
                  <w:tcW w:w="899" w:type="dxa"/>
                  <w:shd w:val="clear" w:color="auto" w:fill="auto"/>
                  <w:vAlign w:val="center"/>
                </w:tcPr>
                <w:p>
                  <w:pPr>
                    <w:spacing w:line="360" w:lineRule="exact"/>
                    <w:jc w:val="center"/>
                    <w:rPr>
                      <w:kern w:val="1"/>
                      <w:szCs w:val="21"/>
                    </w:rPr>
                  </w:pPr>
                  <w:r>
                    <w:rPr>
                      <w:szCs w:val="21"/>
                    </w:rPr>
                    <w:t>44.865</w:t>
                  </w:r>
                </w:p>
              </w:tc>
              <w:tc>
                <w:tcPr>
                  <w:tcW w:w="2568" w:type="dxa"/>
                  <w:shd w:val="clear" w:color="auto" w:fill="auto"/>
                  <w:vAlign w:val="center"/>
                </w:tcPr>
                <w:p>
                  <w:pPr>
                    <w:spacing w:line="360" w:lineRule="exact"/>
                    <w:jc w:val="center"/>
                    <w:rPr>
                      <w:kern w:val="1"/>
                      <w:szCs w:val="21"/>
                    </w:rPr>
                  </w:pPr>
                  <w:r>
                    <w:rPr>
                      <w:rFonts w:hint="eastAsia"/>
                      <w:kern w:val="1"/>
                      <w:szCs w:val="21"/>
                    </w:rPr>
                    <w:t>洒水降尘处理效率</w:t>
                  </w:r>
                  <w:r>
                    <w:rPr>
                      <w:kern w:val="1"/>
                      <w:szCs w:val="21"/>
                    </w:rPr>
                    <w:t>74</w:t>
                  </w:r>
                  <w:r>
                    <w:rPr>
                      <w:rFonts w:hint="eastAsia"/>
                      <w:kern w:val="1"/>
                      <w:szCs w:val="21"/>
                    </w:rPr>
                    <w:t>%</w:t>
                  </w:r>
                </w:p>
              </w:tc>
              <w:tc>
                <w:tcPr>
                  <w:tcW w:w="682" w:type="dxa"/>
                  <w:shd w:val="clear" w:color="auto" w:fill="auto"/>
                  <w:vAlign w:val="center"/>
                </w:tcPr>
                <w:p>
                  <w:pPr>
                    <w:spacing w:line="360" w:lineRule="exact"/>
                    <w:jc w:val="center"/>
                    <w:rPr>
                      <w:szCs w:val="21"/>
                    </w:rPr>
                  </w:pPr>
                  <w:r>
                    <w:rPr>
                      <w:rFonts w:hint="eastAsia"/>
                      <w:szCs w:val="21"/>
                    </w:rPr>
                    <w:t>无组织</w:t>
                  </w:r>
                </w:p>
              </w:tc>
              <w:tc>
                <w:tcPr>
                  <w:tcW w:w="798" w:type="dxa"/>
                  <w:shd w:val="clear" w:color="auto" w:fill="auto"/>
                  <w:vAlign w:val="center"/>
                </w:tcPr>
                <w:p>
                  <w:pPr>
                    <w:spacing w:line="360" w:lineRule="exact"/>
                    <w:jc w:val="center"/>
                    <w:rPr>
                      <w:szCs w:val="21"/>
                    </w:rPr>
                  </w:pPr>
                  <w:r>
                    <w:rPr>
                      <w:rFonts w:hint="eastAsia"/>
                      <w:szCs w:val="21"/>
                    </w:rPr>
                    <w:t>/</w:t>
                  </w:r>
                </w:p>
              </w:tc>
              <w:tc>
                <w:tcPr>
                  <w:tcW w:w="689" w:type="dxa"/>
                  <w:shd w:val="clear" w:color="auto" w:fill="auto"/>
                  <w:vAlign w:val="center"/>
                </w:tcPr>
                <w:p>
                  <w:pPr>
                    <w:spacing w:line="360" w:lineRule="exact"/>
                    <w:jc w:val="center"/>
                    <w:rPr>
                      <w:szCs w:val="21"/>
                    </w:rPr>
                  </w:pPr>
                  <w:r>
                    <w:rPr>
                      <w:szCs w:val="21"/>
                    </w:rPr>
                    <w:t>0.56</w:t>
                  </w:r>
                </w:p>
              </w:tc>
              <w:tc>
                <w:tcPr>
                  <w:tcW w:w="689" w:type="dxa"/>
                  <w:shd w:val="clear" w:color="auto" w:fill="auto"/>
                  <w:vAlign w:val="center"/>
                </w:tcPr>
                <w:p>
                  <w:pPr>
                    <w:spacing w:line="360" w:lineRule="exact"/>
                    <w:jc w:val="center"/>
                    <w:rPr>
                      <w:szCs w:val="21"/>
                    </w:rPr>
                  </w:pPr>
                  <w:r>
                    <w:rPr>
                      <w:szCs w:val="21"/>
                    </w:rPr>
                    <w:t>0.117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51" w:hRule="atLeast"/>
              </w:trPr>
              <w:tc>
                <w:tcPr>
                  <w:tcW w:w="713" w:type="dxa"/>
                  <w:shd w:val="clear" w:color="auto" w:fill="auto"/>
                  <w:vAlign w:val="center"/>
                </w:tcPr>
                <w:p>
                  <w:pPr>
                    <w:spacing w:line="360" w:lineRule="exact"/>
                    <w:jc w:val="center"/>
                    <w:rPr>
                      <w:kern w:val="1"/>
                      <w:szCs w:val="21"/>
                    </w:rPr>
                  </w:pPr>
                  <w:r>
                    <w:rPr>
                      <w:rFonts w:hint="eastAsia"/>
                      <w:kern w:val="1"/>
                      <w:szCs w:val="21"/>
                    </w:rPr>
                    <w:t>工业场地破碎筛分总无组织粉尘</w:t>
                  </w:r>
                </w:p>
              </w:tc>
              <w:tc>
                <w:tcPr>
                  <w:tcW w:w="945" w:type="dxa"/>
                  <w:shd w:val="clear" w:color="auto" w:fill="auto"/>
                  <w:vAlign w:val="center"/>
                </w:tcPr>
                <w:p>
                  <w:pPr>
                    <w:spacing w:line="360" w:lineRule="exact"/>
                    <w:jc w:val="center"/>
                    <w:rPr>
                      <w:kern w:val="1"/>
                      <w:szCs w:val="21"/>
                    </w:rPr>
                  </w:pPr>
                  <w:r>
                    <w:rPr>
                      <w:rFonts w:hint="eastAsia"/>
                      <w:kern w:val="1"/>
                      <w:szCs w:val="21"/>
                    </w:rPr>
                    <w:t>/</w:t>
                  </w:r>
                </w:p>
              </w:tc>
              <w:tc>
                <w:tcPr>
                  <w:tcW w:w="899" w:type="dxa"/>
                  <w:shd w:val="clear" w:color="auto" w:fill="auto"/>
                  <w:vAlign w:val="center"/>
                </w:tcPr>
                <w:p>
                  <w:pPr>
                    <w:spacing w:line="360" w:lineRule="exact"/>
                    <w:jc w:val="center"/>
                    <w:rPr>
                      <w:kern w:val="1"/>
                      <w:szCs w:val="21"/>
                    </w:rPr>
                  </w:pPr>
                  <w:r>
                    <w:rPr>
                      <w:szCs w:val="21"/>
                    </w:rPr>
                    <w:t>236.882</w:t>
                  </w:r>
                </w:p>
              </w:tc>
              <w:tc>
                <w:tcPr>
                  <w:tcW w:w="899" w:type="dxa"/>
                  <w:shd w:val="clear" w:color="auto" w:fill="auto"/>
                  <w:vAlign w:val="center"/>
                </w:tcPr>
                <w:p>
                  <w:pPr>
                    <w:spacing w:line="360" w:lineRule="exact"/>
                    <w:jc w:val="center"/>
                    <w:rPr>
                      <w:kern w:val="1"/>
                      <w:szCs w:val="21"/>
                    </w:rPr>
                  </w:pPr>
                  <w:r>
                    <w:rPr>
                      <w:kern w:val="1"/>
                      <w:szCs w:val="21"/>
                    </w:rPr>
                    <w:t>49.350</w:t>
                  </w:r>
                </w:p>
              </w:tc>
              <w:tc>
                <w:tcPr>
                  <w:tcW w:w="2568" w:type="dxa"/>
                  <w:shd w:val="clear" w:color="auto" w:fill="auto"/>
                  <w:vAlign w:val="center"/>
                </w:tcPr>
                <w:p>
                  <w:pPr>
                    <w:spacing w:line="360" w:lineRule="exact"/>
                    <w:jc w:val="center"/>
                    <w:rPr>
                      <w:kern w:val="1"/>
                      <w:szCs w:val="21"/>
                    </w:rPr>
                  </w:pPr>
                  <w:r>
                    <w:rPr>
                      <w:rFonts w:hint="eastAsia"/>
                      <w:kern w:val="1"/>
                      <w:szCs w:val="21"/>
                    </w:rPr>
                    <w:t>密闭车间9</w:t>
                  </w:r>
                  <w:r>
                    <w:rPr>
                      <w:kern w:val="1"/>
                      <w:szCs w:val="21"/>
                    </w:rPr>
                    <w:t>9%+</w:t>
                  </w:r>
                  <w:r>
                    <w:rPr>
                      <w:rFonts w:hint="eastAsia"/>
                      <w:kern w:val="1"/>
                      <w:szCs w:val="21"/>
                    </w:rPr>
                    <w:t>洒水降尘处理效率</w:t>
                  </w:r>
                  <w:r>
                    <w:rPr>
                      <w:kern w:val="1"/>
                      <w:szCs w:val="21"/>
                    </w:rPr>
                    <w:t>74</w:t>
                  </w:r>
                  <w:r>
                    <w:rPr>
                      <w:rFonts w:hint="eastAsia"/>
                      <w:kern w:val="1"/>
                      <w:szCs w:val="21"/>
                    </w:rPr>
                    <w:t>%</w:t>
                  </w:r>
                </w:p>
              </w:tc>
              <w:tc>
                <w:tcPr>
                  <w:tcW w:w="682" w:type="dxa"/>
                  <w:shd w:val="clear" w:color="auto" w:fill="auto"/>
                  <w:vAlign w:val="center"/>
                </w:tcPr>
                <w:p>
                  <w:pPr>
                    <w:spacing w:line="360" w:lineRule="exact"/>
                    <w:jc w:val="center"/>
                    <w:rPr>
                      <w:szCs w:val="21"/>
                    </w:rPr>
                  </w:pPr>
                  <w:r>
                    <w:rPr>
                      <w:rFonts w:hint="eastAsia"/>
                      <w:szCs w:val="21"/>
                    </w:rPr>
                    <w:t>总无组织</w:t>
                  </w:r>
                </w:p>
              </w:tc>
              <w:tc>
                <w:tcPr>
                  <w:tcW w:w="798" w:type="dxa"/>
                  <w:shd w:val="clear" w:color="auto" w:fill="auto"/>
                  <w:vAlign w:val="center"/>
                </w:tcPr>
                <w:p>
                  <w:pPr>
                    <w:spacing w:line="360" w:lineRule="exact"/>
                    <w:jc w:val="center"/>
                    <w:rPr>
                      <w:szCs w:val="21"/>
                    </w:rPr>
                  </w:pPr>
                  <w:r>
                    <w:rPr>
                      <w:rFonts w:hint="eastAsia"/>
                      <w:szCs w:val="21"/>
                    </w:rPr>
                    <w:t>/</w:t>
                  </w:r>
                </w:p>
              </w:tc>
              <w:tc>
                <w:tcPr>
                  <w:tcW w:w="689" w:type="dxa"/>
                  <w:shd w:val="clear" w:color="auto" w:fill="auto"/>
                  <w:vAlign w:val="center"/>
                </w:tcPr>
                <w:p>
                  <w:pPr>
                    <w:spacing w:line="360" w:lineRule="exact"/>
                    <w:jc w:val="center"/>
                    <w:rPr>
                      <w:szCs w:val="21"/>
                    </w:rPr>
                  </w:pPr>
                  <w:r>
                    <w:rPr>
                      <w:szCs w:val="21"/>
                    </w:rPr>
                    <w:t>0.616</w:t>
                  </w:r>
                </w:p>
              </w:tc>
              <w:tc>
                <w:tcPr>
                  <w:tcW w:w="689" w:type="dxa"/>
                  <w:shd w:val="clear" w:color="auto" w:fill="auto"/>
                  <w:vAlign w:val="center"/>
                </w:tcPr>
                <w:p>
                  <w:pPr>
                    <w:spacing w:line="360" w:lineRule="exact"/>
                    <w:jc w:val="center"/>
                    <w:rPr>
                      <w:szCs w:val="21"/>
                    </w:rPr>
                  </w:pPr>
                  <w:r>
                    <w:rPr>
                      <w:szCs w:val="21"/>
                    </w:rPr>
                    <w:t>0.129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5" w:hRule="atLeast"/>
              </w:trPr>
              <w:tc>
                <w:tcPr>
                  <w:tcW w:w="8882" w:type="dxa"/>
                  <w:gridSpan w:val="9"/>
                  <w:shd w:val="clear" w:color="auto" w:fill="auto"/>
                  <w:vAlign w:val="center"/>
                </w:tcPr>
                <w:p>
                  <w:pPr>
                    <w:spacing w:line="360" w:lineRule="exact"/>
                    <w:jc w:val="center"/>
                    <w:rPr>
                      <w:szCs w:val="21"/>
                    </w:rPr>
                  </w:pPr>
                  <w:r>
                    <w:rPr>
                      <w:rFonts w:hint="eastAsia"/>
                      <w:szCs w:val="21"/>
                    </w:rPr>
                    <w:t>注：工业场地破碎筛分无组织粉尘粉尘控制措施控制效率参考《固体物料堆存颗粒物产排污核算系数手册》，堆场类型控制效率：密闭式：9</w:t>
                  </w:r>
                  <w:r>
                    <w:rPr>
                      <w:szCs w:val="21"/>
                    </w:rPr>
                    <w:t>9%</w:t>
                  </w:r>
                  <w:r>
                    <w:rPr>
                      <w:rFonts w:hint="eastAsia"/>
                      <w:szCs w:val="21"/>
                    </w:rPr>
                    <w:t>；粉尘控制措施控制效率：洒水7</w:t>
                  </w:r>
                  <w:r>
                    <w:rPr>
                      <w:szCs w:val="21"/>
                    </w:rPr>
                    <w:t>4%</w:t>
                  </w:r>
                  <w:r>
                    <w:rPr>
                      <w:rFonts w:hint="eastAsia"/>
                      <w:szCs w:val="21"/>
                    </w:rPr>
                    <w:t>。</w:t>
                  </w:r>
                </w:p>
              </w:tc>
            </w:tr>
          </w:tbl>
          <w:p>
            <w:pPr>
              <w:spacing w:line="480" w:lineRule="exact"/>
              <w:ind w:firstLine="480" w:firstLineChars="200"/>
              <w:jc w:val="left"/>
              <w:rPr>
                <w:rFonts w:hint="eastAsia"/>
                <w:sz w:val="24"/>
              </w:rPr>
            </w:pPr>
            <w:r>
              <w:rPr>
                <w:rFonts w:hint="eastAsia"/>
                <w:sz w:val="24"/>
              </w:rPr>
              <w:t>本项目无组织废气产生及排放情况见下表。</w:t>
            </w:r>
          </w:p>
          <w:p>
            <w:pPr>
              <w:pStyle w:val="2"/>
              <w:rPr>
                <w:rFonts w:hint="eastAsia"/>
                <w:sz w:val="24"/>
              </w:rPr>
            </w:pPr>
          </w:p>
          <w:p>
            <w:pPr>
              <w:pStyle w:val="2"/>
              <w:rPr>
                <w:rFonts w:hint="eastAsia"/>
                <w:sz w:val="24"/>
              </w:rPr>
            </w:pPr>
          </w:p>
          <w:p>
            <w:pPr>
              <w:pStyle w:val="2"/>
              <w:rPr>
                <w:rFonts w:hint="eastAsia"/>
                <w:sz w:val="24"/>
              </w:rPr>
            </w:pPr>
          </w:p>
          <w:p>
            <w:pPr>
              <w:pStyle w:val="50"/>
              <w:numPr>
                <w:ilvl w:val="0"/>
                <w:numId w:val="2"/>
              </w:numPr>
              <w:snapToGrid w:val="0"/>
              <w:spacing w:line="240" w:lineRule="auto"/>
              <w:ind w:firstLineChars="0"/>
              <w:jc w:val="center"/>
              <w:rPr>
                <w:b/>
                <w:bCs/>
              </w:rPr>
            </w:pPr>
            <w:r>
              <w:rPr>
                <w:rFonts w:hint="eastAsia"/>
                <w:b/>
                <w:bCs/>
              </w:rPr>
              <w:t>项目运营期无组织废气排放情况</w:t>
            </w:r>
          </w:p>
          <w:tbl>
            <w:tblPr>
              <w:tblStyle w:val="22"/>
              <w:tblW w:w="888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39"/>
              <w:gridCol w:w="718"/>
              <w:gridCol w:w="487"/>
              <w:gridCol w:w="915"/>
              <w:gridCol w:w="826"/>
              <w:gridCol w:w="790"/>
              <w:gridCol w:w="730"/>
              <w:gridCol w:w="611"/>
              <w:gridCol w:w="915"/>
              <w:gridCol w:w="769"/>
              <w:gridCol w:w="945"/>
              <w:gridCol w:w="7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10" w:hRule="atLeast"/>
              </w:trPr>
              <w:tc>
                <w:tcPr>
                  <w:tcW w:w="1157" w:type="dxa"/>
                  <w:gridSpan w:val="2"/>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污染源</w:t>
                  </w: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污染物</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产生速率</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（kg/h）</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产生量</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（t/a）</w:t>
                  </w:r>
                </w:p>
              </w:tc>
              <w:tc>
                <w:tcPr>
                  <w:tcW w:w="79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处理措施</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处理效率</w:t>
                  </w:r>
                  <w:r>
                    <w:rPr>
                      <w:rFonts w:hint="eastAsia" w:cs="宋体"/>
                      <w:spacing w:val="-6"/>
                      <w:kern w:val="0"/>
                      <w:szCs w:val="22"/>
                      <w:lang w:val="zh-CN" w:bidi="zh-CN"/>
                    </w:rPr>
                    <w:t>（%）</w:t>
                  </w:r>
                </w:p>
              </w:tc>
              <w:tc>
                <w:tcPr>
                  <w:tcW w:w="61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排放时间</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（h）</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排放速率</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（kg/h）</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排放量</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（t/a）</w:t>
                  </w:r>
                </w:p>
              </w:tc>
              <w:tc>
                <w:tcPr>
                  <w:tcW w:w="945" w:type="dxa"/>
                  <w:tcBorders>
                    <w:right w:val="single" w:color="auto" w:sz="4" w:space="0"/>
                  </w:tcBorders>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面源面积</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（m</w:t>
                  </w:r>
                  <w:r>
                    <w:rPr>
                      <w:rFonts w:hint="eastAsia" w:cs="宋体"/>
                      <w:kern w:val="0"/>
                      <w:szCs w:val="22"/>
                      <w:vertAlign w:val="superscript"/>
                      <w:lang w:val="zh-CN" w:bidi="zh-CN"/>
                    </w:rPr>
                    <w:t>2</w:t>
                  </w:r>
                  <w:r>
                    <w:rPr>
                      <w:rFonts w:hint="eastAsia" w:cs="宋体"/>
                      <w:kern w:val="0"/>
                      <w:szCs w:val="22"/>
                      <w:lang w:val="zh-CN" w:bidi="zh-CN"/>
                    </w:rPr>
                    <w:t>）</w:t>
                  </w:r>
                </w:p>
              </w:tc>
              <w:tc>
                <w:tcPr>
                  <w:tcW w:w="737" w:type="dxa"/>
                  <w:tcBorders>
                    <w:left w:val="single" w:color="auto" w:sz="4" w:space="0"/>
                  </w:tcBorders>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面源</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高度（m）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开采作业面</w:t>
                  </w:r>
                </w:p>
              </w:tc>
              <w:tc>
                <w:tcPr>
                  <w:tcW w:w="718"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剥离表土扬尘</w:t>
                  </w: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1.578</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3.788</w:t>
                  </w:r>
                </w:p>
              </w:tc>
              <w:tc>
                <w:tcPr>
                  <w:tcW w:w="79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洒水降尘</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75%</w:t>
                  </w:r>
                </w:p>
              </w:tc>
              <w:tc>
                <w:tcPr>
                  <w:tcW w:w="61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2400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0.395</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0.947</w:t>
                  </w:r>
                </w:p>
              </w:tc>
              <w:tc>
                <w:tcPr>
                  <w:tcW w:w="945"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一采区310000二采区</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2130000</w:t>
                  </w:r>
                </w:p>
              </w:tc>
              <w:tc>
                <w:tcPr>
                  <w:tcW w:w="737" w:type="dxa"/>
                  <w:vMerge w:val="restart"/>
                  <w:shd w:val="clear" w:color="auto" w:fill="auto"/>
                  <w:vAlign w:val="center"/>
                </w:tcPr>
                <w:p>
                  <w:pPr>
                    <w:autoSpaceDE w:val="0"/>
                    <w:autoSpaceDN w:val="0"/>
                    <w:spacing w:line="360" w:lineRule="exact"/>
                    <w:jc w:val="center"/>
                    <w:rPr>
                      <w:rFonts w:cs="宋体"/>
                      <w:w w:val="99"/>
                      <w:kern w:val="0"/>
                      <w:szCs w:val="22"/>
                      <w:lang w:val="zh-CN" w:bidi="zh-CN"/>
                    </w:rPr>
                  </w:pPr>
                  <w:r>
                    <w:rPr>
                      <w:rFonts w:hint="eastAsia" w:cs="宋体"/>
                      <w:w w:val="99"/>
                      <w:kern w:val="0"/>
                      <w:szCs w:val="22"/>
                      <w:lang w:val="zh-CN" w:bidi="zh-CN"/>
                    </w:rPr>
                    <w:t>4.5m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凿岩打孔粉尘</w:t>
                  </w: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6.131</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29.432</w:t>
                  </w:r>
                </w:p>
              </w:tc>
              <w:tc>
                <w:tcPr>
                  <w:tcW w:w="79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带收尘装置凿岩钻孔机+洒水喷雾降尘</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97.5%</w:t>
                  </w:r>
                </w:p>
              </w:tc>
              <w:tc>
                <w:tcPr>
                  <w:tcW w:w="61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4800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rPr>
                    <w:t>0.153</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w w:val="105"/>
                      <w:kern w:val="0"/>
                      <w:szCs w:val="20"/>
                    </w:rPr>
                    <w:t>0.736</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爆破废气</w:t>
                  </w: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w w:val="110"/>
                      <w:kern w:val="0"/>
                      <w:szCs w:val="29"/>
                    </w:rPr>
                    <w:t>CO</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 xml:space="preserve">24.539 </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rPr>
                    <w:t>8.4168</w:t>
                  </w:r>
                </w:p>
              </w:tc>
              <w:tc>
                <w:tcPr>
                  <w:tcW w:w="790"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深孔爆破+湿法爆破+洒水降尘</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w:t>
                  </w:r>
                </w:p>
              </w:tc>
              <w:tc>
                <w:tcPr>
                  <w:tcW w:w="611"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343</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 xml:space="preserve">24.539 </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rPr>
                    <w:t>8.4168</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szCs w:val="20"/>
                    </w:rPr>
                    <w:t>NOx</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 xml:space="preserve">56.868 </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rPr>
                    <w:t>19.5056</w:t>
                  </w:r>
                </w:p>
              </w:tc>
              <w:tc>
                <w:tcPr>
                  <w:tcW w:w="790"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w:t>
                  </w:r>
                </w:p>
              </w:tc>
              <w:tc>
                <w:tcPr>
                  <w:tcW w:w="611"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 xml:space="preserve">56.868 </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rPr>
                    <w:t>19.5056</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w w:val="105"/>
                      <w:kern w:val="0"/>
                      <w:szCs w:val="20"/>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 xml:space="preserve">211.111 </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72.4112</w:t>
                  </w:r>
                </w:p>
              </w:tc>
              <w:tc>
                <w:tcPr>
                  <w:tcW w:w="790"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90%</w:t>
                  </w:r>
                </w:p>
              </w:tc>
              <w:tc>
                <w:tcPr>
                  <w:tcW w:w="611"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21.111</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7.241</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装卸扬尘</w:t>
                  </w:r>
                </w:p>
              </w:tc>
              <w:tc>
                <w:tcPr>
                  <w:tcW w:w="487" w:type="dxa"/>
                  <w:shd w:val="clear" w:color="auto" w:fill="auto"/>
                  <w:vAlign w:val="center"/>
                </w:tcPr>
                <w:p>
                  <w:pPr>
                    <w:autoSpaceDE w:val="0"/>
                    <w:autoSpaceDN w:val="0"/>
                    <w:spacing w:line="360" w:lineRule="exact"/>
                    <w:jc w:val="center"/>
                    <w:rPr>
                      <w:w w:val="110"/>
                      <w:kern w:val="0"/>
                      <w:szCs w:val="29"/>
                    </w:rPr>
                  </w:pPr>
                  <w:r>
                    <w:rPr>
                      <w:rFonts w:hint="eastAsia"/>
                      <w:w w:val="105"/>
                      <w:kern w:val="0"/>
                      <w:szCs w:val="20"/>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268.54</w:t>
                  </w:r>
                </w:p>
              </w:tc>
              <w:tc>
                <w:tcPr>
                  <w:tcW w:w="826" w:type="dxa"/>
                  <w:shd w:val="clear" w:color="auto" w:fill="auto"/>
                  <w:vAlign w:val="center"/>
                </w:tcPr>
                <w:p>
                  <w:pPr>
                    <w:autoSpaceDE w:val="0"/>
                    <w:autoSpaceDN w:val="0"/>
                    <w:spacing w:line="360" w:lineRule="exact"/>
                    <w:jc w:val="center"/>
                    <w:rPr>
                      <w:w w:val="105"/>
                      <w:kern w:val="0"/>
                      <w:szCs w:val="20"/>
                    </w:rPr>
                  </w:pPr>
                  <w:r>
                    <w:rPr>
                      <w:w w:val="105"/>
                      <w:kern w:val="0"/>
                      <w:szCs w:val="20"/>
                    </w:rPr>
                    <w:t>1289</w:t>
                  </w:r>
                </w:p>
              </w:tc>
              <w:tc>
                <w:tcPr>
                  <w:tcW w:w="79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w w:val="105"/>
                      <w:kern w:val="0"/>
                      <w:szCs w:val="20"/>
                    </w:rPr>
                    <w:t>洒水降尘+遮盖篷布</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85</w:t>
                  </w:r>
                  <w:r>
                    <w:rPr>
                      <w:rFonts w:hint="eastAsia" w:cs="宋体"/>
                      <w:kern w:val="0"/>
                      <w:szCs w:val="22"/>
                      <w:lang w:val="zh-CN" w:bidi="zh-CN"/>
                    </w:rPr>
                    <w:t>%</w:t>
                  </w:r>
                </w:p>
              </w:tc>
              <w:tc>
                <w:tcPr>
                  <w:tcW w:w="61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4800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40.28</w:t>
                  </w:r>
                </w:p>
              </w:tc>
              <w:tc>
                <w:tcPr>
                  <w:tcW w:w="769" w:type="dxa"/>
                  <w:shd w:val="clear" w:color="auto" w:fill="auto"/>
                  <w:vAlign w:val="center"/>
                </w:tcPr>
                <w:p>
                  <w:pPr>
                    <w:autoSpaceDE w:val="0"/>
                    <w:autoSpaceDN w:val="0"/>
                    <w:spacing w:line="360" w:lineRule="exact"/>
                    <w:jc w:val="center"/>
                    <w:rPr>
                      <w:w w:val="105"/>
                      <w:kern w:val="0"/>
                      <w:szCs w:val="20"/>
                    </w:rPr>
                  </w:pPr>
                  <w:r>
                    <w:rPr>
                      <w:w w:val="105"/>
                      <w:kern w:val="0"/>
                      <w:szCs w:val="20"/>
                    </w:rPr>
                    <w:t>193.35</w:t>
                  </w:r>
                  <w:r>
                    <w:rPr>
                      <w:rFonts w:hint="eastAsia"/>
                      <w:w w:val="105"/>
                      <w:kern w:val="0"/>
                      <w:szCs w:val="20"/>
                    </w:rPr>
                    <w:t xml:space="preserve"> </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露天采场</w:t>
                  </w:r>
                </w:p>
              </w:tc>
              <w:tc>
                <w:tcPr>
                  <w:tcW w:w="718"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运输废气</w:t>
                  </w:r>
                </w:p>
              </w:tc>
              <w:tc>
                <w:tcPr>
                  <w:tcW w:w="487" w:type="dxa"/>
                  <w:shd w:val="clear" w:color="auto" w:fill="auto"/>
                  <w:vAlign w:val="center"/>
                </w:tcPr>
                <w:p>
                  <w:pPr>
                    <w:autoSpaceDE w:val="0"/>
                    <w:autoSpaceDN w:val="0"/>
                    <w:spacing w:line="360" w:lineRule="exact"/>
                    <w:jc w:val="center"/>
                    <w:rPr>
                      <w:w w:val="105"/>
                      <w:kern w:val="0"/>
                      <w:szCs w:val="20"/>
                    </w:rPr>
                  </w:pPr>
                  <w:r>
                    <w:rPr>
                      <w:rFonts w:hint="eastAsia"/>
                      <w:w w:val="105"/>
                      <w:kern w:val="0"/>
                      <w:szCs w:val="20"/>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50.688</w:t>
                  </w:r>
                </w:p>
              </w:tc>
              <w:tc>
                <w:tcPr>
                  <w:tcW w:w="826" w:type="dxa"/>
                  <w:shd w:val="clear" w:color="auto" w:fill="auto"/>
                  <w:vAlign w:val="center"/>
                </w:tcPr>
                <w:p>
                  <w:pPr>
                    <w:autoSpaceDE w:val="0"/>
                    <w:autoSpaceDN w:val="0"/>
                    <w:spacing w:line="360" w:lineRule="exact"/>
                    <w:jc w:val="center"/>
                    <w:rPr>
                      <w:w w:val="105"/>
                      <w:kern w:val="0"/>
                      <w:szCs w:val="20"/>
                    </w:rPr>
                  </w:pPr>
                  <w:r>
                    <w:rPr>
                      <w:w w:val="105"/>
                      <w:kern w:val="0"/>
                      <w:szCs w:val="20"/>
                    </w:rPr>
                    <w:t>243.3</w:t>
                  </w:r>
                </w:p>
              </w:tc>
              <w:tc>
                <w:tcPr>
                  <w:tcW w:w="790" w:type="dxa"/>
                  <w:shd w:val="clear" w:color="auto" w:fill="auto"/>
                  <w:vAlign w:val="center"/>
                </w:tcPr>
                <w:p>
                  <w:pPr>
                    <w:autoSpaceDE w:val="0"/>
                    <w:autoSpaceDN w:val="0"/>
                    <w:spacing w:line="360" w:lineRule="exact"/>
                    <w:jc w:val="center"/>
                    <w:rPr>
                      <w:w w:val="105"/>
                      <w:kern w:val="0"/>
                      <w:szCs w:val="20"/>
                    </w:rPr>
                  </w:pPr>
                  <w:r>
                    <w:rPr>
                      <w:rFonts w:hint="eastAsia"/>
                      <w:w w:val="105"/>
                      <w:kern w:val="0"/>
                      <w:szCs w:val="20"/>
                    </w:rPr>
                    <w:t>道路洒水+铺石子</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95%</w:t>
                  </w:r>
                </w:p>
              </w:tc>
              <w:tc>
                <w:tcPr>
                  <w:tcW w:w="61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4800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2.</w:t>
                  </w:r>
                  <w:r>
                    <w:rPr>
                      <w:rFonts w:cs="宋体"/>
                      <w:kern w:val="0"/>
                      <w:szCs w:val="22"/>
                      <w:lang w:val="zh-CN" w:bidi="zh-CN"/>
                    </w:rPr>
                    <w:t>535</w:t>
                  </w:r>
                </w:p>
              </w:tc>
              <w:tc>
                <w:tcPr>
                  <w:tcW w:w="769" w:type="dxa"/>
                  <w:shd w:val="clear" w:color="auto" w:fill="auto"/>
                  <w:vAlign w:val="center"/>
                </w:tcPr>
                <w:p>
                  <w:pPr>
                    <w:autoSpaceDE w:val="0"/>
                    <w:autoSpaceDN w:val="0"/>
                    <w:spacing w:line="360" w:lineRule="exact"/>
                    <w:jc w:val="center"/>
                    <w:rPr>
                      <w:w w:val="105"/>
                      <w:kern w:val="0"/>
                      <w:szCs w:val="20"/>
                    </w:rPr>
                  </w:pPr>
                  <w:r>
                    <w:rPr>
                      <w:w w:val="105"/>
                      <w:kern w:val="0"/>
                      <w:szCs w:val="20"/>
                    </w:rPr>
                    <w:t>12.17</w:t>
                  </w:r>
                </w:p>
              </w:tc>
              <w:tc>
                <w:tcPr>
                  <w:tcW w:w="945"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一采区310000二采区</w:t>
                  </w:r>
                </w:p>
                <w:p>
                  <w:pPr>
                    <w:autoSpaceDE w:val="0"/>
                    <w:autoSpaceDN w:val="0"/>
                    <w:spacing w:line="360" w:lineRule="exact"/>
                    <w:jc w:val="center"/>
                    <w:rPr>
                      <w:rFonts w:cs="宋体"/>
                      <w:kern w:val="0"/>
                      <w:szCs w:val="22"/>
                      <w:lang w:val="zh-CN" w:bidi="zh-CN"/>
                    </w:rPr>
                  </w:pPr>
                  <w:r>
                    <w:rPr>
                      <w:rFonts w:hint="eastAsia" w:cs="宋体"/>
                      <w:kern w:val="0"/>
                      <w:szCs w:val="22"/>
                      <w:lang w:val="zh-CN" w:bidi="zh-CN"/>
                    </w:rPr>
                    <w:t>2130000</w:t>
                  </w:r>
                </w:p>
              </w:tc>
              <w:tc>
                <w:tcPr>
                  <w:tcW w:w="737" w:type="dxa"/>
                  <w:vMerge w:val="restart"/>
                  <w:shd w:val="clear" w:color="auto" w:fill="auto"/>
                  <w:vAlign w:val="center"/>
                </w:tcPr>
                <w:p>
                  <w:pPr>
                    <w:autoSpaceDE w:val="0"/>
                    <w:autoSpaceDN w:val="0"/>
                    <w:spacing w:line="360" w:lineRule="exact"/>
                    <w:jc w:val="center"/>
                    <w:rPr>
                      <w:rFonts w:cs="宋体"/>
                      <w:w w:val="99"/>
                      <w:kern w:val="0"/>
                      <w:szCs w:val="22"/>
                      <w:lang w:val="zh-CN" w:bidi="zh-CN"/>
                    </w:rPr>
                  </w:pPr>
                  <w:r>
                    <w:rPr>
                      <w:rFonts w:hint="eastAsia" w:cs="宋体"/>
                      <w:w w:val="99"/>
                      <w:kern w:val="0"/>
                      <w:szCs w:val="22"/>
                      <w:lang w:val="zh-CN" w:bidi="zh-CN"/>
                    </w:rPr>
                    <w:t>4.5m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487" w:type="dxa"/>
                  <w:shd w:val="clear" w:color="auto" w:fill="auto"/>
                  <w:vAlign w:val="center"/>
                </w:tcPr>
                <w:p>
                  <w:pPr>
                    <w:autoSpaceDE w:val="0"/>
                    <w:autoSpaceDN w:val="0"/>
                    <w:spacing w:line="360" w:lineRule="exact"/>
                    <w:jc w:val="center"/>
                    <w:rPr>
                      <w:w w:val="105"/>
                      <w:kern w:val="0"/>
                      <w:szCs w:val="20"/>
                    </w:rPr>
                  </w:pPr>
                  <w:r>
                    <w:rPr>
                      <w:rFonts w:hint="eastAsia"/>
                      <w:w w:val="105"/>
                      <w:kern w:val="0"/>
                      <w:szCs w:val="20"/>
                    </w:rPr>
                    <w:t>P</w:t>
                  </w:r>
                  <w:r>
                    <w:rPr>
                      <w:w w:val="105"/>
                      <w:kern w:val="0"/>
                      <w:szCs w:val="20"/>
                    </w:rPr>
                    <w:t>M</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w:t>
                  </w:r>
                  <w:r>
                    <w:rPr>
                      <w:rFonts w:cs="宋体"/>
                      <w:kern w:val="0"/>
                      <w:szCs w:val="22"/>
                      <w:lang w:val="zh-CN" w:bidi="zh-CN"/>
                    </w:rPr>
                    <w:t>.115</w:t>
                  </w:r>
                </w:p>
              </w:tc>
              <w:tc>
                <w:tcPr>
                  <w:tcW w:w="826" w:type="dxa"/>
                  <w:shd w:val="clear" w:color="auto" w:fill="auto"/>
                  <w:vAlign w:val="center"/>
                </w:tcPr>
                <w:p>
                  <w:pPr>
                    <w:autoSpaceDE w:val="0"/>
                    <w:autoSpaceDN w:val="0"/>
                    <w:spacing w:line="360" w:lineRule="exact"/>
                    <w:jc w:val="center"/>
                    <w:rPr>
                      <w:w w:val="105"/>
                      <w:kern w:val="0"/>
                      <w:szCs w:val="20"/>
                    </w:rPr>
                  </w:pPr>
                  <w:r>
                    <w:rPr>
                      <w:w w:val="105"/>
                      <w:kern w:val="0"/>
                      <w:szCs w:val="20"/>
                    </w:rPr>
                    <w:t>0.553</w:t>
                  </w:r>
                </w:p>
              </w:tc>
              <w:tc>
                <w:tcPr>
                  <w:tcW w:w="790" w:type="dxa"/>
                  <w:vMerge w:val="restart"/>
                  <w:shd w:val="clear" w:color="auto" w:fill="auto"/>
                  <w:vAlign w:val="center"/>
                </w:tcPr>
                <w:p>
                  <w:pPr>
                    <w:autoSpaceDE w:val="0"/>
                    <w:autoSpaceDN w:val="0"/>
                    <w:spacing w:line="360" w:lineRule="exact"/>
                    <w:jc w:val="center"/>
                    <w:rPr>
                      <w:w w:val="105"/>
                      <w:kern w:val="0"/>
                      <w:szCs w:val="20"/>
                    </w:rPr>
                  </w:pPr>
                  <w:r>
                    <w:rPr>
                      <w:rFonts w:hint="eastAsia"/>
                      <w:w w:val="105"/>
                      <w:kern w:val="0"/>
                      <w:szCs w:val="20"/>
                    </w:rPr>
                    <w:t>排放符合标准的车辆</w:t>
                  </w:r>
                </w:p>
              </w:tc>
              <w:tc>
                <w:tcPr>
                  <w:tcW w:w="730"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w:t>
                  </w:r>
                </w:p>
              </w:tc>
              <w:tc>
                <w:tcPr>
                  <w:tcW w:w="611" w:type="dxa"/>
                  <w:vMerge w:val="restart"/>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4800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w:t>
                  </w:r>
                  <w:r>
                    <w:rPr>
                      <w:rFonts w:cs="宋体"/>
                      <w:kern w:val="0"/>
                      <w:szCs w:val="22"/>
                      <w:lang w:val="zh-CN" w:bidi="zh-CN"/>
                    </w:rPr>
                    <w:t>.115</w:t>
                  </w:r>
                </w:p>
              </w:tc>
              <w:tc>
                <w:tcPr>
                  <w:tcW w:w="769" w:type="dxa"/>
                  <w:shd w:val="clear" w:color="auto" w:fill="auto"/>
                  <w:vAlign w:val="center"/>
                </w:tcPr>
                <w:p>
                  <w:pPr>
                    <w:autoSpaceDE w:val="0"/>
                    <w:autoSpaceDN w:val="0"/>
                    <w:spacing w:line="360" w:lineRule="exact"/>
                    <w:jc w:val="center"/>
                    <w:rPr>
                      <w:w w:val="105"/>
                      <w:kern w:val="0"/>
                      <w:szCs w:val="20"/>
                    </w:rPr>
                  </w:pPr>
                  <w:r>
                    <w:rPr>
                      <w:w w:val="105"/>
                      <w:kern w:val="0"/>
                      <w:szCs w:val="20"/>
                    </w:rPr>
                    <w:t>0.553</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487" w:type="dxa"/>
                  <w:shd w:val="clear" w:color="auto" w:fill="auto"/>
                  <w:vAlign w:val="center"/>
                </w:tcPr>
                <w:p>
                  <w:pPr>
                    <w:autoSpaceDE w:val="0"/>
                    <w:autoSpaceDN w:val="0"/>
                    <w:spacing w:line="360" w:lineRule="exact"/>
                    <w:jc w:val="center"/>
                    <w:rPr>
                      <w:w w:val="105"/>
                      <w:kern w:val="0"/>
                      <w:szCs w:val="20"/>
                    </w:rPr>
                  </w:pPr>
                  <w:r>
                    <w:rPr>
                      <w:rFonts w:hint="eastAsia"/>
                      <w:b/>
                    </w:rPr>
                    <w:t>CO</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w:t>
                  </w:r>
                  <w:r>
                    <w:rPr>
                      <w:rFonts w:cs="宋体"/>
                      <w:kern w:val="0"/>
                      <w:szCs w:val="22"/>
                      <w:lang w:val="zh-CN" w:bidi="zh-CN"/>
                    </w:rPr>
                    <w:t>4.341</w:t>
                  </w:r>
                </w:p>
              </w:tc>
              <w:tc>
                <w:tcPr>
                  <w:tcW w:w="826" w:type="dxa"/>
                  <w:shd w:val="clear" w:color="auto" w:fill="auto"/>
                  <w:vAlign w:val="center"/>
                </w:tcPr>
                <w:p>
                  <w:pPr>
                    <w:autoSpaceDE w:val="0"/>
                    <w:autoSpaceDN w:val="0"/>
                    <w:spacing w:line="360" w:lineRule="exact"/>
                    <w:jc w:val="center"/>
                    <w:rPr>
                      <w:w w:val="105"/>
                      <w:kern w:val="0"/>
                      <w:szCs w:val="20"/>
                    </w:rPr>
                  </w:pPr>
                  <w:r>
                    <w:rPr>
                      <w:w w:val="105"/>
                      <w:kern w:val="0"/>
                      <w:szCs w:val="20"/>
                    </w:rPr>
                    <w:t>68.839</w:t>
                  </w:r>
                </w:p>
              </w:tc>
              <w:tc>
                <w:tcPr>
                  <w:tcW w:w="790" w:type="dxa"/>
                  <w:vMerge w:val="continue"/>
                  <w:shd w:val="clear" w:color="auto" w:fill="auto"/>
                  <w:vAlign w:val="center"/>
                </w:tcPr>
                <w:p>
                  <w:pPr>
                    <w:autoSpaceDE w:val="0"/>
                    <w:autoSpaceDN w:val="0"/>
                    <w:spacing w:line="360" w:lineRule="exact"/>
                    <w:jc w:val="center"/>
                    <w:rPr>
                      <w:w w:val="105"/>
                      <w:kern w:val="0"/>
                      <w:szCs w:val="20"/>
                    </w:rPr>
                  </w:pPr>
                </w:p>
              </w:tc>
              <w:tc>
                <w:tcPr>
                  <w:tcW w:w="730"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611"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w:t>
                  </w:r>
                  <w:r>
                    <w:rPr>
                      <w:rFonts w:cs="宋体"/>
                      <w:kern w:val="0"/>
                      <w:szCs w:val="22"/>
                      <w:lang w:val="zh-CN" w:bidi="zh-CN"/>
                    </w:rPr>
                    <w:t>4.341</w:t>
                  </w:r>
                </w:p>
              </w:tc>
              <w:tc>
                <w:tcPr>
                  <w:tcW w:w="769" w:type="dxa"/>
                  <w:shd w:val="clear" w:color="auto" w:fill="auto"/>
                  <w:vAlign w:val="center"/>
                </w:tcPr>
                <w:p>
                  <w:pPr>
                    <w:autoSpaceDE w:val="0"/>
                    <w:autoSpaceDN w:val="0"/>
                    <w:spacing w:line="360" w:lineRule="exact"/>
                    <w:jc w:val="center"/>
                    <w:rPr>
                      <w:w w:val="105"/>
                      <w:kern w:val="0"/>
                      <w:szCs w:val="20"/>
                    </w:rPr>
                  </w:pPr>
                  <w:r>
                    <w:rPr>
                      <w:w w:val="105"/>
                      <w:kern w:val="0"/>
                      <w:szCs w:val="20"/>
                    </w:rPr>
                    <w:t>68.839</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487" w:type="dxa"/>
                  <w:shd w:val="clear" w:color="auto" w:fill="auto"/>
                  <w:vAlign w:val="center"/>
                </w:tcPr>
                <w:p>
                  <w:pPr>
                    <w:autoSpaceDE w:val="0"/>
                    <w:autoSpaceDN w:val="0"/>
                    <w:spacing w:line="360" w:lineRule="exact"/>
                    <w:jc w:val="center"/>
                    <w:rPr>
                      <w:w w:val="105"/>
                      <w:kern w:val="0"/>
                      <w:szCs w:val="20"/>
                    </w:rPr>
                  </w:pPr>
                  <w:r>
                    <w:rPr>
                      <w:rFonts w:hint="eastAsia"/>
                      <w:b/>
                    </w:rPr>
                    <w:t>NO</w:t>
                  </w:r>
                  <w:r>
                    <w:rPr>
                      <w:rFonts w:hint="eastAsia"/>
                      <w:bCs/>
                      <w:vertAlign w:val="subscript"/>
                    </w:rPr>
                    <w:t>X</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9</w:t>
                  </w:r>
                  <w:r>
                    <w:rPr>
                      <w:rFonts w:cs="宋体"/>
                      <w:kern w:val="0"/>
                      <w:szCs w:val="22"/>
                      <w:lang w:val="zh-CN" w:bidi="zh-CN"/>
                    </w:rPr>
                    <w:t>.9</w:t>
                  </w:r>
                </w:p>
              </w:tc>
              <w:tc>
                <w:tcPr>
                  <w:tcW w:w="826" w:type="dxa"/>
                  <w:shd w:val="clear" w:color="auto" w:fill="auto"/>
                  <w:vAlign w:val="center"/>
                </w:tcPr>
                <w:p>
                  <w:pPr>
                    <w:autoSpaceDE w:val="0"/>
                    <w:autoSpaceDN w:val="0"/>
                    <w:spacing w:line="360" w:lineRule="exact"/>
                    <w:jc w:val="center"/>
                    <w:rPr>
                      <w:w w:val="105"/>
                      <w:kern w:val="0"/>
                      <w:szCs w:val="20"/>
                    </w:rPr>
                  </w:pPr>
                  <w:r>
                    <w:rPr>
                      <w:w w:val="105"/>
                      <w:kern w:val="0"/>
                      <w:szCs w:val="20"/>
                    </w:rPr>
                    <w:t>47.522</w:t>
                  </w:r>
                </w:p>
              </w:tc>
              <w:tc>
                <w:tcPr>
                  <w:tcW w:w="790" w:type="dxa"/>
                  <w:vMerge w:val="continue"/>
                  <w:shd w:val="clear" w:color="auto" w:fill="auto"/>
                  <w:vAlign w:val="center"/>
                </w:tcPr>
                <w:p>
                  <w:pPr>
                    <w:autoSpaceDE w:val="0"/>
                    <w:autoSpaceDN w:val="0"/>
                    <w:spacing w:line="360" w:lineRule="exact"/>
                    <w:jc w:val="center"/>
                    <w:rPr>
                      <w:w w:val="105"/>
                      <w:kern w:val="0"/>
                      <w:szCs w:val="20"/>
                    </w:rPr>
                  </w:pPr>
                </w:p>
              </w:tc>
              <w:tc>
                <w:tcPr>
                  <w:tcW w:w="730"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611"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9</w:t>
                  </w:r>
                  <w:r>
                    <w:rPr>
                      <w:rFonts w:cs="宋体"/>
                      <w:kern w:val="0"/>
                      <w:szCs w:val="22"/>
                      <w:lang w:val="zh-CN" w:bidi="zh-CN"/>
                    </w:rPr>
                    <w:t>.9</w:t>
                  </w:r>
                </w:p>
              </w:tc>
              <w:tc>
                <w:tcPr>
                  <w:tcW w:w="769" w:type="dxa"/>
                  <w:shd w:val="clear" w:color="auto" w:fill="auto"/>
                  <w:vAlign w:val="center"/>
                </w:tcPr>
                <w:p>
                  <w:pPr>
                    <w:autoSpaceDE w:val="0"/>
                    <w:autoSpaceDN w:val="0"/>
                    <w:spacing w:line="360" w:lineRule="exact"/>
                    <w:jc w:val="center"/>
                    <w:rPr>
                      <w:w w:val="105"/>
                      <w:kern w:val="0"/>
                      <w:szCs w:val="20"/>
                    </w:rPr>
                  </w:pPr>
                  <w:r>
                    <w:rPr>
                      <w:w w:val="105"/>
                      <w:kern w:val="0"/>
                      <w:szCs w:val="20"/>
                    </w:rPr>
                    <w:t>47.522</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39"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18"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487" w:type="dxa"/>
                  <w:shd w:val="clear" w:color="auto" w:fill="auto"/>
                  <w:vAlign w:val="center"/>
                </w:tcPr>
                <w:p>
                  <w:pPr>
                    <w:autoSpaceDE w:val="0"/>
                    <w:autoSpaceDN w:val="0"/>
                    <w:spacing w:line="360" w:lineRule="exact"/>
                    <w:jc w:val="center"/>
                    <w:rPr>
                      <w:b/>
                    </w:rPr>
                  </w:pPr>
                  <w:r>
                    <w:rPr>
                      <w:rFonts w:hint="eastAsia"/>
                    </w:rPr>
                    <w:t>烃类</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w:t>
                  </w:r>
                  <w:r>
                    <w:rPr>
                      <w:rFonts w:cs="宋体"/>
                      <w:kern w:val="0"/>
                      <w:szCs w:val="22"/>
                      <w:lang w:val="zh-CN" w:bidi="zh-CN"/>
                    </w:rPr>
                    <w:t>.89</w:t>
                  </w:r>
                </w:p>
              </w:tc>
              <w:tc>
                <w:tcPr>
                  <w:tcW w:w="826" w:type="dxa"/>
                  <w:shd w:val="clear" w:color="auto" w:fill="auto"/>
                  <w:vAlign w:val="center"/>
                </w:tcPr>
                <w:p>
                  <w:pPr>
                    <w:autoSpaceDE w:val="0"/>
                    <w:autoSpaceDN w:val="0"/>
                    <w:spacing w:line="360" w:lineRule="exact"/>
                    <w:jc w:val="center"/>
                    <w:rPr>
                      <w:w w:val="105"/>
                      <w:kern w:val="0"/>
                      <w:szCs w:val="20"/>
                    </w:rPr>
                  </w:pPr>
                  <w:r>
                    <w:rPr>
                      <w:w w:val="105"/>
                      <w:kern w:val="0"/>
                      <w:szCs w:val="20"/>
                    </w:rPr>
                    <w:t>9.071</w:t>
                  </w:r>
                </w:p>
              </w:tc>
              <w:tc>
                <w:tcPr>
                  <w:tcW w:w="790" w:type="dxa"/>
                  <w:vMerge w:val="continue"/>
                  <w:shd w:val="clear" w:color="auto" w:fill="auto"/>
                  <w:vAlign w:val="center"/>
                </w:tcPr>
                <w:p>
                  <w:pPr>
                    <w:autoSpaceDE w:val="0"/>
                    <w:autoSpaceDN w:val="0"/>
                    <w:spacing w:line="360" w:lineRule="exact"/>
                    <w:jc w:val="center"/>
                    <w:rPr>
                      <w:w w:val="105"/>
                      <w:kern w:val="0"/>
                      <w:szCs w:val="20"/>
                    </w:rPr>
                  </w:pPr>
                </w:p>
              </w:tc>
              <w:tc>
                <w:tcPr>
                  <w:tcW w:w="730"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611"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w:t>
                  </w:r>
                  <w:r>
                    <w:rPr>
                      <w:rFonts w:cs="宋体"/>
                      <w:kern w:val="0"/>
                      <w:szCs w:val="22"/>
                      <w:lang w:val="zh-CN" w:bidi="zh-CN"/>
                    </w:rPr>
                    <w:t>.89</w:t>
                  </w:r>
                </w:p>
              </w:tc>
              <w:tc>
                <w:tcPr>
                  <w:tcW w:w="769" w:type="dxa"/>
                  <w:shd w:val="clear" w:color="auto" w:fill="auto"/>
                  <w:vAlign w:val="center"/>
                </w:tcPr>
                <w:p>
                  <w:pPr>
                    <w:autoSpaceDE w:val="0"/>
                    <w:autoSpaceDN w:val="0"/>
                    <w:spacing w:line="360" w:lineRule="exact"/>
                    <w:jc w:val="center"/>
                    <w:rPr>
                      <w:w w:val="105"/>
                      <w:kern w:val="0"/>
                      <w:szCs w:val="20"/>
                    </w:rPr>
                  </w:pPr>
                  <w:r>
                    <w:rPr>
                      <w:w w:val="105"/>
                      <w:kern w:val="0"/>
                      <w:szCs w:val="20"/>
                    </w:rPr>
                    <w:t>9.071</w:t>
                  </w:r>
                </w:p>
              </w:tc>
              <w:tc>
                <w:tcPr>
                  <w:tcW w:w="945" w:type="dxa"/>
                  <w:vMerge w:val="continue"/>
                  <w:shd w:val="clear" w:color="auto" w:fill="auto"/>
                  <w:vAlign w:val="center"/>
                </w:tcPr>
                <w:p>
                  <w:pPr>
                    <w:autoSpaceDE w:val="0"/>
                    <w:autoSpaceDN w:val="0"/>
                    <w:spacing w:line="360" w:lineRule="exact"/>
                    <w:jc w:val="center"/>
                    <w:rPr>
                      <w:rFonts w:cs="宋体"/>
                      <w:kern w:val="0"/>
                      <w:szCs w:val="22"/>
                      <w:lang w:val="zh-CN" w:bidi="zh-CN"/>
                    </w:rPr>
                  </w:pPr>
                </w:p>
              </w:tc>
              <w:tc>
                <w:tcPr>
                  <w:tcW w:w="737" w:type="dxa"/>
                  <w:vMerge w:val="continue"/>
                  <w:shd w:val="clear" w:color="auto" w:fill="auto"/>
                  <w:vAlign w:val="center"/>
                </w:tcPr>
                <w:p>
                  <w:pPr>
                    <w:autoSpaceDE w:val="0"/>
                    <w:autoSpaceDN w:val="0"/>
                    <w:spacing w:line="360" w:lineRule="exact"/>
                    <w:jc w:val="center"/>
                    <w:rPr>
                      <w:rFonts w:cs="宋体"/>
                      <w:w w:val="99"/>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43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表土临时堆放场</w:t>
                  </w:r>
                </w:p>
              </w:tc>
              <w:tc>
                <w:tcPr>
                  <w:tcW w:w="718"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 xml:space="preserve">表土临时堆放扬尘 </w:t>
                  </w: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112.52</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t>810.124</w:t>
                  </w:r>
                </w:p>
              </w:tc>
              <w:tc>
                <w:tcPr>
                  <w:tcW w:w="79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覆盖+洒水+及时绿化</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t>96.36</w:t>
                  </w:r>
                  <w:r>
                    <w:rPr>
                      <w:rFonts w:hint="eastAsia"/>
                    </w:rPr>
                    <w:t>%</w:t>
                  </w:r>
                </w:p>
              </w:tc>
              <w:tc>
                <w:tcPr>
                  <w:tcW w:w="61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rPr>
                    <w:t>7200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4.096</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t>29.49</w:t>
                  </w:r>
                </w:p>
              </w:tc>
              <w:tc>
                <w:tcPr>
                  <w:tcW w:w="94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6000</w:t>
                  </w:r>
                </w:p>
              </w:tc>
              <w:tc>
                <w:tcPr>
                  <w:tcW w:w="73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43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成品堆场</w:t>
                  </w:r>
                </w:p>
              </w:tc>
              <w:tc>
                <w:tcPr>
                  <w:tcW w:w="718"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堆场扬尘</w:t>
                  </w:r>
                </w:p>
              </w:tc>
              <w:tc>
                <w:tcPr>
                  <w:tcW w:w="487" w:type="dxa"/>
                  <w:shd w:val="clear" w:color="auto" w:fill="auto"/>
                  <w:vAlign w:val="center"/>
                </w:tcPr>
                <w:p>
                  <w:pPr>
                    <w:autoSpaceDE w:val="0"/>
                    <w:autoSpaceDN w:val="0"/>
                    <w:spacing w:line="360" w:lineRule="exact"/>
                    <w:jc w:val="center"/>
                  </w:pPr>
                  <w:r>
                    <w:rPr>
                      <w:rFonts w:hint="eastAsia"/>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w:t>
                  </w:r>
                  <w:r>
                    <w:rPr>
                      <w:rFonts w:cs="宋体"/>
                      <w:kern w:val="0"/>
                      <w:szCs w:val="22"/>
                      <w:lang w:val="zh-CN" w:bidi="zh-CN"/>
                    </w:rPr>
                    <w:t>36.41</w:t>
                  </w:r>
                </w:p>
              </w:tc>
              <w:tc>
                <w:tcPr>
                  <w:tcW w:w="826" w:type="dxa"/>
                  <w:shd w:val="clear" w:color="auto" w:fill="auto"/>
                  <w:vAlign w:val="center"/>
                </w:tcPr>
                <w:p>
                  <w:pPr>
                    <w:autoSpaceDE w:val="0"/>
                    <w:autoSpaceDN w:val="0"/>
                    <w:spacing w:line="360" w:lineRule="exact"/>
                    <w:jc w:val="center"/>
                  </w:pPr>
                  <w:r>
                    <w:rPr>
                      <w:rFonts w:hint="eastAsia"/>
                    </w:rPr>
                    <w:t>9</w:t>
                  </w:r>
                  <w:r>
                    <w:t>82.14</w:t>
                  </w:r>
                </w:p>
              </w:tc>
              <w:tc>
                <w:tcPr>
                  <w:tcW w:w="790" w:type="dxa"/>
                  <w:shd w:val="clear" w:color="auto" w:fill="auto"/>
                  <w:vAlign w:val="center"/>
                </w:tcPr>
                <w:p>
                  <w:pPr>
                    <w:autoSpaceDE w:val="0"/>
                    <w:autoSpaceDN w:val="0"/>
                    <w:spacing w:line="360" w:lineRule="exact"/>
                    <w:jc w:val="center"/>
                  </w:pPr>
                  <w:r>
                    <w:rPr>
                      <w:rFonts w:hint="eastAsia"/>
                    </w:rPr>
                    <w:t>厂房密闭+洒水</w:t>
                  </w:r>
                </w:p>
              </w:tc>
              <w:tc>
                <w:tcPr>
                  <w:tcW w:w="730" w:type="dxa"/>
                  <w:shd w:val="clear" w:color="auto" w:fill="auto"/>
                  <w:vAlign w:val="center"/>
                </w:tcPr>
                <w:p>
                  <w:pPr>
                    <w:autoSpaceDE w:val="0"/>
                    <w:autoSpaceDN w:val="0"/>
                    <w:spacing w:line="360" w:lineRule="exact"/>
                    <w:jc w:val="center"/>
                  </w:pPr>
                  <w:r>
                    <w:rPr>
                      <w:rFonts w:hint="eastAsia"/>
                    </w:rPr>
                    <w:t>9</w:t>
                  </w:r>
                  <w:r>
                    <w:t>9.74%</w:t>
                  </w:r>
                </w:p>
              </w:tc>
              <w:tc>
                <w:tcPr>
                  <w:tcW w:w="611" w:type="dxa"/>
                  <w:shd w:val="clear" w:color="auto" w:fill="auto"/>
                  <w:vAlign w:val="center"/>
                </w:tcPr>
                <w:p>
                  <w:pPr>
                    <w:autoSpaceDE w:val="0"/>
                    <w:autoSpaceDN w:val="0"/>
                    <w:spacing w:line="360" w:lineRule="exact"/>
                    <w:jc w:val="center"/>
                  </w:pPr>
                  <w:r>
                    <w:rPr>
                      <w:rFonts w:hint="eastAsia"/>
                    </w:rPr>
                    <w:t>7</w:t>
                  </w:r>
                  <w:r>
                    <w:t>200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0</w:t>
                  </w:r>
                  <w:r>
                    <w:rPr>
                      <w:rFonts w:cs="宋体"/>
                      <w:kern w:val="0"/>
                      <w:szCs w:val="22"/>
                      <w:lang w:val="zh-CN" w:bidi="zh-CN"/>
                    </w:rPr>
                    <w:t>.354</w:t>
                  </w:r>
                </w:p>
              </w:tc>
              <w:tc>
                <w:tcPr>
                  <w:tcW w:w="769" w:type="dxa"/>
                  <w:shd w:val="clear" w:color="auto" w:fill="auto"/>
                  <w:vAlign w:val="center"/>
                </w:tcPr>
                <w:p>
                  <w:pPr>
                    <w:autoSpaceDE w:val="0"/>
                    <w:autoSpaceDN w:val="0"/>
                    <w:spacing w:line="360" w:lineRule="exact"/>
                    <w:jc w:val="center"/>
                  </w:pPr>
                  <w:r>
                    <w:rPr>
                      <w:rFonts w:hint="eastAsia"/>
                    </w:rPr>
                    <w:t>2</w:t>
                  </w:r>
                  <w:r>
                    <w:t>.55</w:t>
                  </w:r>
                </w:p>
              </w:tc>
              <w:tc>
                <w:tcPr>
                  <w:tcW w:w="94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4</w:t>
                  </w:r>
                  <w:r>
                    <w:rPr>
                      <w:rFonts w:cs="宋体"/>
                      <w:kern w:val="0"/>
                      <w:szCs w:val="22"/>
                      <w:lang w:val="zh-CN" w:bidi="zh-CN"/>
                    </w:rPr>
                    <w:t>5105</w:t>
                  </w:r>
                </w:p>
              </w:tc>
              <w:tc>
                <w:tcPr>
                  <w:tcW w:w="73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7</w:t>
                  </w:r>
                  <w:r>
                    <w:rPr>
                      <w:rFonts w:cs="宋体"/>
                      <w:kern w:val="0"/>
                      <w:szCs w:val="22"/>
                      <w:lang w:val="zh-CN" w:bidi="zh-CN"/>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39" w:hRule="atLeast"/>
              </w:trPr>
              <w:tc>
                <w:tcPr>
                  <w:tcW w:w="439"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工业场地</w:t>
                  </w:r>
                </w:p>
              </w:tc>
              <w:tc>
                <w:tcPr>
                  <w:tcW w:w="718"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破碎筛分未收集</w:t>
                  </w:r>
                </w:p>
              </w:tc>
              <w:tc>
                <w:tcPr>
                  <w:tcW w:w="487"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TSP</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49.35</w:t>
                  </w:r>
                </w:p>
              </w:tc>
              <w:tc>
                <w:tcPr>
                  <w:tcW w:w="826"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236.882</w:t>
                  </w:r>
                </w:p>
              </w:tc>
              <w:tc>
                <w:tcPr>
                  <w:tcW w:w="79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1"/>
                      <w:szCs w:val="21"/>
                    </w:rPr>
                    <w:t>密闭车间+洒水降尘处理效率</w:t>
                  </w:r>
                </w:p>
              </w:tc>
              <w:tc>
                <w:tcPr>
                  <w:tcW w:w="730"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99.74</w:t>
                  </w:r>
                  <w:r>
                    <w:rPr>
                      <w:rFonts w:hint="eastAsia" w:cs="宋体"/>
                      <w:kern w:val="0"/>
                      <w:szCs w:val="22"/>
                      <w:lang w:val="zh-CN" w:bidi="zh-CN"/>
                    </w:rPr>
                    <w:t>%</w:t>
                  </w:r>
                </w:p>
              </w:tc>
              <w:tc>
                <w:tcPr>
                  <w:tcW w:w="61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4800</w:t>
                  </w:r>
                </w:p>
              </w:tc>
              <w:tc>
                <w:tcPr>
                  <w:tcW w:w="915"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0.129</w:t>
                  </w:r>
                </w:p>
              </w:tc>
              <w:tc>
                <w:tcPr>
                  <w:tcW w:w="769" w:type="dxa"/>
                  <w:shd w:val="clear" w:color="auto" w:fill="auto"/>
                  <w:vAlign w:val="center"/>
                </w:tcPr>
                <w:p>
                  <w:pPr>
                    <w:autoSpaceDE w:val="0"/>
                    <w:autoSpaceDN w:val="0"/>
                    <w:spacing w:line="360" w:lineRule="exact"/>
                    <w:jc w:val="center"/>
                    <w:rPr>
                      <w:rFonts w:cs="宋体"/>
                      <w:kern w:val="0"/>
                      <w:szCs w:val="22"/>
                      <w:lang w:val="zh-CN" w:bidi="zh-CN"/>
                    </w:rPr>
                  </w:pPr>
                  <w:r>
                    <w:rPr>
                      <w:rFonts w:cs="宋体"/>
                      <w:kern w:val="0"/>
                      <w:szCs w:val="22"/>
                      <w:lang w:val="zh-CN" w:bidi="zh-CN"/>
                    </w:rPr>
                    <w:t>0.616</w:t>
                  </w:r>
                </w:p>
              </w:tc>
              <w:tc>
                <w:tcPr>
                  <w:tcW w:w="945"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77764</w:t>
                  </w:r>
                </w:p>
              </w:tc>
              <w:tc>
                <w:tcPr>
                  <w:tcW w:w="737" w:type="dxa"/>
                  <w:shd w:val="clear" w:color="auto" w:fill="auto"/>
                  <w:vAlign w:val="center"/>
                </w:tcPr>
                <w:p>
                  <w:pPr>
                    <w:autoSpaceDE w:val="0"/>
                    <w:autoSpaceDN w:val="0"/>
                    <w:spacing w:line="360" w:lineRule="exact"/>
                    <w:jc w:val="center"/>
                    <w:rPr>
                      <w:rFonts w:cs="宋体"/>
                      <w:w w:val="99"/>
                      <w:kern w:val="0"/>
                      <w:szCs w:val="22"/>
                      <w:lang w:val="zh-CN" w:bidi="zh-CN"/>
                    </w:rPr>
                  </w:pPr>
                  <w:r>
                    <w:rPr>
                      <w:rFonts w:hint="eastAsia" w:cs="宋体"/>
                      <w:w w:val="99"/>
                      <w:kern w:val="0"/>
                      <w:szCs w:val="22"/>
                      <w:lang w:val="zh-CN" w:bidi="zh-CN"/>
                    </w:rPr>
                    <w:t>6m</w:t>
                  </w:r>
                </w:p>
              </w:tc>
            </w:tr>
          </w:tbl>
          <w:p>
            <w:pPr>
              <w:spacing w:line="360" w:lineRule="auto"/>
              <w:ind w:firstLine="480" w:firstLineChars="200"/>
              <w:rPr>
                <w:sz w:val="24"/>
              </w:rPr>
            </w:pPr>
            <w:r>
              <w:rPr>
                <w:rFonts w:hint="eastAsia"/>
                <w:sz w:val="24"/>
              </w:rPr>
              <w:t>本项目废气非正常排放源强见下表。</w:t>
            </w:r>
          </w:p>
          <w:p>
            <w:pPr>
              <w:pStyle w:val="50"/>
              <w:numPr>
                <w:ilvl w:val="0"/>
                <w:numId w:val="2"/>
              </w:numPr>
              <w:snapToGrid w:val="0"/>
              <w:spacing w:line="240" w:lineRule="auto"/>
              <w:ind w:firstLineChars="0"/>
              <w:jc w:val="center"/>
              <w:rPr>
                <w:b/>
                <w:bCs/>
              </w:rPr>
            </w:pPr>
            <w:r>
              <w:rPr>
                <w:rFonts w:hint="eastAsia"/>
                <w:b/>
                <w:bCs/>
              </w:rPr>
              <w:t>本项目废气非正常排放源强</w:t>
            </w:r>
          </w:p>
          <w:tbl>
            <w:tblPr>
              <w:tblStyle w:val="22"/>
              <w:tblW w:w="887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50"/>
              <w:gridCol w:w="1189"/>
              <w:gridCol w:w="946"/>
              <w:gridCol w:w="1394"/>
              <w:gridCol w:w="1246"/>
              <w:gridCol w:w="849"/>
              <w:gridCol w:w="684"/>
              <w:gridCol w:w="14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150" w:type="dxa"/>
                  <w:shd w:val="clear" w:color="auto" w:fill="auto"/>
                  <w:vAlign w:val="center"/>
                </w:tcPr>
                <w:p>
                  <w:pPr>
                    <w:pStyle w:val="97"/>
                  </w:pPr>
                  <w:r>
                    <w:rPr>
                      <w:rFonts w:hint="eastAsia"/>
                    </w:rPr>
                    <w:t>非正常排放源</w:t>
                  </w:r>
                </w:p>
              </w:tc>
              <w:tc>
                <w:tcPr>
                  <w:tcW w:w="1189" w:type="dxa"/>
                  <w:shd w:val="clear" w:color="auto" w:fill="auto"/>
                  <w:vAlign w:val="center"/>
                </w:tcPr>
                <w:p>
                  <w:pPr>
                    <w:pStyle w:val="97"/>
                  </w:pPr>
                  <w:r>
                    <w:rPr>
                      <w:rFonts w:hint="eastAsia"/>
                    </w:rPr>
                    <w:t>非正常排放原因</w:t>
                  </w:r>
                </w:p>
              </w:tc>
              <w:tc>
                <w:tcPr>
                  <w:tcW w:w="946" w:type="dxa"/>
                  <w:shd w:val="clear" w:color="auto" w:fill="auto"/>
                  <w:vAlign w:val="center"/>
                </w:tcPr>
                <w:p>
                  <w:pPr>
                    <w:pStyle w:val="97"/>
                  </w:pPr>
                  <w:r>
                    <w:rPr>
                      <w:rFonts w:hint="eastAsia"/>
                    </w:rPr>
                    <w:t>污染物</w:t>
                  </w:r>
                </w:p>
              </w:tc>
              <w:tc>
                <w:tcPr>
                  <w:tcW w:w="1394" w:type="dxa"/>
                  <w:shd w:val="clear" w:color="auto" w:fill="auto"/>
                  <w:vAlign w:val="center"/>
                </w:tcPr>
                <w:p>
                  <w:pPr>
                    <w:pStyle w:val="97"/>
                  </w:pPr>
                  <w:r>
                    <w:rPr>
                      <w:rFonts w:hint="eastAsia"/>
                    </w:rPr>
                    <w:t>排放浓度/（mg/m</w:t>
                  </w:r>
                  <w:r>
                    <w:rPr>
                      <w:rFonts w:hint="eastAsia"/>
                      <w:vertAlign w:val="superscript"/>
                    </w:rPr>
                    <w:t>3</w:t>
                  </w:r>
                  <w:r>
                    <w:rPr>
                      <w:rFonts w:hint="eastAsia"/>
                    </w:rPr>
                    <w:t>）</w:t>
                  </w:r>
                </w:p>
              </w:tc>
              <w:tc>
                <w:tcPr>
                  <w:tcW w:w="1246" w:type="dxa"/>
                  <w:shd w:val="clear" w:color="auto" w:fill="auto"/>
                  <w:vAlign w:val="center"/>
                </w:tcPr>
                <w:p>
                  <w:pPr>
                    <w:pStyle w:val="97"/>
                  </w:pPr>
                  <w:r>
                    <w:rPr>
                      <w:rFonts w:hint="eastAsia"/>
                    </w:rPr>
                    <w:t>排放速率/（kg/h）</w:t>
                  </w:r>
                </w:p>
              </w:tc>
              <w:tc>
                <w:tcPr>
                  <w:tcW w:w="849" w:type="dxa"/>
                  <w:shd w:val="clear" w:color="auto" w:fill="auto"/>
                  <w:vAlign w:val="center"/>
                </w:tcPr>
                <w:p>
                  <w:pPr>
                    <w:pStyle w:val="97"/>
                  </w:pPr>
                  <w:r>
                    <w:rPr>
                      <w:rFonts w:hint="eastAsia"/>
                    </w:rPr>
                    <w:t>单次持续时间</w:t>
                  </w:r>
                </w:p>
              </w:tc>
              <w:tc>
                <w:tcPr>
                  <w:tcW w:w="684" w:type="dxa"/>
                  <w:shd w:val="clear" w:color="auto" w:fill="auto"/>
                  <w:vAlign w:val="center"/>
                </w:tcPr>
                <w:p>
                  <w:pPr>
                    <w:pStyle w:val="97"/>
                  </w:pPr>
                  <w:r>
                    <w:rPr>
                      <w:rFonts w:hint="eastAsia"/>
                    </w:rPr>
                    <w:t>年发生频次</w:t>
                  </w:r>
                </w:p>
              </w:tc>
              <w:tc>
                <w:tcPr>
                  <w:tcW w:w="1420" w:type="dxa"/>
                  <w:shd w:val="clear" w:color="auto" w:fill="auto"/>
                  <w:vAlign w:val="center"/>
                </w:tcPr>
                <w:p>
                  <w:pPr>
                    <w:pStyle w:val="97"/>
                  </w:pPr>
                  <w:r>
                    <w:rPr>
                      <w:rFonts w:hint="eastAsia"/>
                    </w:rPr>
                    <w:t>拟采取的措施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7" w:hRule="atLeast"/>
                <w:jc w:val="center"/>
              </w:trPr>
              <w:tc>
                <w:tcPr>
                  <w:tcW w:w="1150" w:type="dxa"/>
                  <w:shd w:val="clear" w:color="auto" w:fill="auto"/>
                  <w:vAlign w:val="center"/>
                </w:tcPr>
                <w:p>
                  <w:pPr>
                    <w:pStyle w:val="97"/>
                  </w:pPr>
                  <w:r>
                    <w:rPr>
                      <w:rFonts w:hint="eastAsia"/>
                    </w:rPr>
                    <w:t>DA001</w:t>
                  </w:r>
                </w:p>
              </w:tc>
              <w:tc>
                <w:tcPr>
                  <w:tcW w:w="1189" w:type="dxa"/>
                  <w:shd w:val="clear" w:color="auto" w:fill="auto"/>
                  <w:vAlign w:val="center"/>
                </w:tcPr>
                <w:p>
                  <w:pPr>
                    <w:pStyle w:val="97"/>
                  </w:pPr>
                  <w:r>
                    <w:rPr>
                      <w:rFonts w:hint="eastAsia"/>
                    </w:rPr>
                    <w:t>环保设施发生故障</w:t>
                  </w:r>
                </w:p>
              </w:tc>
              <w:tc>
                <w:tcPr>
                  <w:tcW w:w="946" w:type="dxa"/>
                  <w:shd w:val="clear" w:color="auto" w:fill="auto"/>
                  <w:vAlign w:val="center"/>
                </w:tcPr>
                <w:p>
                  <w:pPr>
                    <w:pStyle w:val="97"/>
                  </w:pPr>
                  <w:r>
                    <w:rPr>
                      <w:rFonts w:hint="eastAsia"/>
                    </w:rPr>
                    <w:t>颗粒物</w:t>
                  </w:r>
                </w:p>
              </w:tc>
              <w:tc>
                <w:tcPr>
                  <w:tcW w:w="1394" w:type="dxa"/>
                  <w:shd w:val="clear" w:color="auto" w:fill="auto"/>
                  <w:vAlign w:val="center"/>
                </w:tcPr>
                <w:p>
                  <w:pPr>
                    <w:pStyle w:val="97"/>
                  </w:pPr>
                  <w:r>
                    <w:rPr>
                      <w:kern w:val="1"/>
                    </w:rPr>
                    <w:t>4037.81</w:t>
                  </w:r>
                </w:p>
              </w:tc>
              <w:tc>
                <w:tcPr>
                  <w:tcW w:w="1246" w:type="dxa"/>
                  <w:shd w:val="clear" w:color="auto" w:fill="auto"/>
                  <w:vAlign w:val="center"/>
                </w:tcPr>
                <w:p>
                  <w:pPr>
                    <w:pStyle w:val="97"/>
                  </w:pPr>
                  <w:r>
                    <w:rPr>
                      <w:kern w:val="1"/>
                    </w:rPr>
                    <w:t>4037.81</w:t>
                  </w:r>
                </w:p>
              </w:tc>
              <w:tc>
                <w:tcPr>
                  <w:tcW w:w="849" w:type="dxa"/>
                  <w:shd w:val="clear" w:color="auto" w:fill="auto"/>
                  <w:vAlign w:val="center"/>
                </w:tcPr>
                <w:p>
                  <w:pPr>
                    <w:pStyle w:val="97"/>
                  </w:pPr>
                  <w:r>
                    <w:rPr>
                      <w:rFonts w:hint="eastAsia"/>
                    </w:rPr>
                    <w:t>0.5h</w:t>
                  </w:r>
                </w:p>
              </w:tc>
              <w:tc>
                <w:tcPr>
                  <w:tcW w:w="684" w:type="dxa"/>
                  <w:shd w:val="clear" w:color="auto" w:fill="auto"/>
                  <w:vAlign w:val="center"/>
                </w:tcPr>
                <w:p>
                  <w:pPr>
                    <w:pStyle w:val="97"/>
                  </w:pPr>
                  <w:r>
                    <w:rPr>
                      <w:rFonts w:hint="eastAsia"/>
                    </w:rPr>
                    <w:t>1次</w:t>
                  </w:r>
                </w:p>
              </w:tc>
              <w:tc>
                <w:tcPr>
                  <w:tcW w:w="1420" w:type="dxa"/>
                  <w:shd w:val="clear" w:color="auto" w:fill="auto"/>
                  <w:vAlign w:val="center"/>
                </w:tcPr>
                <w:p>
                  <w:pPr>
                    <w:pStyle w:val="97"/>
                  </w:pPr>
                  <w:r>
                    <w:rPr>
                      <w:rFonts w:hint="eastAsia"/>
                    </w:rPr>
                    <w:t>生产工艺设备停止运行，环保设备维修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7" w:hRule="atLeast"/>
                <w:jc w:val="center"/>
              </w:trPr>
              <w:tc>
                <w:tcPr>
                  <w:tcW w:w="1150" w:type="dxa"/>
                  <w:shd w:val="clear" w:color="auto" w:fill="auto"/>
                  <w:vAlign w:val="center"/>
                </w:tcPr>
                <w:p>
                  <w:pPr>
                    <w:pStyle w:val="97"/>
                  </w:pPr>
                  <w:r>
                    <w:rPr>
                      <w:rFonts w:hint="eastAsia"/>
                    </w:rPr>
                    <w:t>DA002</w:t>
                  </w:r>
                </w:p>
              </w:tc>
              <w:tc>
                <w:tcPr>
                  <w:tcW w:w="1189" w:type="dxa"/>
                  <w:shd w:val="clear" w:color="auto" w:fill="auto"/>
                  <w:vAlign w:val="center"/>
                </w:tcPr>
                <w:p>
                  <w:pPr>
                    <w:pStyle w:val="97"/>
                  </w:pPr>
                  <w:r>
                    <w:rPr>
                      <w:rFonts w:hint="eastAsia"/>
                    </w:rPr>
                    <w:t>环保设施发生故障</w:t>
                  </w:r>
                </w:p>
              </w:tc>
              <w:tc>
                <w:tcPr>
                  <w:tcW w:w="946" w:type="dxa"/>
                  <w:shd w:val="clear" w:color="auto" w:fill="auto"/>
                  <w:vAlign w:val="center"/>
                </w:tcPr>
                <w:p>
                  <w:pPr>
                    <w:pStyle w:val="97"/>
                  </w:pPr>
                  <w:r>
                    <w:rPr>
                      <w:rFonts w:hint="eastAsia"/>
                    </w:rPr>
                    <w:t>颗粒物</w:t>
                  </w:r>
                </w:p>
              </w:tc>
              <w:tc>
                <w:tcPr>
                  <w:tcW w:w="1394" w:type="dxa"/>
                  <w:shd w:val="clear" w:color="auto" w:fill="auto"/>
                  <w:vAlign w:val="center"/>
                </w:tcPr>
                <w:p>
                  <w:pPr>
                    <w:pStyle w:val="97"/>
                  </w:pPr>
                  <w:r>
                    <w:rPr>
                      <w:kern w:val="1"/>
                    </w:rPr>
                    <w:t>4037.81</w:t>
                  </w:r>
                </w:p>
              </w:tc>
              <w:tc>
                <w:tcPr>
                  <w:tcW w:w="1246" w:type="dxa"/>
                  <w:shd w:val="clear" w:color="auto" w:fill="auto"/>
                  <w:vAlign w:val="center"/>
                </w:tcPr>
                <w:p>
                  <w:pPr>
                    <w:pStyle w:val="97"/>
                  </w:pPr>
                  <w:r>
                    <w:rPr>
                      <w:kern w:val="1"/>
                    </w:rPr>
                    <w:t>403.781</w:t>
                  </w:r>
                </w:p>
              </w:tc>
              <w:tc>
                <w:tcPr>
                  <w:tcW w:w="849" w:type="dxa"/>
                  <w:shd w:val="clear" w:color="auto" w:fill="auto"/>
                  <w:vAlign w:val="center"/>
                </w:tcPr>
                <w:p>
                  <w:pPr>
                    <w:pStyle w:val="97"/>
                  </w:pPr>
                  <w:r>
                    <w:rPr>
                      <w:rFonts w:hint="eastAsia"/>
                    </w:rPr>
                    <w:t>0.5h</w:t>
                  </w:r>
                </w:p>
              </w:tc>
              <w:tc>
                <w:tcPr>
                  <w:tcW w:w="684" w:type="dxa"/>
                  <w:shd w:val="clear" w:color="auto" w:fill="auto"/>
                  <w:vAlign w:val="center"/>
                </w:tcPr>
                <w:p>
                  <w:pPr>
                    <w:pStyle w:val="97"/>
                  </w:pPr>
                  <w:r>
                    <w:rPr>
                      <w:rFonts w:hint="eastAsia"/>
                    </w:rPr>
                    <w:t>1次</w:t>
                  </w:r>
                </w:p>
              </w:tc>
              <w:tc>
                <w:tcPr>
                  <w:tcW w:w="1420" w:type="dxa"/>
                  <w:shd w:val="clear" w:color="auto" w:fill="auto"/>
                  <w:vAlign w:val="center"/>
                </w:tcPr>
                <w:p>
                  <w:pPr>
                    <w:pStyle w:val="97"/>
                  </w:pPr>
                  <w:r>
                    <w:rPr>
                      <w:rFonts w:hint="eastAsia"/>
                    </w:rPr>
                    <w:t>生产工艺设备停止运行，环保设备维修</w:t>
                  </w:r>
                </w:p>
              </w:tc>
            </w:tr>
          </w:tbl>
          <w:p>
            <w:pPr>
              <w:pStyle w:val="63"/>
              <w:ind w:firstLine="480"/>
            </w:pPr>
            <w:r>
              <w:rPr>
                <w:rFonts w:hint="eastAsia"/>
              </w:rPr>
              <w:t>6）废气治理措施可行性分析</w:t>
            </w:r>
          </w:p>
          <w:p>
            <w:pPr>
              <w:pStyle w:val="63"/>
              <w:ind w:firstLine="480"/>
            </w:pPr>
            <w:r>
              <w:rPr>
                <w:rFonts w:hint="eastAsia"/>
              </w:rPr>
              <w:t>根据《排污许可证申请与核发技术规范 总则》（HJ 942-2018）中颗粒物粉尘采用袋式除尘器处理技术为可行措施，根据《1011石灰石石膏开采行业系数手册》末端治理技术名称为布袋除尘，本项目石料、白云岩破碎废气粉尘治理措施为旋风除尘器+布袋除尘器组合废气处理措施，故项目防治措施工艺技术可行。</w:t>
            </w:r>
          </w:p>
          <w:p>
            <w:pPr>
              <w:pStyle w:val="63"/>
              <w:ind w:firstLine="480"/>
            </w:pPr>
            <w:r>
              <w:rPr>
                <w:rFonts w:hint="eastAsia"/>
              </w:rPr>
              <w:t>7）废气排放口基本情况</w:t>
            </w:r>
          </w:p>
          <w:p>
            <w:pPr>
              <w:pStyle w:val="63"/>
              <w:ind w:firstLine="480"/>
            </w:pPr>
            <w:r>
              <w:rPr>
                <w:rFonts w:hint="eastAsia"/>
              </w:rPr>
              <w:t>本项目废气排放口基本情况见下表。</w:t>
            </w:r>
          </w:p>
          <w:p>
            <w:pPr>
              <w:pStyle w:val="50"/>
              <w:numPr>
                <w:ilvl w:val="0"/>
                <w:numId w:val="2"/>
              </w:numPr>
              <w:snapToGrid w:val="0"/>
              <w:spacing w:line="240" w:lineRule="auto"/>
              <w:ind w:firstLineChars="0"/>
              <w:jc w:val="center"/>
              <w:rPr>
                <w:b/>
                <w:bCs/>
              </w:rPr>
            </w:pPr>
            <w:r>
              <w:rPr>
                <w:rFonts w:hint="eastAsia"/>
              </w:rPr>
              <w:t xml:space="preserve">   </w:t>
            </w:r>
            <w:r>
              <w:rPr>
                <w:rFonts w:hint="eastAsia"/>
                <w:b/>
                <w:bCs/>
              </w:rPr>
              <w:t>本项目废气排放口基本情况</w:t>
            </w:r>
          </w:p>
          <w:tbl>
            <w:tblPr>
              <w:tblStyle w:val="22"/>
              <w:tblW w:w="888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39"/>
              <w:gridCol w:w="735"/>
              <w:gridCol w:w="1393"/>
              <w:gridCol w:w="968"/>
              <w:gridCol w:w="1522"/>
              <w:gridCol w:w="1402"/>
              <w:gridCol w:w="600"/>
              <w:gridCol w:w="819"/>
              <w:gridCol w:w="110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8" w:hRule="atLeast"/>
                <w:jc w:val="center"/>
              </w:trPr>
              <w:tc>
                <w:tcPr>
                  <w:tcW w:w="339" w:type="dxa"/>
                  <w:vMerge w:val="restart"/>
                  <w:shd w:val="clear" w:color="auto" w:fill="auto"/>
                  <w:vAlign w:val="center"/>
                </w:tcPr>
                <w:p>
                  <w:pPr>
                    <w:snapToGrid w:val="0"/>
                    <w:spacing w:before="60" w:after="60" w:line="360" w:lineRule="exact"/>
                    <w:jc w:val="center"/>
                    <w:rPr>
                      <w:b/>
                      <w:bCs/>
                      <w:szCs w:val="21"/>
                    </w:rPr>
                  </w:pPr>
                  <w:r>
                    <w:rPr>
                      <w:rFonts w:hint="eastAsia"/>
                      <w:b/>
                      <w:bCs/>
                      <w:szCs w:val="21"/>
                    </w:rPr>
                    <w:t>序号</w:t>
                  </w:r>
                </w:p>
              </w:tc>
              <w:tc>
                <w:tcPr>
                  <w:tcW w:w="735" w:type="dxa"/>
                  <w:vMerge w:val="restart"/>
                  <w:shd w:val="clear" w:color="auto" w:fill="auto"/>
                  <w:vAlign w:val="center"/>
                </w:tcPr>
                <w:p>
                  <w:pPr>
                    <w:snapToGrid w:val="0"/>
                    <w:spacing w:before="60" w:after="60" w:line="360" w:lineRule="exact"/>
                    <w:jc w:val="center"/>
                    <w:rPr>
                      <w:b/>
                      <w:bCs/>
                      <w:szCs w:val="21"/>
                    </w:rPr>
                  </w:pPr>
                  <w:r>
                    <w:rPr>
                      <w:rFonts w:hint="eastAsia"/>
                      <w:b/>
                      <w:bCs/>
                      <w:szCs w:val="21"/>
                    </w:rPr>
                    <w:t>编号</w:t>
                  </w:r>
                </w:p>
              </w:tc>
              <w:tc>
                <w:tcPr>
                  <w:tcW w:w="1393" w:type="dxa"/>
                  <w:vMerge w:val="restart"/>
                  <w:shd w:val="clear" w:color="auto" w:fill="auto"/>
                  <w:vAlign w:val="center"/>
                </w:tcPr>
                <w:p>
                  <w:pPr>
                    <w:snapToGrid w:val="0"/>
                    <w:spacing w:before="60" w:after="60" w:line="360" w:lineRule="exact"/>
                    <w:jc w:val="center"/>
                    <w:rPr>
                      <w:b/>
                      <w:bCs/>
                      <w:szCs w:val="21"/>
                    </w:rPr>
                  </w:pPr>
                  <w:r>
                    <w:rPr>
                      <w:rFonts w:hint="eastAsia"/>
                      <w:b/>
                      <w:bCs/>
                      <w:szCs w:val="21"/>
                    </w:rPr>
                    <w:t>排放口名称</w:t>
                  </w:r>
                </w:p>
              </w:tc>
              <w:tc>
                <w:tcPr>
                  <w:tcW w:w="968" w:type="dxa"/>
                  <w:vMerge w:val="restart"/>
                  <w:shd w:val="clear" w:color="auto" w:fill="auto"/>
                  <w:vAlign w:val="center"/>
                </w:tcPr>
                <w:p>
                  <w:pPr>
                    <w:snapToGrid w:val="0"/>
                    <w:spacing w:before="60" w:after="60" w:line="360" w:lineRule="exact"/>
                    <w:jc w:val="center"/>
                    <w:rPr>
                      <w:b/>
                      <w:bCs/>
                      <w:szCs w:val="21"/>
                    </w:rPr>
                  </w:pPr>
                  <w:r>
                    <w:rPr>
                      <w:rFonts w:hint="eastAsia"/>
                      <w:b/>
                      <w:bCs/>
                      <w:szCs w:val="21"/>
                    </w:rPr>
                    <w:t>污染物</w:t>
                  </w:r>
                </w:p>
              </w:tc>
              <w:tc>
                <w:tcPr>
                  <w:tcW w:w="2924" w:type="dxa"/>
                  <w:gridSpan w:val="2"/>
                  <w:shd w:val="clear" w:color="auto" w:fill="auto"/>
                  <w:vAlign w:val="center"/>
                </w:tcPr>
                <w:p>
                  <w:pPr>
                    <w:snapToGrid w:val="0"/>
                    <w:spacing w:before="60" w:after="60" w:line="360" w:lineRule="exact"/>
                    <w:jc w:val="center"/>
                    <w:rPr>
                      <w:b/>
                      <w:bCs/>
                      <w:szCs w:val="21"/>
                    </w:rPr>
                  </w:pPr>
                  <w:r>
                    <w:rPr>
                      <w:rFonts w:hint="eastAsia"/>
                      <w:b/>
                      <w:bCs/>
                      <w:szCs w:val="21"/>
                    </w:rPr>
                    <w:t>排气筒位置</w:t>
                  </w:r>
                </w:p>
              </w:tc>
              <w:tc>
                <w:tcPr>
                  <w:tcW w:w="600" w:type="dxa"/>
                  <w:vMerge w:val="restart"/>
                  <w:shd w:val="clear" w:color="auto" w:fill="auto"/>
                  <w:vAlign w:val="center"/>
                </w:tcPr>
                <w:p>
                  <w:pPr>
                    <w:snapToGrid w:val="0"/>
                    <w:spacing w:before="60" w:after="60" w:line="360" w:lineRule="exact"/>
                    <w:jc w:val="center"/>
                    <w:rPr>
                      <w:b/>
                      <w:bCs/>
                      <w:szCs w:val="21"/>
                    </w:rPr>
                  </w:pPr>
                  <w:r>
                    <w:rPr>
                      <w:rFonts w:hint="eastAsia"/>
                      <w:b/>
                      <w:bCs/>
                      <w:szCs w:val="21"/>
                    </w:rPr>
                    <w:t>排气筒高度m</w:t>
                  </w:r>
                </w:p>
              </w:tc>
              <w:tc>
                <w:tcPr>
                  <w:tcW w:w="819" w:type="dxa"/>
                  <w:vMerge w:val="restart"/>
                  <w:shd w:val="clear" w:color="auto" w:fill="auto"/>
                  <w:vAlign w:val="center"/>
                </w:tcPr>
                <w:p>
                  <w:pPr>
                    <w:snapToGrid w:val="0"/>
                    <w:spacing w:before="60" w:after="60" w:line="360" w:lineRule="exact"/>
                    <w:jc w:val="center"/>
                    <w:rPr>
                      <w:b/>
                      <w:bCs/>
                      <w:szCs w:val="21"/>
                    </w:rPr>
                  </w:pPr>
                  <w:r>
                    <w:rPr>
                      <w:rFonts w:hint="eastAsia"/>
                      <w:b/>
                      <w:bCs/>
                      <w:szCs w:val="21"/>
                    </w:rPr>
                    <w:t>排气筒出口内径m</w:t>
                  </w:r>
                </w:p>
              </w:tc>
              <w:tc>
                <w:tcPr>
                  <w:tcW w:w="1104" w:type="dxa"/>
                  <w:vMerge w:val="restart"/>
                  <w:shd w:val="clear" w:color="auto" w:fill="auto"/>
                  <w:vAlign w:val="center"/>
                </w:tcPr>
                <w:p>
                  <w:pPr>
                    <w:snapToGrid w:val="0"/>
                    <w:spacing w:before="60" w:after="60" w:line="360" w:lineRule="exact"/>
                    <w:jc w:val="center"/>
                    <w:rPr>
                      <w:b/>
                      <w:bCs/>
                      <w:szCs w:val="21"/>
                    </w:rPr>
                  </w:pPr>
                  <w:r>
                    <w:rPr>
                      <w:rFonts w:hint="eastAsia"/>
                      <w:b/>
                      <w:bCs/>
                      <w:szCs w:val="21"/>
                    </w:rPr>
                    <w:t>排气温度</w:t>
                  </w:r>
                  <w:r>
                    <w:rPr>
                      <w:rFonts w:hint="eastAsia" w:cs="宋体"/>
                      <w:b/>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9" w:hRule="atLeast"/>
                <w:jc w:val="center"/>
              </w:trPr>
              <w:tc>
                <w:tcPr>
                  <w:tcW w:w="339" w:type="dxa"/>
                  <w:vMerge w:val="continue"/>
                  <w:shd w:val="clear" w:color="auto" w:fill="auto"/>
                  <w:vAlign w:val="center"/>
                </w:tcPr>
                <w:p>
                  <w:pPr>
                    <w:snapToGrid w:val="0"/>
                    <w:spacing w:before="60" w:after="60" w:line="360" w:lineRule="exact"/>
                    <w:jc w:val="center"/>
                    <w:rPr>
                      <w:szCs w:val="21"/>
                    </w:rPr>
                  </w:pPr>
                </w:p>
              </w:tc>
              <w:tc>
                <w:tcPr>
                  <w:tcW w:w="735" w:type="dxa"/>
                  <w:vMerge w:val="continue"/>
                  <w:shd w:val="clear" w:color="auto" w:fill="auto"/>
                  <w:vAlign w:val="center"/>
                </w:tcPr>
                <w:p>
                  <w:pPr>
                    <w:snapToGrid w:val="0"/>
                    <w:spacing w:before="60" w:after="60" w:line="360" w:lineRule="exact"/>
                    <w:jc w:val="center"/>
                    <w:rPr>
                      <w:szCs w:val="21"/>
                    </w:rPr>
                  </w:pPr>
                </w:p>
              </w:tc>
              <w:tc>
                <w:tcPr>
                  <w:tcW w:w="1393" w:type="dxa"/>
                  <w:vMerge w:val="continue"/>
                  <w:shd w:val="clear" w:color="auto" w:fill="auto"/>
                  <w:vAlign w:val="center"/>
                </w:tcPr>
                <w:p>
                  <w:pPr>
                    <w:snapToGrid w:val="0"/>
                    <w:spacing w:before="60" w:after="60" w:line="360" w:lineRule="exact"/>
                    <w:jc w:val="center"/>
                    <w:rPr>
                      <w:szCs w:val="21"/>
                    </w:rPr>
                  </w:pPr>
                </w:p>
              </w:tc>
              <w:tc>
                <w:tcPr>
                  <w:tcW w:w="968" w:type="dxa"/>
                  <w:vMerge w:val="continue"/>
                  <w:shd w:val="clear" w:color="auto" w:fill="auto"/>
                  <w:vAlign w:val="center"/>
                </w:tcPr>
                <w:p>
                  <w:pPr>
                    <w:snapToGrid w:val="0"/>
                    <w:spacing w:before="60" w:after="60" w:line="360" w:lineRule="exact"/>
                    <w:jc w:val="center"/>
                    <w:rPr>
                      <w:szCs w:val="21"/>
                    </w:rPr>
                  </w:pPr>
                </w:p>
              </w:tc>
              <w:tc>
                <w:tcPr>
                  <w:tcW w:w="1522" w:type="dxa"/>
                  <w:shd w:val="clear" w:color="auto" w:fill="auto"/>
                  <w:vAlign w:val="center"/>
                </w:tcPr>
                <w:p>
                  <w:pPr>
                    <w:snapToGrid w:val="0"/>
                    <w:spacing w:before="60" w:after="60" w:line="360" w:lineRule="exact"/>
                    <w:jc w:val="center"/>
                    <w:rPr>
                      <w:b/>
                      <w:bCs/>
                      <w:szCs w:val="21"/>
                    </w:rPr>
                  </w:pPr>
                  <w:r>
                    <w:rPr>
                      <w:rFonts w:hint="eastAsia"/>
                      <w:b/>
                      <w:bCs/>
                      <w:szCs w:val="21"/>
                    </w:rPr>
                    <w:t>经度</w:t>
                  </w:r>
                </w:p>
              </w:tc>
              <w:tc>
                <w:tcPr>
                  <w:tcW w:w="1402" w:type="dxa"/>
                  <w:shd w:val="clear" w:color="auto" w:fill="auto"/>
                  <w:vAlign w:val="center"/>
                </w:tcPr>
                <w:p>
                  <w:pPr>
                    <w:snapToGrid w:val="0"/>
                    <w:spacing w:before="60" w:after="60" w:line="360" w:lineRule="exact"/>
                    <w:jc w:val="center"/>
                    <w:rPr>
                      <w:b/>
                      <w:bCs/>
                      <w:szCs w:val="21"/>
                    </w:rPr>
                  </w:pPr>
                  <w:r>
                    <w:rPr>
                      <w:rFonts w:hint="eastAsia"/>
                      <w:b/>
                      <w:bCs/>
                      <w:szCs w:val="21"/>
                    </w:rPr>
                    <w:t>纬度</w:t>
                  </w:r>
                </w:p>
              </w:tc>
              <w:tc>
                <w:tcPr>
                  <w:tcW w:w="600" w:type="dxa"/>
                  <w:vMerge w:val="continue"/>
                  <w:shd w:val="clear" w:color="auto" w:fill="auto"/>
                  <w:vAlign w:val="center"/>
                </w:tcPr>
                <w:p>
                  <w:pPr>
                    <w:snapToGrid w:val="0"/>
                    <w:spacing w:before="60" w:after="60" w:line="360" w:lineRule="exact"/>
                    <w:jc w:val="center"/>
                    <w:rPr>
                      <w:szCs w:val="21"/>
                    </w:rPr>
                  </w:pPr>
                </w:p>
              </w:tc>
              <w:tc>
                <w:tcPr>
                  <w:tcW w:w="819" w:type="dxa"/>
                  <w:vMerge w:val="continue"/>
                  <w:shd w:val="clear" w:color="auto" w:fill="auto"/>
                  <w:vAlign w:val="center"/>
                </w:tcPr>
                <w:p>
                  <w:pPr>
                    <w:snapToGrid w:val="0"/>
                    <w:spacing w:before="60" w:after="60" w:line="360" w:lineRule="exact"/>
                    <w:jc w:val="center"/>
                    <w:rPr>
                      <w:szCs w:val="21"/>
                    </w:rPr>
                  </w:pPr>
                </w:p>
              </w:tc>
              <w:tc>
                <w:tcPr>
                  <w:tcW w:w="1104" w:type="dxa"/>
                  <w:vMerge w:val="continue"/>
                  <w:shd w:val="clear" w:color="auto" w:fill="auto"/>
                  <w:vAlign w:val="center"/>
                </w:tcPr>
                <w:p>
                  <w:pPr>
                    <w:snapToGrid w:val="0"/>
                    <w:spacing w:before="60" w:after="60"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77" w:hRule="atLeast"/>
                <w:jc w:val="center"/>
              </w:trPr>
              <w:tc>
                <w:tcPr>
                  <w:tcW w:w="339" w:type="dxa"/>
                  <w:shd w:val="clear" w:color="auto" w:fill="auto"/>
                  <w:vAlign w:val="center"/>
                </w:tcPr>
                <w:p>
                  <w:pPr>
                    <w:widowControl/>
                    <w:spacing w:before="60" w:after="60" w:line="360" w:lineRule="exact"/>
                    <w:jc w:val="center"/>
                    <w:textAlignment w:val="center"/>
                    <w:rPr>
                      <w:kern w:val="0"/>
                      <w:szCs w:val="21"/>
                    </w:rPr>
                  </w:pPr>
                  <w:r>
                    <w:rPr>
                      <w:rFonts w:hint="eastAsia"/>
                      <w:kern w:val="0"/>
                      <w:szCs w:val="21"/>
                    </w:rPr>
                    <w:t>1</w:t>
                  </w:r>
                </w:p>
              </w:tc>
              <w:tc>
                <w:tcPr>
                  <w:tcW w:w="735" w:type="dxa"/>
                  <w:shd w:val="clear" w:color="auto" w:fill="auto"/>
                  <w:vAlign w:val="center"/>
                </w:tcPr>
                <w:p>
                  <w:pPr>
                    <w:widowControl/>
                    <w:spacing w:before="60" w:after="60" w:line="360" w:lineRule="exact"/>
                    <w:jc w:val="center"/>
                    <w:textAlignment w:val="center"/>
                    <w:rPr>
                      <w:kern w:val="0"/>
                      <w:szCs w:val="21"/>
                    </w:rPr>
                  </w:pPr>
                  <w:r>
                    <w:rPr>
                      <w:rFonts w:hint="eastAsia"/>
                      <w:kern w:val="0"/>
                      <w:szCs w:val="21"/>
                    </w:rPr>
                    <w:t>DA001</w:t>
                  </w:r>
                </w:p>
              </w:tc>
              <w:tc>
                <w:tcPr>
                  <w:tcW w:w="1393" w:type="dxa"/>
                  <w:shd w:val="clear" w:color="auto" w:fill="auto"/>
                  <w:vAlign w:val="center"/>
                </w:tcPr>
                <w:p>
                  <w:pPr>
                    <w:widowControl/>
                    <w:spacing w:before="60" w:after="60" w:line="360" w:lineRule="exact"/>
                    <w:jc w:val="center"/>
                    <w:textAlignment w:val="center"/>
                    <w:rPr>
                      <w:kern w:val="0"/>
                      <w:szCs w:val="21"/>
                    </w:rPr>
                  </w:pPr>
                  <w:r>
                    <w:rPr>
                      <w:rFonts w:hint="eastAsia"/>
                      <w:bCs/>
                      <w:szCs w:val="21"/>
                    </w:rPr>
                    <w:t>白云岩矿石破碎筛分含尘废气排放口</w:t>
                  </w:r>
                </w:p>
              </w:tc>
              <w:tc>
                <w:tcPr>
                  <w:tcW w:w="968" w:type="dxa"/>
                  <w:shd w:val="clear" w:color="auto" w:fill="auto"/>
                  <w:vAlign w:val="center"/>
                </w:tcPr>
                <w:p>
                  <w:pPr>
                    <w:snapToGrid w:val="0"/>
                    <w:spacing w:before="60" w:after="60" w:line="360" w:lineRule="exact"/>
                    <w:jc w:val="center"/>
                    <w:rPr>
                      <w:szCs w:val="21"/>
                    </w:rPr>
                  </w:pPr>
                  <w:r>
                    <w:rPr>
                      <w:rFonts w:hint="eastAsia"/>
                      <w:szCs w:val="21"/>
                    </w:rPr>
                    <w:t>颗粒物</w:t>
                  </w:r>
                </w:p>
              </w:tc>
              <w:tc>
                <w:tcPr>
                  <w:tcW w:w="1522" w:type="dxa"/>
                  <w:shd w:val="clear" w:color="auto" w:fill="auto"/>
                  <w:vAlign w:val="center"/>
                </w:tcPr>
                <w:p>
                  <w:pPr>
                    <w:spacing w:line="360" w:lineRule="exact"/>
                    <w:jc w:val="center"/>
                    <w:rPr>
                      <w:szCs w:val="21"/>
                    </w:rPr>
                  </w:pPr>
                  <w:r>
                    <w:rPr>
                      <w:rFonts w:hint="eastAsia"/>
                      <w:szCs w:val="21"/>
                    </w:rPr>
                    <w:t>106.59775°</w:t>
                  </w:r>
                </w:p>
              </w:tc>
              <w:tc>
                <w:tcPr>
                  <w:tcW w:w="1402" w:type="dxa"/>
                  <w:shd w:val="clear" w:color="auto" w:fill="auto"/>
                  <w:vAlign w:val="center"/>
                </w:tcPr>
                <w:p>
                  <w:pPr>
                    <w:spacing w:line="360" w:lineRule="exact"/>
                    <w:jc w:val="center"/>
                    <w:rPr>
                      <w:szCs w:val="21"/>
                    </w:rPr>
                  </w:pPr>
                  <w:r>
                    <w:rPr>
                      <w:rFonts w:hint="eastAsia"/>
                      <w:szCs w:val="21"/>
                    </w:rPr>
                    <w:t>37.29534°</w:t>
                  </w:r>
                </w:p>
              </w:tc>
              <w:tc>
                <w:tcPr>
                  <w:tcW w:w="600" w:type="dxa"/>
                  <w:shd w:val="clear" w:color="auto" w:fill="auto"/>
                  <w:vAlign w:val="center"/>
                </w:tcPr>
                <w:p>
                  <w:pPr>
                    <w:snapToGrid w:val="0"/>
                    <w:spacing w:before="60" w:after="60" w:line="360" w:lineRule="exact"/>
                    <w:jc w:val="center"/>
                    <w:rPr>
                      <w:szCs w:val="21"/>
                    </w:rPr>
                  </w:pPr>
                  <w:r>
                    <w:rPr>
                      <w:rFonts w:hint="eastAsia"/>
                      <w:szCs w:val="21"/>
                    </w:rPr>
                    <w:t>15</w:t>
                  </w:r>
                </w:p>
              </w:tc>
              <w:tc>
                <w:tcPr>
                  <w:tcW w:w="819" w:type="dxa"/>
                  <w:shd w:val="clear" w:color="auto" w:fill="auto"/>
                  <w:vAlign w:val="center"/>
                </w:tcPr>
                <w:p>
                  <w:pPr>
                    <w:snapToGrid w:val="0"/>
                    <w:spacing w:before="60" w:after="60" w:line="360" w:lineRule="exact"/>
                    <w:jc w:val="center"/>
                    <w:rPr>
                      <w:szCs w:val="21"/>
                    </w:rPr>
                  </w:pPr>
                  <w:r>
                    <w:rPr>
                      <w:rFonts w:hint="eastAsia"/>
                      <w:szCs w:val="21"/>
                    </w:rPr>
                    <w:t>0.</w:t>
                  </w:r>
                  <w:r>
                    <w:rPr>
                      <w:szCs w:val="21"/>
                    </w:rPr>
                    <w:t>55</w:t>
                  </w:r>
                </w:p>
              </w:tc>
              <w:tc>
                <w:tcPr>
                  <w:tcW w:w="1104" w:type="dxa"/>
                  <w:shd w:val="clear" w:color="auto" w:fill="auto"/>
                  <w:vAlign w:val="center"/>
                </w:tcPr>
                <w:p>
                  <w:pPr>
                    <w:snapToGrid w:val="0"/>
                    <w:spacing w:before="60" w:after="60" w:line="360" w:lineRule="exact"/>
                    <w:jc w:val="center"/>
                    <w:rPr>
                      <w:szCs w:val="21"/>
                    </w:rPr>
                  </w:pPr>
                  <w:r>
                    <w:rPr>
                      <w:rFonts w:hint="eastAsia"/>
                      <w:szCs w:val="21"/>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57" w:hRule="atLeast"/>
                <w:jc w:val="center"/>
              </w:trPr>
              <w:tc>
                <w:tcPr>
                  <w:tcW w:w="339" w:type="dxa"/>
                  <w:shd w:val="clear" w:color="auto" w:fill="auto"/>
                  <w:vAlign w:val="center"/>
                </w:tcPr>
                <w:p>
                  <w:pPr>
                    <w:widowControl/>
                    <w:spacing w:before="60" w:after="60" w:line="360" w:lineRule="exact"/>
                    <w:jc w:val="center"/>
                    <w:textAlignment w:val="center"/>
                    <w:rPr>
                      <w:kern w:val="0"/>
                      <w:szCs w:val="21"/>
                    </w:rPr>
                  </w:pPr>
                  <w:r>
                    <w:rPr>
                      <w:rFonts w:hint="eastAsia"/>
                      <w:kern w:val="0"/>
                      <w:szCs w:val="21"/>
                    </w:rPr>
                    <w:t>2</w:t>
                  </w:r>
                </w:p>
              </w:tc>
              <w:tc>
                <w:tcPr>
                  <w:tcW w:w="735" w:type="dxa"/>
                  <w:shd w:val="clear" w:color="auto" w:fill="auto"/>
                  <w:vAlign w:val="center"/>
                </w:tcPr>
                <w:p>
                  <w:pPr>
                    <w:widowControl/>
                    <w:spacing w:before="60" w:after="60" w:line="360" w:lineRule="exact"/>
                    <w:jc w:val="center"/>
                    <w:textAlignment w:val="center"/>
                    <w:rPr>
                      <w:kern w:val="0"/>
                      <w:szCs w:val="21"/>
                    </w:rPr>
                  </w:pPr>
                  <w:r>
                    <w:rPr>
                      <w:rFonts w:hint="eastAsia"/>
                      <w:kern w:val="0"/>
                      <w:szCs w:val="21"/>
                    </w:rPr>
                    <w:t>DA002</w:t>
                  </w:r>
                </w:p>
              </w:tc>
              <w:tc>
                <w:tcPr>
                  <w:tcW w:w="1393" w:type="dxa"/>
                  <w:shd w:val="clear" w:color="auto" w:fill="auto"/>
                  <w:vAlign w:val="center"/>
                </w:tcPr>
                <w:p>
                  <w:pPr>
                    <w:widowControl/>
                    <w:spacing w:before="60" w:after="60" w:line="360" w:lineRule="exact"/>
                    <w:jc w:val="center"/>
                    <w:textAlignment w:val="center"/>
                    <w:rPr>
                      <w:kern w:val="0"/>
                      <w:szCs w:val="21"/>
                    </w:rPr>
                  </w:pPr>
                  <w:r>
                    <w:rPr>
                      <w:rFonts w:hint="eastAsia"/>
                      <w:bCs/>
                      <w:szCs w:val="21"/>
                    </w:rPr>
                    <w:t>伴生石料破碎筛分含尘废气排放口</w:t>
                  </w:r>
                </w:p>
              </w:tc>
              <w:tc>
                <w:tcPr>
                  <w:tcW w:w="968" w:type="dxa"/>
                  <w:shd w:val="clear" w:color="auto" w:fill="auto"/>
                  <w:vAlign w:val="center"/>
                </w:tcPr>
                <w:p>
                  <w:pPr>
                    <w:snapToGrid w:val="0"/>
                    <w:spacing w:before="60" w:after="60" w:line="360" w:lineRule="exact"/>
                    <w:jc w:val="center"/>
                    <w:rPr>
                      <w:szCs w:val="21"/>
                    </w:rPr>
                  </w:pPr>
                  <w:r>
                    <w:rPr>
                      <w:rFonts w:hint="eastAsia"/>
                      <w:szCs w:val="21"/>
                    </w:rPr>
                    <w:t>颗粒物</w:t>
                  </w:r>
                </w:p>
              </w:tc>
              <w:tc>
                <w:tcPr>
                  <w:tcW w:w="1522" w:type="dxa"/>
                  <w:shd w:val="clear" w:color="auto" w:fill="auto"/>
                  <w:vAlign w:val="center"/>
                </w:tcPr>
                <w:p>
                  <w:pPr>
                    <w:spacing w:line="360" w:lineRule="exact"/>
                    <w:jc w:val="center"/>
                    <w:rPr>
                      <w:szCs w:val="21"/>
                    </w:rPr>
                  </w:pPr>
                  <w:r>
                    <w:rPr>
                      <w:rFonts w:hint="eastAsia"/>
                      <w:szCs w:val="21"/>
                    </w:rPr>
                    <w:t>106.59797°</w:t>
                  </w:r>
                </w:p>
              </w:tc>
              <w:tc>
                <w:tcPr>
                  <w:tcW w:w="1402" w:type="dxa"/>
                  <w:shd w:val="clear" w:color="auto" w:fill="auto"/>
                  <w:vAlign w:val="center"/>
                </w:tcPr>
                <w:p>
                  <w:pPr>
                    <w:spacing w:line="360" w:lineRule="exact"/>
                    <w:jc w:val="center"/>
                    <w:rPr>
                      <w:szCs w:val="21"/>
                    </w:rPr>
                  </w:pPr>
                  <w:r>
                    <w:rPr>
                      <w:rFonts w:hint="eastAsia"/>
                      <w:szCs w:val="21"/>
                    </w:rPr>
                    <w:t>37.29433°</w:t>
                  </w:r>
                </w:p>
              </w:tc>
              <w:tc>
                <w:tcPr>
                  <w:tcW w:w="600" w:type="dxa"/>
                  <w:shd w:val="clear" w:color="auto" w:fill="auto"/>
                  <w:vAlign w:val="center"/>
                </w:tcPr>
                <w:p>
                  <w:pPr>
                    <w:snapToGrid w:val="0"/>
                    <w:spacing w:before="60" w:after="60" w:line="360" w:lineRule="exact"/>
                    <w:jc w:val="center"/>
                    <w:rPr>
                      <w:szCs w:val="21"/>
                    </w:rPr>
                  </w:pPr>
                  <w:r>
                    <w:rPr>
                      <w:rFonts w:hint="eastAsia"/>
                      <w:szCs w:val="21"/>
                    </w:rPr>
                    <w:t>15</w:t>
                  </w:r>
                </w:p>
              </w:tc>
              <w:tc>
                <w:tcPr>
                  <w:tcW w:w="819" w:type="dxa"/>
                  <w:shd w:val="clear" w:color="auto" w:fill="auto"/>
                  <w:vAlign w:val="center"/>
                </w:tcPr>
                <w:p>
                  <w:pPr>
                    <w:snapToGrid w:val="0"/>
                    <w:spacing w:before="60" w:after="60" w:line="360" w:lineRule="exact"/>
                    <w:jc w:val="center"/>
                    <w:rPr>
                      <w:szCs w:val="21"/>
                    </w:rPr>
                  </w:pPr>
                  <w:r>
                    <w:rPr>
                      <w:szCs w:val="21"/>
                    </w:rPr>
                    <w:t>1.5</w:t>
                  </w:r>
                </w:p>
              </w:tc>
              <w:tc>
                <w:tcPr>
                  <w:tcW w:w="1104" w:type="dxa"/>
                  <w:shd w:val="clear" w:color="auto" w:fill="auto"/>
                  <w:vAlign w:val="center"/>
                </w:tcPr>
                <w:p>
                  <w:pPr>
                    <w:snapToGrid w:val="0"/>
                    <w:spacing w:before="60" w:after="60" w:line="360" w:lineRule="exact"/>
                    <w:jc w:val="center"/>
                    <w:rPr>
                      <w:szCs w:val="21"/>
                    </w:rPr>
                  </w:pPr>
                  <w:r>
                    <w:rPr>
                      <w:rFonts w:hint="eastAsia"/>
                      <w:szCs w:val="21"/>
                    </w:rPr>
                    <w:t>25</w:t>
                  </w:r>
                </w:p>
              </w:tc>
            </w:tr>
          </w:tbl>
          <w:p>
            <w:pPr>
              <w:pStyle w:val="50"/>
              <w:snapToGrid w:val="0"/>
              <w:spacing w:line="240" w:lineRule="auto"/>
              <w:ind w:firstLineChars="0"/>
              <w:jc w:val="center"/>
              <w:rPr>
                <w:b/>
                <w:bCs/>
              </w:rPr>
            </w:pPr>
          </w:p>
          <w:p>
            <w:pPr>
              <w:spacing w:line="360" w:lineRule="auto"/>
              <w:ind w:firstLine="480" w:firstLineChars="200"/>
              <w:rPr>
                <w:sz w:val="24"/>
              </w:rPr>
            </w:pPr>
            <w:r>
              <w:rPr>
                <w:rFonts w:hint="eastAsia"/>
                <w:sz w:val="24"/>
              </w:rPr>
              <w:t>8）废气监测计划</w:t>
            </w:r>
          </w:p>
          <w:p>
            <w:pPr>
              <w:spacing w:line="360" w:lineRule="auto"/>
              <w:ind w:firstLine="480" w:firstLineChars="200"/>
              <w:rPr>
                <w:sz w:val="24"/>
              </w:rPr>
            </w:pPr>
            <w:r>
              <w:rPr>
                <w:rFonts w:hint="eastAsia"/>
                <w:sz w:val="24"/>
              </w:rPr>
              <w:t>根据《排污单位自行监测技术指南 总则》（HJ 1138-2020），本项目自行监测计划见下表。</w:t>
            </w:r>
          </w:p>
          <w:p>
            <w:pPr>
              <w:pStyle w:val="50"/>
              <w:numPr>
                <w:ilvl w:val="0"/>
                <w:numId w:val="2"/>
              </w:numPr>
              <w:snapToGrid w:val="0"/>
              <w:spacing w:line="240" w:lineRule="auto"/>
              <w:ind w:firstLineChars="0"/>
              <w:jc w:val="center"/>
              <w:rPr>
                <w:b/>
                <w:bCs/>
              </w:rPr>
            </w:pPr>
            <w:r>
              <w:rPr>
                <w:rFonts w:hint="eastAsia"/>
                <w:b/>
                <w:bCs/>
              </w:rPr>
              <w:t>项目废气监测方案</w:t>
            </w:r>
          </w:p>
          <w:tbl>
            <w:tblPr>
              <w:tblStyle w:val="22"/>
              <w:tblW w:w="888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49"/>
              <w:gridCol w:w="1750"/>
              <w:gridCol w:w="1750"/>
              <w:gridCol w:w="363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749" w:type="dxa"/>
                  <w:shd w:val="clear" w:color="auto" w:fill="auto"/>
                  <w:vAlign w:val="center"/>
                </w:tcPr>
                <w:p>
                  <w:pPr>
                    <w:autoSpaceDE w:val="0"/>
                    <w:autoSpaceDN w:val="0"/>
                    <w:adjustRightInd w:val="0"/>
                    <w:spacing w:line="360" w:lineRule="exact"/>
                    <w:jc w:val="center"/>
                    <w:rPr>
                      <w:bCs/>
                      <w:kern w:val="0"/>
                      <w:szCs w:val="21"/>
                    </w:rPr>
                  </w:pPr>
                  <w:r>
                    <w:rPr>
                      <w:bCs/>
                      <w:kern w:val="0"/>
                      <w:szCs w:val="21"/>
                    </w:rPr>
                    <w:t>监测点位</w:t>
                  </w:r>
                </w:p>
              </w:tc>
              <w:tc>
                <w:tcPr>
                  <w:tcW w:w="1750" w:type="dxa"/>
                  <w:shd w:val="clear" w:color="auto" w:fill="auto"/>
                  <w:vAlign w:val="center"/>
                </w:tcPr>
                <w:p>
                  <w:pPr>
                    <w:autoSpaceDE w:val="0"/>
                    <w:autoSpaceDN w:val="0"/>
                    <w:adjustRightInd w:val="0"/>
                    <w:spacing w:line="360" w:lineRule="exact"/>
                    <w:jc w:val="center"/>
                    <w:rPr>
                      <w:bCs/>
                      <w:kern w:val="0"/>
                      <w:szCs w:val="21"/>
                    </w:rPr>
                  </w:pPr>
                  <w:r>
                    <w:rPr>
                      <w:bCs/>
                      <w:kern w:val="0"/>
                      <w:szCs w:val="21"/>
                    </w:rPr>
                    <w:t>监测指标</w:t>
                  </w:r>
                </w:p>
              </w:tc>
              <w:tc>
                <w:tcPr>
                  <w:tcW w:w="1750" w:type="dxa"/>
                  <w:shd w:val="clear" w:color="auto" w:fill="auto"/>
                  <w:vAlign w:val="center"/>
                </w:tcPr>
                <w:p>
                  <w:pPr>
                    <w:autoSpaceDE w:val="0"/>
                    <w:autoSpaceDN w:val="0"/>
                    <w:adjustRightInd w:val="0"/>
                    <w:spacing w:line="360" w:lineRule="exact"/>
                    <w:jc w:val="center"/>
                    <w:rPr>
                      <w:bCs/>
                      <w:kern w:val="0"/>
                      <w:szCs w:val="21"/>
                    </w:rPr>
                  </w:pPr>
                  <w:r>
                    <w:rPr>
                      <w:bCs/>
                      <w:kern w:val="0"/>
                      <w:szCs w:val="21"/>
                    </w:rPr>
                    <w:t>监测频次</w:t>
                  </w:r>
                </w:p>
              </w:tc>
              <w:tc>
                <w:tcPr>
                  <w:tcW w:w="3633" w:type="dxa"/>
                  <w:shd w:val="clear" w:color="auto" w:fill="auto"/>
                  <w:vAlign w:val="center"/>
                </w:tcPr>
                <w:p>
                  <w:pPr>
                    <w:autoSpaceDE w:val="0"/>
                    <w:autoSpaceDN w:val="0"/>
                    <w:adjustRightInd w:val="0"/>
                    <w:spacing w:line="360" w:lineRule="exact"/>
                    <w:jc w:val="center"/>
                    <w:rPr>
                      <w:bCs/>
                      <w:kern w:val="0"/>
                      <w:szCs w:val="21"/>
                    </w:rPr>
                  </w:pPr>
                  <w:r>
                    <w:rPr>
                      <w:bCs/>
                      <w:kern w:val="0"/>
                      <w:szCs w:val="21"/>
                    </w:rPr>
                    <w:t>执行排放标准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749" w:type="dxa"/>
                  <w:shd w:val="clear" w:color="auto" w:fill="auto"/>
                  <w:vAlign w:val="center"/>
                </w:tcPr>
                <w:p>
                  <w:pPr>
                    <w:spacing w:line="360" w:lineRule="exact"/>
                    <w:jc w:val="center"/>
                    <w:rPr>
                      <w:szCs w:val="21"/>
                    </w:rPr>
                  </w:pPr>
                  <w:r>
                    <w:rPr>
                      <w:rFonts w:hint="eastAsia"/>
                      <w:szCs w:val="21"/>
                    </w:rPr>
                    <w:t>DA003</w:t>
                  </w:r>
                </w:p>
              </w:tc>
              <w:tc>
                <w:tcPr>
                  <w:tcW w:w="1750" w:type="dxa"/>
                  <w:shd w:val="clear" w:color="auto" w:fill="auto"/>
                  <w:vAlign w:val="center"/>
                </w:tcPr>
                <w:p>
                  <w:pPr>
                    <w:spacing w:line="360" w:lineRule="exact"/>
                    <w:jc w:val="center"/>
                    <w:rPr>
                      <w:szCs w:val="21"/>
                    </w:rPr>
                  </w:pPr>
                  <w:r>
                    <w:rPr>
                      <w:rFonts w:hint="eastAsia"/>
                      <w:szCs w:val="21"/>
                    </w:rPr>
                    <w:t>颗粒物</w:t>
                  </w:r>
                </w:p>
              </w:tc>
              <w:tc>
                <w:tcPr>
                  <w:tcW w:w="1750" w:type="dxa"/>
                  <w:shd w:val="clear" w:color="auto" w:fill="auto"/>
                  <w:vAlign w:val="center"/>
                </w:tcPr>
                <w:p>
                  <w:pPr>
                    <w:spacing w:line="360" w:lineRule="exact"/>
                    <w:jc w:val="center"/>
                    <w:rPr>
                      <w:szCs w:val="21"/>
                    </w:rPr>
                  </w:pPr>
                  <w:r>
                    <w:rPr>
                      <w:rFonts w:hint="eastAsia"/>
                      <w:szCs w:val="21"/>
                    </w:rPr>
                    <w:t>半年一次</w:t>
                  </w:r>
                </w:p>
              </w:tc>
              <w:tc>
                <w:tcPr>
                  <w:tcW w:w="3633" w:type="dxa"/>
                  <w:vMerge w:val="restart"/>
                  <w:shd w:val="clear" w:color="auto" w:fill="auto"/>
                  <w:vAlign w:val="center"/>
                </w:tcPr>
                <w:p>
                  <w:pPr>
                    <w:spacing w:line="360" w:lineRule="exact"/>
                    <w:jc w:val="center"/>
                    <w:rPr>
                      <w:szCs w:val="21"/>
                    </w:rPr>
                  </w:pPr>
                  <w:r>
                    <w:rPr>
                      <w:rFonts w:hint="eastAsia"/>
                      <w:szCs w:val="21"/>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749" w:type="dxa"/>
                  <w:shd w:val="clear" w:color="auto" w:fill="auto"/>
                  <w:vAlign w:val="center"/>
                </w:tcPr>
                <w:p>
                  <w:pPr>
                    <w:spacing w:line="360" w:lineRule="exact"/>
                    <w:jc w:val="center"/>
                    <w:rPr>
                      <w:szCs w:val="21"/>
                    </w:rPr>
                  </w:pPr>
                  <w:r>
                    <w:rPr>
                      <w:rFonts w:hint="eastAsia"/>
                      <w:szCs w:val="21"/>
                    </w:rPr>
                    <w:t>D</w:t>
                  </w:r>
                  <w:r>
                    <w:rPr>
                      <w:szCs w:val="21"/>
                    </w:rPr>
                    <w:t>A002</w:t>
                  </w:r>
                </w:p>
              </w:tc>
              <w:tc>
                <w:tcPr>
                  <w:tcW w:w="1750" w:type="dxa"/>
                  <w:shd w:val="clear" w:color="auto" w:fill="auto"/>
                  <w:vAlign w:val="center"/>
                </w:tcPr>
                <w:p>
                  <w:pPr>
                    <w:spacing w:line="360" w:lineRule="exact"/>
                    <w:jc w:val="center"/>
                    <w:rPr>
                      <w:szCs w:val="21"/>
                    </w:rPr>
                  </w:pPr>
                  <w:r>
                    <w:rPr>
                      <w:rFonts w:hint="eastAsia"/>
                      <w:szCs w:val="21"/>
                    </w:rPr>
                    <w:t>颗粒物</w:t>
                  </w:r>
                </w:p>
              </w:tc>
              <w:tc>
                <w:tcPr>
                  <w:tcW w:w="1750" w:type="dxa"/>
                  <w:shd w:val="clear" w:color="auto" w:fill="auto"/>
                  <w:vAlign w:val="center"/>
                </w:tcPr>
                <w:p>
                  <w:pPr>
                    <w:spacing w:line="360" w:lineRule="exact"/>
                    <w:jc w:val="center"/>
                    <w:rPr>
                      <w:szCs w:val="21"/>
                    </w:rPr>
                  </w:pPr>
                  <w:r>
                    <w:rPr>
                      <w:rFonts w:hint="eastAsia"/>
                      <w:szCs w:val="21"/>
                    </w:rPr>
                    <w:t>半年一次</w:t>
                  </w:r>
                </w:p>
              </w:tc>
              <w:tc>
                <w:tcPr>
                  <w:tcW w:w="3633" w:type="dxa"/>
                  <w:vMerge w:val="continue"/>
                  <w:shd w:val="clear" w:color="auto" w:fill="auto"/>
                  <w:vAlign w:val="center"/>
                </w:tcPr>
                <w:p>
                  <w:pPr>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749" w:type="dxa"/>
                  <w:shd w:val="clear" w:color="auto" w:fill="auto"/>
                  <w:vAlign w:val="center"/>
                </w:tcPr>
                <w:p>
                  <w:pPr>
                    <w:spacing w:line="360" w:lineRule="exact"/>
                    <w:jc w:val="center"/>
                    <w:rPr>
                      <w:szCs w:val="21"/>
                    </w:rPr>
                  </w:pPr>
                  <w:r>
                    <w:rPr>
                      <w:rFonts w:hint="eastAsia"/>
                      <w:szCs w:val="21"/>
                    </w:rPr>
                    <w:t>厂界</w:t>
                  </w:r>
                </w:p>
              </w:tc>
              <w:tc>
                <w:tcPr>
                  <w:tcW w:w="1750" w:type="dxa"/>
                  <w:shd w:val="clear" w:color="auto" w:fill="auto"/>
                  <w:vAlign w:val="center"/>
                </w:tcPr>
                <w:p>
                  <w:pPr>
                    <w:spacing w:line="360" w:lineRule="exact"/>
                    <w:jc w:val="center"/>
                    <w:rPr>
                      <w:szCs w:val="21"/>
                    </w:rPr>
                  </w:pPr>
                  <w:r>
                    <w:rPr>
                      <w:rFonts w:hint="eastAsia"/>
                      <w:szCs w:val="21"/>
                    </w:rPr>
                    <w:t>颗粒物</w:t>
                  </w:r>
                  <w:r>
                    <w:rPr>
                      <w:rStyle w:val="99"/>
                      <w:rFonts w:hint="eastAsia"/>
                      <w:kern w:val="0"/>
                    </w:rPr>
                    <w:t>度</w:t>
                  </w:r>
                </w:p>
              </w:tc>
              <w:tc>
                <w:tcPr>
                  <w:tcW w:w="1750" w:type="dxa"/>
                  <w:shd w:val="clear" w:color="auto" w:fill="auto"/>
                  <w:vAlign w:val="center"/>
                </w:tcPr>
                <w:p>
                  <w:pPr>
                    <w:spacing w:line="360" w:lineRule="exact"/>
                    <w:jc w:val="center"/>
                    <w:rPr>
                      <w:szCs w:val="21"/>
                    </w:rPr>
                  </w:pPr>
                  <w:r>
                    <w:rPr>
                      <w:rFonts w:hint="eastAsia"/>
                      <w:szCs w:val="21"/>
                    </w:rPr>
                    <w:t>1年一次</w:t>
                  </w:r>
                </w:p>
              </w:tc>
              <w:tc>
                <w:tcPr>
                  <w:tcW w:w="3633" w:type="dxa"/>
                  <w:vMerge w:val="continue"/>
                  <w:shd w:val="clear" w:color="auto" w:fill="auto"/>
                  <w:vAlign w:val="center"/>
                </w:tcPr>
                <w:p>
                  <w:pPr>
                    <w:widowControl/>
                    <w:spacing w:line="360" w:lineRule="exact"/>
                    <w:jc w:val="center"/>
                    <w:rPr>
                      <w:szCs w:val="21"/>
                    </w:rPr>
                  </w:pPr>
                </w:p>
              </w:tc>
            </w:tr>
          </w:tbl>
          <w:p>
            <w:pPr>
              <w:spacing w:line="360" w:lineRule="auto"/>
              <w:ind w:firstLine="480" w:firstLineChars="200"/>
              <w:rPr>
                <w:sz w:val="24"/>
              </w:rPr>
            </w:pPr>
            <w:r>
              <w:rPr>
                <w:rFonts w:hint="eastAsia"/>
                <w:sz w:val="24"/>
              </w:rPr>
              <w:t>9）大气环境影响结论</w:t>
            </w:r>
          </w:p>
          <w:p>
            <w:pPr>
              <w:spacing w:line="360" w:lineRule="auto"/>
              <w:ind w:firstLine="480" w:firstLineChars="200"/>
              <w:rPr>
                <w:sz w:val="24"/>
              </w:rPr>
            </w:pPr>
            <w:r>
              <w:rPr>
                <w:rFonts w:hint="eastAsia"/>
                <w:sz w:val="24"/>
              </w:rPr>
              <w:t>项目所在区域环境空气为不达标区。主要环境保护目标为项目东侧438m处青龙山村。项目针对白云岩矿石破碎筛分生产线含尘废气，本项目通过在破碎机投料口﹑出料口及筛分机上部安装密闭收集装置，将含尘废气抽送至旋风除尘器+布袋除尘器处理，除尘系统综合除尘效率均为99.</w:t>
            </w:r>
            <w:r>
              <w:rPr>
                <w:sz w:val="24"/>
              </w:rPr>
              <w:t>91</w:t>
            </w:r>
            <w:r>
              <w:rPr>
                <w:rFonts w:hint="eastAsia"/>
                <w:sz w:val="24"/>
              </w:rPr>
              <w:t>%，处理后经1座15m高排气筒排放，白云岩矿石破碎筛分生产线含尘废气经收集处理后，污染物排放浓度、排放速率分别为</w:t>
            </w:r>
            <w:r>
              <w:rPr>
                <w:sz w:val="24"/>
              </w:rPr>
              <w:t>3.63</w:t>
            </w:r>
            <w:r>
              <w:rPr>
                <w:rFonts w:hint="eastAsia"/>
                <w:bCs/>
                <w:kern w:val="1"/>
                <w:sz w:val="24"/>
              </w:rPr>
              <w:t>mg/m</w:t>
            </w:r>
            <w:r>
              <w:rPr>
                <w:rFonts w:hint="eastAsia"/>
                <w:bCs/>
                <w:kern w:val="1"/>
                <w:sz w:val="24"/>
                <w:vertAlign w:val="superscript"/>
              </w:rPr>
              <w:t>3</w:t>
            </w:r>
            <w:r>
              <w:rPr>
                <w:rFonts w:hint="eastAsia"/>
                <w:bCs/>
                <w:kern w:val="1"/>
                <w:sz w:val="24"/>
              </w:rPr>
              <w:t>，0.</w:t>
            </w:r>
            <w:r>
              <w:rPr>
                <w:bCs/>
                <w:kern w:val="1"/>
                <w:sz w:val="24"/>
              </w:rPr>
              <w:t>036</w:t>
            </w:r>
            <w:r>
              <w:rPr>
                <w:rFonts w:hint="eastAsia"/>
                <w:bCs/>
                <w:kern w:val="1"/>
                <w:sz w:val="24"/>
              </w:rPr>
              <w:t>kg/h</w:t>
            </w:r>
            <w:r>
              <w:rPr>
                <w:rFonts w:hint="eastAsia"/>
                <w:sz w:val="24"/>
              </w:rPr>
              <w:t>，均满足《大气污染物综合排放标准》(GB16297-1996)表2中15m高排气筒最高排放浓度120</w:t>
            </w:r>
            <w:r>
              <w:rPr>
                <w:rFonts w:hint="eastAsia"/>
                <w:bCs/>
                <w:kern w:val="1"/>
                <w:sz w:val="24"/>
              </w:rPr>
              <w:t>mg/m</w:t>
            </w:r>
            <w:r>
              <w:rPr>
                <w:rFonts w:hint="eastAsia"/>
                <w:bCs/>
                <w:kern w:val="1"/>
                <w:sz w:val="24"/>
                <w:vertAlign w:val="superscript"/>
              </w:rPr>
              <w:t>3</w:t>
            </w:r>
            <w:r>
              <w:rPr>
                <w:rFonts w:hint="eastAsia"/>
                <w:bCs/>
                <w:kern w:val="1"/>
                <w:sz w:val="24"/>
              </w:rPr>
              <w:t>，3.5kg/h</w:t>
            </w:r>
            <w:r>
              <w:rPr>
                <w:rFonts w:hint="eastAsia"/>
                <w:sz w:val="24"/>
              </w:rPr>
              <w:t>二级标准表的要求。</w:t>
            </w:r>
          </w:p>
          <w:p>
            <w:pPr>
              <w:spacing w:line="360" w:lineRule="auto"/>
              <w:ind w:firstLine="480" w:firstLineChars="200"/>
              <w:rPr>
                <w:bCs/>
                <w:kern w:val="1"/>
                <w:sz w:val="24"/>
              </w:rPr>
            </w:pPr>
            <w:r>
              <w:rPr>
                <w:rFonts w:hint="eastAsia"/>
                <w:sz w:val="24"/>
              </w:rPr>
              <w:t>针对</w:t>
            </w:r>
            <w:r>
              <w:rPr>
                <w:rFonts w:hint="eastAsia"/>
                <w:kern w:val="1"/>
                <w:sz w:val="24"/>
              </w:rPr>
              <w:t>伴生石料</w:t>
            </w:r>
            <w:r>
              <w:rPr>
                <w:rFonts w:hint="eastAsia"/>
                <w:sz w:val="24"/>
              </w:rPr>
              <w:t>破碎筛分生产线含尘废气，本项目通过在破碎机投料口﹑出料口及筛分机上部安装密闭收集装置，将含尘废气抽送至旋风除尘器+布袋除尘器处理，除尘系统综合除尘效率均为</w:t>
            </w:r>
            <w:r>
              <w:rPr>
                <w:sz w:val="24"/>
              </w:rPr>
              <w:t>99.91</w:t>
            </w:r>
            <w:r>
              <w:rPr>
                <w:rFonts w:hint="eastAsia"/>
                <w:sz w:val="24"/>
              </w:rPr>
              <w:t>%，处理后经1座15m高排气筒排放，伴生石料破碎筛分生产线含尘废气经收集处理后，污染物排放浓度、排放速率分别为</w:t>
            </w:r>
            <w:r>
              <w:rPr>
                <w:sz w:val="24"/>
              </w:rPr>
              <w:t>3.634</w:t>
            </w:r>
            <w:r>
              <w:rPr>
                <w:rFonts w:hint="eastAsia"/>
                <w:bCs/>
                <w:kern w:val="1"/>
                <w:sz w:val="24"/>
              </w:rPr>
              <w:t>mg/m</w:t>
            </w:r>
            <w:r>
              <w:rPr>
                <w:rFonts w:hint="eastAsia"/>
                <w:bCs/>
                <w:kern w:val="1"/>
                <w:sz w:val="24"/>
                <w:vertAlign w:val="superscript"/>
              </w:rPr>
              <w:t>3</w:t>
            </w:r>
            <w:r>
              <w:rPr>
                <w:rFonts w:hint="eastAsia"/>
                <w:bCs/>
                <w:kern w:val="1"/>
                <w:sz w:val="24"/>
              </w:rPr>
              <w:t>，</w:t>
            </w:r>
            <w:r>
              <w:rPr>
                <w:bCs/>
                <w:kern w:val="1"/>
                <w:sz w:val="24"/>
              </w:rPr>
              <w:t>0.363</w:t>
            </w:r>
            <w:r>
              <w:rPr>
                <w:rFonts w:hint="eastAsia"/>
                <w:bCs/>
                <w:kern w:val="1"/>
                <w:sz w:val="24"/>
              </w:rPr>
              <w:t>kg/h</w:t>
            </w:r>
            <w:r>
              <w:rPr>
                <w:rFonts w:hint="eastAsia"/>
                <w:sz w:val="24"/>
              </w:rPr>
              <w:t>，均满足《大气污染物综合排放标准》(GB16297-1996)表2中15m高排气筒最高排放浓度120</w:t>
            </w:r>
            <w:r>
              <w:rPr>
                <w:rFonts w:hint="eastAsia"/>
                <w:bCs/>
                <w:kern w:val="1"/>
                <w:sz w:val="24"/>
              </w:rPr>
              <w:t>mg/m</w:t>
            </w:r>
            <w:r>
              <w:rPr>
                <w:rFonts w:hint="eastAsia"/>
                <w:bCs/>
                <w:kern w:val="1"/>
                <w:sz w:val="24"/>
                <w:vertAlign w:val="superscript"/>
              </w:rPr>
              <w:t>3</w:t>
            </w:r>
            <w:r>
              <w:rPr>
                <w:rFonts w:hint="eastAsia"/>
                <w:bCs/>
                <w:kern w:val="1"/>
                <w:sz w:val="24"/>
              </w:rPr>
              <w:t>，3.5kg/h</w:t>
            </w:r>
            <w:r>
              <w:rPr>
                <w:rFonts w:hint="eastAsia"/>
                <w:sz w:val="24"/>
              </w:rPr>
              <w:t>二级标准表的要求。</w:t>
            </w:r>
          </w:p>
          <w:p>
            <w:pPr>
              <w:spacing w:line="360" w:lineRule="auto"/>
              <w:ind w:firstLine="480" w:firstLineChars="200"/>
              <w:rPr>
                <w:sz w:val="24"/>
              </w:rPr>
            </w:pPr>
            <w:r>
              <w:rPr>
                <w:rFonts w:hint="eastAsia"/>
                <w:kern w:val="1"/>
                <w:sz w:val="24"/>
              </w:rPr>
              <w:t>采矿区通过采取洒水降尘、运输车辆加盖篷布、厂区道路铺设石子、堆场建设</w:t>
            </w:r>
            <w:r>
              <w:rPr>
                <w:rFonts w:hint="eastAsia"/>
                <w:sz w:val="24"/>
              </w:rPr>
              <w:t>全封闭式产品堆场和破碎加工区等措施后</w:t>
            </w:r>
            <w:r>
              <w:rPr>
                <w:rFonts w:hint="eastAsia"/>
                <w:kern w:val="1"/>
                <w:sz w:val="24"/>
              </w:rPr>
              <w:t>，项目采矿区及破碎工业场地的粉尘无组织废气将得到有效控制。</w:t>
            </w:r>
            <w:r>
              <w:rPr>
                <w:rFonts w:hint="eastAsia"/>
                <w:sz w:val="24"/>
              </w:rPr>
              <w:t>矿区厂界处空气中粉尘最大浓度能满足《大气污染物综合排放标准》(GB16297-1996)表2中二级标准规定粉尘的无组织排放周界外最高浓度限值1mg/m</w:t>
            </w:r>
            <w:r>
              <w:rPr>
                <w:rFonts w:hint="eastAsia"/>
                <w:sz w:val="24"/>
                <w:vertAlign w:val="superscript"/>
              </w:rPr>
              <w:t>3</w:t>
            </w:r>
            <w:r>
              <w:rPr>
                <w:rFonts w:hint="eastAsia"/>
                <w:sz w:val="24"/>
              </w:rPr>
              <w:t>的要求。因此项目粉尘无组织排放对周围环境影响较小。</w:t>
            </w:r>
          </w:p>
          <w:p>
            <w:pPr>
              <w:pStyle w:val="47"/>
              <w:ind w:firstLine="482"/>
              <w:rPr>
                <w:rFonts w:ascii="宋体" w:hAnsi="宋体"/>
                <w:b/>
                <w:bCs/>
                <w:color w:val="auto"/>
              </w:rPr>
            </w:pPr>
            <w:r>
              <w:rPr>
                <w:rFonts w:hint="eastAsia" w:ascii="宋体" w:hAnsi="宋体"/>
                <w:b/>
                <w:bCs/>
                <w:color w:val="auto"/>
              </w:rPr>
              <w:t>（2）水环境影响分析</w:t>
            </w:r>
          </w:p>
          <w:p>
            <w:pPr>
              <w:pStyle w:val="47"/>
              <w:ind w:firstLine="480"/>
              <w:rPr>
                <w:color w:val="auto"/>
              </w:rPr>
            </w:pPr>
            <w:r>
              <w:rPr>
                <w:rFonts w:hint="eastAsia"/>
                <w:color w:val="auto"/>
              </w:rPr>
              <w:t>项目运营期生产过程用水主要为洒水降尘用水、车辆冲洗用水，运营期主要为车辆冲洗过程产生冲洗废水和职工生活污水。</w:t>
            </w:r>
          </w:p>
          <w:p>
            <w:pPr>
              <w:pStyle w:val="47"/>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生产废水</w:t>
            </w:r>
          </w:p>
          <w:p>
            <w:pPr>
              <w:pStyle w:val="47"/>
              <w:ind w:firstLine="472"/>
              <w:rPr>
                <w:color w:val="auto"/>
                <w:spacing w:val="-2"/>
              </w:rPr>
            </w:pPr>
            <w:r>
              <w:rPr>
                <w:rFonts w:hint="eastAsia"/>
                <w:color w:val="auto"/>
                <w:spacing w:val="-2"/>
              </w:rPr>
              <w:t>本项目开采过程、道路降尘、成品堆场及表土临时堆场抑尘用水量约为</w:t>
            </w:r>
            <w:r>
              <w:rPr>
                <w:rFonts w:eastAsia="Times New Roman"/>
                <w:color w:val="auto"/>
              </w:rPr>
              <w:t>46.7</w:t>
            </w:r>
            <w:r>
              <w:rPr>
                <w:rFonts w:hint="eastAsia" w:eastAsia="Times New Roman"/>
                <w:color w:val="auto"/>
              </w:rPr>
              <w:t>m</w:t>
            </w:r>
            <w:r>
              <w:rPr>
                <w:rFonts w:hint="eastAsia" w:eastAsia="Times New Roman"/>
                <w:color w:val="auto"/>
                <w:position w:val="8"/>
                <w:sz w:val="15"/>
              </w:rPr>
              <w:t>3</w:t>
            </w:r>
            <w:r>
              <w:rPr>
                <w:rFonts w:hint="eastAsia" w:eastAsia="Times New Roman"/>
                <w:color w:val="auto"/>
              </w:rPr>
              <w:t>/d</w:t>
            </w:r>
            <w:r>
              <w:rPr>
                <w:rFonts w:hint="eastAsia"/>
                <w:color w:val="auto"/>
              </w:rPr>
              <w:t>（</w:t>
            </w:r>
            <w:r>
              <w:rPr>
                <w:rFonts w:eastAsia="Times New Roman"/>
                <w:color w:val="auto"/>
              </w:rPr>
              <w:t>14011.1</w:t>
            </w:r>
            <w:r>
              <w:rPr>
                <w:rFonts w:hint="eastAsia" w:eastAsia="Times New Roman"/>
                <w:color w:val="auto"/>
              </w:rPr>
              <w:t>m</w:t>
            </w:r>
            <w:r>
              <w:rPr>
                <w:rFonts w:hint="eastAsia" w:eastAsia="Times New Roman"/>
                <w:color w:val="auto"/>
                <w:position w:val="8"/>
                <w:sz w:val="15"/>
              </w:rPr>
              <w:t>3</w:t>
            </w:r>
            <w:r>
              <w:rPr>
                <w:rFonts w:hint="eastAsia" w:eastAsia="Times New Roman"/>
                <w:color w:val="auto"/>
              </w:rPr>
              <w:t>/a</w:t>
            </w:r>
            <w:r>
              <w:rPr>
                <w:rFonts w:hint="eastAsia"/>
                <w:color w:val="auto"/>
              </w:rPr>
              <w:t>），</w:t>
            </w:r>
            <w:r>
              <w:rPr>
                <w:rFonts w:hint="eastAsia"/>
                <w:color w:val="auto"/>
                <w:spacing w:val="-2"/>
              </w:rPr>
              <w:t>降尘用水全部蒸发损耗，无外排。</w:t>
            </w:r>
          </w:p>
          <w:p>
            <w:pPr>
              <w:pStyle w:val="47"/>
              <w:ind w:firstLine="480"/>
              <w:rPr>
                <w:color w:val="auto"/>
                <w:spacing w:val="-5"/>
              </w:rPr>
            </w:pPr>
            <w:r>
              <w:rPr>
                <w:color w:val="auto"/>
                <w:spacing w:val="-5"/>
              </w:rPr>
              <w:fldChar w:fldCharType="begin"/>
            </w:r>
            <w:r>
              <w:rPr>
                <w:color w:val="auto"/>
                <w:spacing w:val="-5"/>
              </w:rPr>
              <w:instrText xml:space="preserve"> </w:instrText>
            </w:r>
            <w:r>
              <w:rPr>
                <w:rFonts w:hint="eastAsia"/>
                <w:color w:val="auto"/>
                <w:spacing w:val="-5"/>
              </w:rPr>
              <w:instrText xml:space="preserve">= 2 \* GB3</w:instrText>
            </w:r>
            <w:r>
              <w:rPr>
                <w:color w:val="auto"/>
                <w:spacing w:val="-5"/>
              </w:rPr>
              <w:instrText xml:space="preserve"> </w:instrText>
            </w:r>
            <w:r>
              <w:rPr>
                <w:color w:val="auto"/>
                <w:spacing w:val="-5"/>
              </w:rPr>
              <w:fldChar w:fldCharType="separate"/>
            </w:r>
            <w:r>
              <w:rPr>
                <w:rFonts w:hint="eastAsia"/>
                <w:color w:val="auto"/>
                <w:spacing w:val="-5"/>
              </w:rPr>
              <w:t>②</w:t>
            </w:r>
            <w:r>
              <w:rPr>
                <w:color w:val="auto"/>
                <w:spacing w:val="-5"/>
              </w:rPr>
              <w:fldChar w:fldCharType="end"/>
            </w:r>
            <w:r>
              <w:rPr>
                <w:rFonts w:hint="eastAsia"/>
                <w:color w:val="auto"/>
                <w:spacing w:val="-5"/>
              </w:rPr>
              <w:t>车辆冲洗补充用水</w:t>
            </w:r>
          </w:p>
          <w:p>
            <w:pPr>
              <w:pStyle w:val="47"/>
              <w:ind w:firstLine="480"/>
              <w:rPr>
                <w:color w:val="auto"/>
              </w:rPr>
            </w:pPr>
            <w:r>
              <w:rPr>
                <w:rFonts w:hint="eastAsia"/>
                <w:color w:val="auto"/>
              </w:rPr>
              <w:t>项目运输车辆驶出场区出口前均需进行车辆清洗，本项目运输车辆冲洗水循环利用量约</w:t>
            </w:r>
            <w:r>
              <w:rPr>
                <w:rFonts w:hint="eastAsia" w:cs="仿宋"/>
                <w:color w:val="auto"/>
                <w:spacing w:val="-7"/>
              </w:rPr>
              <w:t>10m</w:t>
            </w:r>
            <w:r>
              <w:rPr>
                <w:rFonts w:hint="eastAsia" w:cs="仿宋"/>
                <w:color w:val="auto"/>
                <w:spacing w:val="-7"/>
                <w:position w:val="8"/>
                <w:sz w:val="15"/>
                <w:szCs w:val="15"/>
              </w:rPr>
              <w:t>3</w:t>
            </w:r>
            <w:r>
              <w:rPr>
                <w:rFonts w:hint="eastAsia" w:cs="仿宋"/>
                <w:color w:val="auto"/>
                <w:spacing w:val="-7"/>
              </w:rPr>
              <w:t>/d</w:t>
            </w:r>
            <w:r>
              <w:rPr>
                <w:rFonts w:hint="eastAsia"/>
                <w:color w:val="auto"/>
                <w:spacing w:val="-8"/>
              </w:rPr>
              <w:t>，集中</w:t>
            </w:r>
            <w:r>
              <w:rPr>
                <w:rFonts w:hint="eastAsia"/>
                <w:color w:val="auto"/>
                <w:spacing w:val="-14"/>
              </w:rPr>
              <w:t>收集至</w:t>
            </w:r>
            <w:r>
              <w:rPr>
                <w:rFonts w:hint="eastAsia" w:cs="仿宋"/>
                <w:color w:val="auto"/>
              </w:rPr>
              <w:t>10m</w:t>
            </w:r>
            <w:r>
              <w:rPr>
                <w:rFonts w:hint="eastAsia" w:cs="仿宋"/>
                <w:color w:val="auto"/>
                <w:position w:val="8"/>
                <w:sz w:val="15"/>
                <w:szCs w:val="15"/>
              </w:rPr>
              <w:t xml:space="preserve">3 </w:t>
            </w:r>
            <w:r>
              <w:rPr>
                <w:rFonts w:hint="eastAsia"/>
                <w:color w:val="auto"/>
              </w:rPr>
              <w:t>沉淀池沉淀后重复使用，补充冲洗水用水量为</w:t>
            </w:r>
            <w:r>
              <w:rPr>
                <w:rFonts w:hint="eastAsia" w:cs="仿宋"/>
                <w:color w:val="auto"/>
                <w:spacing w:val="-5"/>
              </w:rPr>
              <w:t>0.5m</w:t>
            </w:r>
            <w:r>
              <w:rPr>
                <w:rFonts w:hint="eastAsia" w:cs="仿宋"/>
                <w:color w:val="auto"/>
                <w:spacing w:val="-5"/>
                <w:position w:val="8"/>
                <w:sz w:val="15"/>
                <w:szCs w:val="15"/>
              </w:rPr>
              <w:t>3</w:t>
            </w:r>
            <w:r>
              <w:rPr>
                <w:rFonts w:hint="eastAsia" w:cs="仿宋"/>
                <w:color w:val="auto"/>
                <w:spacing w:val="-5"/>
              </w:rPr>
              <w:t>/d</w:t>
            </w:r>
            <w:r>
              <w:rPr>
                <w:rFonts w:hint="eastAsia"/>
                <w:color w:val="auto"/>
                <w:spacing w:val="-5"/>
              </w:rPr>
              <w:t>（</w:t>
            </w:r>
            <w:r>
              <w:rPr>
                <w:rFonts w:hint="eastAsia" w:cs="仿宋"/>
                <w:color w:val="auto"/>
                <w:spacing w:val="-5"/>
              </w:rPr>
              <w:t>150m</w:t>
            </w:r>
            <w:r>
              <w:rPr>
                <w:rFonts w:hint="eastAsia" w:cs="仿宋"/>
                <w:color w:val="auto"/>
                <w:spacing w:val="-5"/>
                <w:position w:val="8"/>
                <w:sz w:val="15"/>
                <w:szCs w:val="15"/>
              </w:rPr>
              <w:t>3</w:t>
            </w:r>
            <w:r>
              <w:rPr>
                <w:rFonts w:hint="eastAsia" w:cs="仿宋"/>
                <w:color w:val="auto"/>
                <w:spacing w:val="-5"/>
              </w:rPr>
              <w:t>/a</w:t>
            </w:r>
            <w:r>
              <w:rPr>
                <w:rFonts w:hint="eastAsia"/>
                <w:color w:val="auto"/>
                <w:spacing w:val="-5"/>
              </w:rPr>
              <w:t>），该部分</w:t>
            </w:r>
            <w:r>
              <w:rPr>
                <w:rFonts w:hint="eastAsia"/>
                <w:color w:val="auto"/>
              </w:rPr>
              <w:t>水将全部损耗。</w:t>
            </w:r>
          </w:p>
          <w:p>
            <w:pPr>
              <w:pStyle w:val="47"/>
              <w:ind w:firstLine="480"/>
              <w:rPr>
                <w:color w:val="auto"/>
                <w:spacing w:val="-5"/>
              </w:rPr>
            </w:pPr>
            <w:r>
              <w:rPr>
                <w:color w:val="auto"/>
                <w:spacing w:val="-5"/>
              </w:rPr>
              <w:fldChar w:fldCharType="begin"/>
            </w:r>
            <w:r>
              <w:rPr>
                <w:color w:val="auto"/>
                <w:spacing w:val="-5"/>
              </w:rPr>
              <w:instrText xml:space="preserve"> </w:instrText>
            </w:r>
            <w:r>
              <w:rPr>
                <w:rFonts w:hint="eastAsia"/>
                <w:color w:val="auto"/>
                <w:spacing w:val="-5"/>
              </w:rPr>
              <w:instrText xml:space="preserve">= 3 \* GB3</w:instrText>
            </w:r>
            <w:r>
              <w:rPr>
                <w:color w:val="auto"/>
                <w:spacing w:val="-5"/>
              </w:rPr>
              <w:instrText xml:space="preserve"> </w:instrText>
            </w:r>
            <w:r>
              <w:rPr>
                <w:color w:val="auto"/>
                <w:spacing w:val="-5"/>
              </w:rPr>
              <w:fldChar w:fldCharType="separate"/>
            </w:r>
            <w:r>
              <w:rPr>
                <w:rFonts w:hint="eastAsia"/>
                <w:color w:val="auto"/>
                <w:spacing w:val="-5"/>
              </w:rPr>
              <w:t>③</w:t>
            </w:r>
            <w:r>
              <w:rPr>
                <w:color w:val="auto"/>
                <w:spacing w:val="-5"/>
              </w:rPr>
              <w:fldChar w:fldCharType="end"/>
            </w:r>
            <w:r>
              <w:rPr>
                <w:rFonts w:hint="eastAsia"/>
                <w:color w:val="auto"/>
                <w:spacing w:val="-5"/>
              </w:rPr>
              <w:t>生活污水</w:t>
            </w:r>
          </w:p>
          <w:p>
            <w:pPr>
              <w:pStyle w:val="47"/>
              <w:ind w:firstLine="460"/>
              <w:rPr>
                <w:color w:val="auto"/>
              </w:rPr>
            </w:pPr>
            <w:r>
              <w:rPr>
                <w:rFonts w:hint="eastAsia"/>
                <w:color w:val="auto"/>
                <w:spacing w:val="-5"/>
              </w:rPr>
              <w:t>本项目运营期间劳动定员</w:t>
            </w:r>
            <w:r>
              <w:rPr>
                <w:rFonts w:hint="eastAsia" w:eastAsia="Times New Roman"/>
                <w:color w:val="auto"/>
              </w:rPr>
              <w:t>132</w:t>
            </w:r>
            <w:r>
              <w:rPr>
                <w:rFonts w:hint="eastAsia"/>
                <w:color w:val="auto"/>
              </w:rPr>
              <w:t>人，均在办公生活区食宿，生活废水</w:t>
            </w:r>
            <w:r>
              <w:rPr>
                <w:rFonts w:hint="eastAsia"/>
                <w:color w:val="auto"/>
                <w:spacing w:val="-8"/>
                <w:position w:val="2"/>
              </w:rPr>
              <w:t>产生量约为</w:t>
            </w:r>
            <w:r>
              <w:rPr>
                <w:rFonts w:hint="eastAsia" w:eastAsia="Times New Roman"/>
                <w:color w:val="auto"/>
                <w:position w:val="2"/>
              </w:rPr>
              <w:t>8.8m</w:t>
            </w:r>
            <w:r>
              <w:rPr>
                <w:rFonts w:hint="eastAsia" w:eastAsia="Times New Roman"/>
                <w:color w:val="auto"/>
                <w:position w:val="2"/>
                <w:vertAlign w:val="superscript"/>
              </w:rPr>
              <w:t>3</w:t>
            </w:r>
            <w:r>
              <w:rPr>
                <w:rFonts w:hint="eastAsia" w:eastAsia="Times New Roman"/>
                <w:color w:val="auto"/>
                <w:position w:val="2"/>
              </w:rPr>
              <w:t>/d</w:t>
            </w:r>
            <w:r>
              <w:rPr>
                <w:rFonts w:hint="eastAsia"/>
                <w:color w:val="auto"/>
                <w:position w:val="2"/>
              </w:rPr>
              <w:t>（</w:t>
            </w:r>
            <w:r>
              <w:rPr>
                <w:rFonts w:hint="eastAsia" w:eastAsia="Times New Roman"/>
                <w:color w:val="auto"/>
                <w:position w:val="2"/>
              </w:rPr>
              <w:t>2640m</w:t>
            </w:r>
            <w:r>
              <w:rPr>
                <w:rFonts w:hint="eastAsia" w:eastAsia="Times New Roman"/>
                <w:color w:val="auto"/>
                <w:position w:val="2"/>
                <w:vertAlign w:val="superscript"/>
              </w:rPr>
              <w:t>3</w:t>
            </w:r>
            <w:r>
              <w:rPr>
                <w:rFonts w:hint="eastAsia" w:eastAsia="Times New Roman"/>
                <w:color w:val="auto"/>
                <w:position w:val="2"/>
              </w:rPr>
              <w:t>/a</w:t>
            </w:r>
            <w:r>
              <w:rPr>
                <w:rFonts w:hint="eastAsia"/>
                <w:color w:val="auto"/>
                <w:position w:val="2"/>
              </w:rPr>
              <w:t>），</w:t>
            </w:r>
            <w:r>
              <w:rPr>
                <w:rFonts w:hint="eastAsia"/>
                <w:color w:val="auto"/>
                <w:spacing w:val="-10"/>
                <w:position w:val="2"/>
              </w:rPr>
              <w:t>主要污染物为</w:t>
            </w:r>
            <w:r>
              <w:rPr>
                <w:rFonts w:hint="eastAsia" w:eastAsia="Times New Roman"/>
                <w:color w:val="auto"/>
                <w:position w:val="2"/>
              </w:rPr>
              <w:t>COD</w:t>
            </w:r>
            <w:r>
              <w:rPr>
                <w:rFonts w:hint="eastAsia"/>
                <w:color w:val="auto"/>
                <w:spacing w:val="-3"/>
                <w:position w:val="2"/>
              </w:rPr>
              <w:t>、</w:t>
            </w:r>
            <w:r>
              <w:rPr>
                <w:rFonts w:hint="eastAsia" w:eastAsia="Times New Roman"/>
                <w:color w:val="auto"/>
                <w:position w:val="2"/>
              </w:rPr>
              <w:t>BOD</w:t>
            </w:r>
            <w:r>
              <w:rPr>
                <w:rFonts w:hint="eastAsia" w:eastAsia="Times New Roman"/>
                <w:color w:val="auto"/>
                <w:position w:val="2"/>
                <w:vertAlign w:val="subscript"/>
              </w:rPr>
              <w:t>5</w:t>
            </w:r>
            <w:r>
              <w:rPr>
                <w:rFonts w:hint="eastAsia"/>
                <w:color w:val="auto"/>
                <w:spacing w:val="-3"/>
                <w:position w:val="2"/>
              </w:rPr>
              <w:t>、</w:t>
            </w:r>
            <w:r>
              <w:rPr>
                <w:rFonts w:hint="eastAsia" w:eastAsia="Times New Roman"/>
                <w:color w:val="auto"/>
                <w:position w:val="2"/>
              </w:rPr>
              <w:t>SS</w:t>
            </w:r>
            <w:r>
              <w:rPr>
                <w:rFonts w:hint="eastAsia"/>
                <w:color w:val="auto"/>
                <w:spacing w:val="-4"/>
                <w:position w:val="2"/>
              </w:rPr>
              <w:t>，</w:t>
            </w:r>
            <w:r>
              <w:rPr>
                <w:rFonts w:hint="eastAsia"/>
                <w:color w:val="auto"/>
              </w:rPr>
              <w:t>矿区设置防渗旱厕，定期由周边居民拉走堆肥，不外排。</w:t>
            </w:r>
          </w:p>
          <w:p>
            <w:pPr>
              <w:spacing w:line="360" w:lineRule="auto"/>
              <w:ind w:firstLine="482"/>
              <w:rPr>
                <w:snapToGrid w:val="0"/>
                <w:sz w:val="24"/>
              </w:rPr>
            </w:pPr>
            <w:r>
              <w:rPr>
                <w:rFonts w:hint="eastAsia"/>
                <w:sz w:val="24"/>
              </w:rPr>
              <w:t>本项目所在区域地下水位在+1484m标高以下，而露天开采所获冶镁白云岩资源储量均在+1540m标高以上，项目矿坑范围虽然较大，产生局部洪流后可自然排泄，企业在采矿场最终边坡的安全平台及清扫平台上设置排水沟，可防止雨水流入矿坑；+1600m以下为凹陷露天式开采，夏季会产生矿坑积水，矿坑积水通过水泵外排至</w:t>
            </w:r>
            <w:r>
              <w:rPr>
                <w:rFonts w:hint="eastAsia"/>
                <w:kern w:val="1"/>
                <w:sz w:val="24"/>
              </w:rPr>
              <w:t>沉砂池沉淀（规格10m*15m*3m）后用于厂区洒水降尘</w:t>
            </w:r>
            <w:r>
              <w:rPr>
                <w:rFonts w:hint="eastAsia"/>
                <w:sz w:val="24"/>
              </w:rPr>
              <w:t>。</w:t>
            </w:r>
            <w:r>
              <w:rPr>
                <w:rFonts w:hint="eastAsia"/>
                <w:snapToGrid w:val="0"/>
                <w:sz w:val="24"/>
              </w:rPr>
              <w:t>夏季一用一备，暴雨时期两台同时工作。</w:t>
            </w:r>
          </w:p>
          <w:p>
            <w:pPr>
              <w:spacing w:line="360" w:lineRule="auto"/>
              <w:ind w:firstLine="482"/>
              <w:rPr>
                <w:sz w:val="24"/>
              </w:rPr>
            </w:pPr>
            <w:r>
              <w:rPr>
                <w:rFonts w:hint="eastAsia"/>
                <w:sz w:val="24"/>
              </w:rPr>
              <w:t>采取以上措施防治后，项目通过以上分析可知项目对周边水环境影响较小。</w:t>
            </w:r>
          </w:p>
          <w:p>
            <w:pPr>
              <w:pStyle w:val="47"/>
              <w:ind w:firstLine="482"/>
              <w:rPr>
                <w:rFonts w:ascii="宋体" w:hAnsi="宋体"/>
                <w:b/>
                <w:bCs/>
                <w:color w:val="auto"/>
              </w:rPr>
            </w:pPr>
            <w:r>
              <w:rPr>
                <w:rFonts w:hint="eastAsia" w:ascii="宋体" w:hAnsi="宋体"/>
                <w:b/>
                <w:bCs/>
                <w:color w:val="auto"/>
              </w:rPr>
              <w:t>（3）噪声</w:t>
            </w:r>
          </w:p>
          <w:p>
            <w:pPr>
              <w:pStyle w:val="47"/>
              <w:ind w:firstLine="480"/>
              <w:rPr>
                <w:color w:val="auto"/>
              </w:rPr>
            </w:pPr>
            <w:r>
              <w:rPr>
                <w:rFonts w:hint="eastAsia" w:ascii="宋体" w:hAnsi="宋体" w:cs="宋体"/>
                <w:color w:val="auto"/>
              </w:rPr>
              <w:t>1）</w:t>
            </w:r>
            <w:r>
              <w:rPr>
                <w:rFonts w:hint="eastAsia"/>
                <w:color w:val="auto"/>
              </w:rPr>
              <w:t>采矿区噪声</w:t>
            </w:r>
          </w:p>
          <w:p>
            <w:pPr>
              <w:pStyle w:val="47"/>
              <w:ind w:firstLine="480"/>
              <w:rPr>
                <w:color w:val="auto"/>
              </w:rPr>
            </w:pPr>
            <w:r>
              <w:rPr>
                <w:rFonts w:hint="eastAsia"/>
                <w:color w:val="auto"/>
              </w:rPr>
              <w:t>采矿区主要噪声源有偶发的爆破噪声，装载机、挖掘机等设备产生的噪声等，由于项目采矿设备均位于室外，且位置不确定。本项目采矿区主要设备噪声源给出设备名称，型号，声功率级、声源控制措施和运行时段、见下表 。</w:t>
            </w:r>
          </w:p>
          <w:p>
            <w:pPr>
              <w:pStyle w:val="28"/>
              <w:numPr>
                <w:ilvl w:val="0"/>
                <w:numId w:val="2"/>
              </w:numPr>
              <w:spacing w:line="480" w:lineRule="exact"/>
              <w:ind w:firstLineChars="0"/>
              <w:jc w:val="center"/>
              <w:rPr>
                <w:b/>
                <w:bCs/>
                <w:sz w:val="24"/>
              </w:rPr>
            </w:pPr>
            <w:r>
              <w:rPr>
                <w:rFonts w:hint="eastAsia"/>
                <w:b/>
                <w:bCs/>
                <w:sz w:val="24"/>
              </w:rPr>
              <w:t>采矿区主要设备噪声源强一览表</w:t>
            </w:r>
          </w:p>
          <w:tbl>
            <w:tblPr>
              <w:tblStyle w:val="22"/>
              <w:tblW w:w="888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96"/>
              <w:gridCol w:w="1380"/>
              <w:gridCol w:w="989"/>
              <w:gridCol w:w="989"/>
              <w:gridCol w:w="989"/>
              <w:gridCol w:w="1281"/>
              <w:gridCol w:w="1282"/>
              <w:gridCol w:w="12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b/>
                      <w:kern w:val="0"/>
                      <w:szCs w:val="22"/>
                      <w:lang w:val="zh-CN" w:bidi="zh-CN"/>
                    </w:rPr>
                  </w:pPr>
                  <w:r>
                    <w:rPr>
                      <w:rFonts w:hint="eastAsia" w:cs="宋体"/>
                      <w:b/>
                      <w:kern w:val="0"/>
                      <w:szCs w:val="22"/>
                      <w:lang w:val="zh-CN" w:bidi="zh-CN"/>
                    </w:rPr>
                    <w:t>序号</w:t>
                  </w:r>
                </w:p>
              </w:tc>
              <w:tc>
                <w:tcPr>
                  <w:tcW w:w="1380" w:type="dxa"/>
                  <w:shd w:val="clear" w:color="auto" w:fill="auto"/>
                  <w:vAlign w:val="center"/>
                </w:tcPr>
                <w:p>
                  <w:pPr>
                    <w:autoSpaceDE w:val="0"/>
                    <w:autoSpaceDN w:val="0"/>
                    <w:spacing w:line="360" w:lineRule="exact"/>
                    <w:jc w:val="center"/>
                    <w:rPr>
                      <w:rFonts w:cs="宋体"/>
                      <w:b/>
                      <w:kern w:val="0"/>
                      <w:szCs w:val="22"/>
                      <w:lang w:val="zh-CN" w:bidi="zh-CN"/>
                    </w:rPr>
                  </w:pPr>
                  <w:r>
                    <w:rPr>
                      <w:rFonts w:hint="eastAsia" w:cs="宋体"/>
                      <w:b/>
                      <w:kern w:val="0"/>
                      <w:szCs w:val="22"/>
                      <w:lang w:val="zh-CN" w:bidi="zh-CN"/>
                    </w:rPr>
                    <w:t>设备名称</w:t>
                  </w:r>
                </w:p>
              </w:tc>
              <w:tc>
                <w:tcPr>
                  <w:tcW w:w="989" w:type="dxa"/>
                  <w:vAlign w:val="center"/>
                </w:tcPr>
                <w:p>
                  <w:pPr>
                    <w:autoSpaceDE w:val="0"/>
                    <w:autoSpaceDN w:val="0"/>
                    <w:spacing w:line="360" w:lineRule="exact"/>
                    <w:jc w:val="center"/>
                    <w:rPr>
                      <w:kern w:val="0"/>
                      <w:szCs w:val="21"/>
                    </w:rPr>
                  </w:pPr>
                  <w:r>
                    <w:rPr>
                      <w:rFonts w:hint="eastAsia"/>
                      <w:kern w:val="0"/>
                      <w:szCs w:val="21"/>
                    </w:rPr>
                    <w:t>型号</w:t>
                  </w:r>
                </w:p>
              </w:tc>
              <w:tc>
                <w:tcPr>
                  <w:tcW w:w="989" w:type="dxa"/>
                  <w:vAlign w:val="center"/>
                </w:tcPr>
                <w:p>
                  <w:pPr>
                    <w:autoSpaceDE w:val="0"/>
                    <w:autoSpaceDN w:val="0"/>
                    <w:spacing w:line="360" w:lineRule="exact"/>
                    <w:jc w:val="center"/>
                    <w:rPr>
                      <w:rFonts w:cs="宋体"/>
                      <w:b/>
                      <w:kern w:val="0"/>
                      <w:szCs w:val="22"/>
                      <w:lang w:val="zh-CN" w:bidi="zh-CN"/>
                    </w:rPr>
                  </w:pPr>
                  <w:r>
                    <w:rPr>
                      <w:rFonts w:hint="eastAsia"/>
                      <w:kern w:val="0"/>
                      <w:szCs w:val="21"/>
                    </w:rPr>
                    <w:t>单位</w:t>
                  </w:r>
                </w:p>
              </w:tc>
              <w:tc>
                <w:tcPr>
                  <w:tcW w:w="989" w:type="dxa"/>
                  <w:shd w:val="clear" w:color="auto" w:fill="auto"/>
                  <w:vAlign w:val="center"/>
                </w:tcPr>
                <w:p>
                  <w:pPr>
                    <w:autoSpaceDE w:val="0"/>
                    <w:autoSpaceDN w:val="0"/>
                    <w:spacing w:line="360" w:lineRule="exact"/>
                    <w:jc w:val="center"/>
                    <w:rPr>
                      <w:rFonts w:cs="宋体"/>
                      <w:b/>
                      <w:kern w:val="0"/>
                      <w:szCs w:val="22"/>
                      <w:lang w:val="zh-CN" w:bidi="zh-CN"/>
                    </w:rPr>
                  </w:pPr>
                  <w:r>
                    <w:rPr>
                      <w:rFonts w:hint="eastAsia" w:cs="宋体"/>
                      <w:b/>
                      <w:kern w:val="0"/>
                      <w:szCs w:val="22"/>
                      <w:lang w:val="zh-CN" w:bidi="zh-CN"/>
                    </w:rPr>
                    <w:t>数量</w:t>
                  </w:r>
                </w:p>
              </w:tc>
              <w:tc>
                <w:tcPr>
                  <w:tcW w:w="1281" w:type="dxa"/>
                  <w:shd w:val="clear" w:color="auto" w:fill="auto"/>
                  <w:vAlign w:val="center"/>
                </w:tcPr>
                <w:p>
                  <w:pPr>
                    <w:autoSpaceDE w:val="0"/>
                    <w:autoSpaceDN w:val="0"/>
                    <w:spacing w:line="360" w:lineRule="exact"/>
                    <w:jc w:val="center"/>
                    <w:rPr>
                      <w:rFonts w:cs="宋体"/>
                      <w:b/>
                      <w:kern w:val="0"/>
                      <w:szCs w:val="22"/>
                      <w:lang w:val="zh-CN" w:bidi="zh-CN"/>
                    </w:rPr>
                  </w:pPr>
                  <w:r>
                    <w:rPr>
                      <w:rFonts w:hint="eastAsia" w:cs="宋体"/>
                      <w:b/>
                      <w:kern w:val="0"/>
                      <w:szCs w:val="22"/>
                      <w:lang w:val="zh-CN" w:bidi="zh-CN"/>
                    </w:rPr>
                    <w:t>噪声值 dB（A）</w:t>
                  </w:r>
                </w:p>
              </w:tc>
              <w:tc>
                <w:tcPr>
                  <w:tcW w:w="1282" w:type="dxa"/>
                  <w:vAlign w:val="center"/>
                </w:tcPr>
                <w:p>
                  <w:pPr>
                    <w:autoSpaceDE w:val="0"/>
                    <w:autoSpaceDN w:val="0"/>
                    <w:spacing w:line="360" w:lineRule="exact"/>
                    <w:jc w:val="center"/>
                    <w:rPr>
                      <w:rFonts w:cs="宋体"/>
                      <w:b/>
                      <w:kern w:val="0"/>
                      <w:szCs w:val="22"/>
                      <w:lang w:val="zh-CN" w:bidi="zh-CN"/>
                    </w:rPr>
                  </w:pPr>
                  <w:r>
                    <w:rPr>
                      <w:rFonts w:hint="eastAsia" w:cs="宋体"/>
                      <w:b/>
                      <w:kern w:val="0"/>
                      <w:szCs w:val="22"/>
                      <w:lang w:val="zh-CN" w:bidi="zh-CN"/>
                    </w:rPr>
                    <w:t>声源控制措施</w:t>
                  </w:r>
                </w:p>
              </w:tc>
              <w:tc>
                <w:tcPr>
                  <w:tcW w:w="1276" w:type="dxa"/>
                  <w:vAlign w:val="center"/>
                </w:tcPr>
                <w:p>
                  <w:pPr>
                    <w:autoSpaceDE w:val="0"/>
                    <w:autoSpaceDN w:val="0"/>
                    <w:spacing w:line="360" w:lineRule="exact"/>
                    <w:jc w:val="center"/>
                    <w:rPr>
                      <w:rFonts w:cs="宋体"/>
                      <w:b/>
                      <w:kern w:val="0"/>
                      <w:szCs w:val="22"/>
                      <w:lang w:val="zh-CN" w:bidi="zh-CN"/>
                    </w:rPr>
                  </w:pPr>
                  <w:r>
                    <w:rPr>
                      <w:rFonts w:hint="eastAsia" w:cs="宋体"/>
                      <w:b/>
                      <w:kern w:val="0"/>
                      <w:szCs w:val="22"/>
                      <w:lang w:val="zh-CN" w:bidi="zh-CN"/>
                    </w:rPr>
                    <w:t>运行时段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w:t>
                  </w:r>
                </w:p>
              </w:tc>
              <w:tc>
                <w:tcPr>
                  <w:tcW w:w="138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爆破过程</w:t>
                  </w:r>
                </w:p>
              </w:tc>
              <w:tc>
                <w:tcPr>
                  <w:tcW w:w="989" w:type="dxa"/>
                  <w:vAlign w:val="center"/>
                </w:tcPr>
                <w:p>
                  <w:pPr>
                    <w:autoSpaceDE w:val="0"/>
                    <w:autoSpaceDN w:val="0"/>
                    <w:spacing w:line="360" w:lineRule="exact"/>
                    <w:jc w:val="center"/>
                    <w:rPr>
                      <w:kern w:val="0"/>
                      <w:szCs w:val="21"/>
                    </w:rPr>
                  </w:pPr>
                  <w:r>
                    <w:rPr>
                      <w:rFonts w:hint="eastAsia"/>
                      <w:kern w:val="0"/>
                      <w:szCs w:val="21"/>
                    </w:rPr>
                    <w:t>/</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w:t>
                  </w:r>
                </w:p>
              </w:tc>
              <w:tc>
                <w:tcPr>
                  <w:tcW w:w="989" w:type="dxa"/>
                  <w:shd w:val="clear" w:color="auto" w:fill="auto"/>
                  <w:vAlign w:val="center"/>
                </w:tcPr>
                <w:p>
                  <w:pPr>
                    <w:autoSpaceDE w:val="0"/>
                    <w:autoSpaceDN w:val="0"/>
                    <w:spacing w:line="360" w:lineRule="exact"/>
                    <w:jc w:val="center"/>
                    <w:rPr>
                      <w:rFonts w:cs="宋体"/>
                      <w:b/>
                      <w:kern w:val="0"/>
                      <w:szCs w:val="22"/>
                      <w:lang w:val="zh-CN" w:bidi="zh-CN"/>
                    </w:rPr>
                  </w:pPr>
                  <w:r>
                    <w:rPr>
                      <w:rFonts w:hint="eastAsia" w:cs="宋体"/>
                      <w:b/>
                      <w:w w:val="99"/>
                      <w:kern w:val="0"/>
                      <w:szCs w:val="22"/>
                      <w:lang w:val="zh-CN" w:bidi="zh-CN"/>
                    </w:rPr>
                    <w:t>/</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110（偶发）</w:t>
                  </w:r>
                </w:p>
              </w:tc>
              <w:tc>
                <w:tcPr>
                  <w:tcW w:w="1282"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深孔爆破</w:t>
                  </w:r>
                </w:p>
              </w:tc>
              <w:tc>
                <w:tcPr>
                  <w:tcW w:w="127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8:</w:t>
                  </w:r>
                  <w:r>
                    <w:rPr>
                      <w:rFonts w:cs="宋体"/>
                      <w:kern w:val="0"/>
                      <w:szCs w:val="22"/>
                      <w:lang w:val="zh-CN" w:bidi="zh-CN"/>
                    </w:rPr>
                    <w:t>00~18</w:t>
                  </w:r>
                  <w:r>
                    <w:rPr>
                      <w:rFonts w:hint="eastAsia" w:cs="宋体"/>
                      <w:kern w:val="0"/>
                      <w:szCs w:val="22"/>
                      <w:lang w:val="zh-CN" w:bidi="zh-CN"/>
                    </w:rPr>
                    <w:t>:</w:t>
                  </w:r>
                  <w:r>
                    <w:rPr>
                      <w:rFonts w:cs="宋体"/>
                      <w:kern w:val="0"/>
                      <w:szCs w:val="22"/>
                      <w:lang w:val="zh-CN" w:bidi="zh-CN"/>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2</w:t>
                  </w:r>
                </w:p>
              </w:tc>
              <w:tc>
                <w:tcPr>
                  <w:tcW w:w="138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szCs w:val="21"/>
                    </w:rPr>
                    <w:t>潜孔钻机</w:t>
                  </w:r>
                </w:p>
              </w:tc>
              <w:tc>
                <w:tcPr>
                  <w:tcW w:w="989" w:type="dxa"/>
                  <w:vAlign w:val="center"/>
                </w:tcPr>
                <w:p>
                  <w:pPr>
                    <w:autoSpaceDE w:val="0"/>
                    <w:autoSpaceDN w:val="0"/>
                    <w:spacing w:line="360" w:lineRule="exact"/>
                    <w:jc w:val="center"/>
                    <w:rPr>
                      <w:kern w:val="0"/>
                      <w:szCs w:val="21"/>
                    </w:rPr>
                  </w:pPr>
                  <w:r>
                    <w:rPr>
                      <w:rFonts w:hint="eastAsia"/>
                      <w:kern w:val="0"/>
                      <w:szCs w:val="21"/>
                    </w:rPr>
                    <w:t>孔径150mm</w:t>
                  </w:r>
                </w:p>
              </w:tc>
              <w:tc>
                <w:tcPr>
                  <w:tcW w:w="989" w:type="dxa"/>
                  <w:vAlign w:val="center"/>
                </w:tcPr>
                <w:p>
                  <w:pPr>
                    <w:autoSpaceDE w:val="0"/>
                    <w:autoSpaceDN w:val="0"/>
                    <w:spacing w:line="360" w:lineRule="exact"/>
                    <w:jc w:val="center"/>
                    <w:rPr>
                      <w:kern w:val="0"/>
                      <w:szCs w:val="21"/>
                    </w:rPr>
                  </w:pPr>
                  <w:r>
                    <w:rPr>
                      <w:rFonts w:hint="eastAsia"/>
                      <w:kern w:val="0"/>
                      <w:szCs w:val="21"/>
                    </w:rPr>
                    <w:t>台</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6</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85~90</w:t>
                  </w:r>
                </w:p>
              </w:tc>
              <w:tc>
                <w:tcPr>
                  <w:tcW w:w="1282" w:type="dxa"/>
                  <w:vMerge w:val="restart"/>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采用低噪声设备、定期维护、保养</w:t>
                  </w:r>
                </w:p>
              </w:tc>
              <w:tc>
                <w:tcPr>
                  <w:tcW w:w="1276" w:type="dxa"/>
                  <w:vMerge w:val="restart"/>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6:</w:t>
                  </w:r>
                  <w:r>
                    <w:rPr>
                      <w:rFonts w:cs="宋体"/>
                      <w:kern w:val="0"/>
                      <w:szCs w:val="22"/>
                      <w:lang w:val="zh-CN" w:bidi="zh-CN"/>
                    </w:rPr>
                    <w:t>00~22</w:t>
                  </w:r>
                  <w:r>
                    <w:rPr>
                      <w:rFonts w:hint="eastAsia" w:cs="宋体"/>
                      <w:kern w:val="0"/>
                      <w:szCs w:val="22"/>
                      <w:lang w:val="zh-CN" w:bidi="zh-CN"/>
                    </w:rPr>
                    <w:t>:</w:t>
                  </w:r>
                  <w:r>
                    <w:rPr>
                      <w:rFonts w:cs="宋体"/>
                      <w:kern w:val="0"/>
                      <w:szCs w:val="22"/>
                      <w:lang w:val="zh-CN" w:bidi="zh-CN"/>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3</w:t>
                  </w:r>
                </w:p>
              </w:tc>
              <w:tc>
                <w:tcPr>
                  <w:tcW w:w="138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szCs w:val="21"/>
                    </w:rPr>
                    <w:t>液压挖掘机</w:t>
                  </w:r>
                </w:p>
              </w:tc>
              <w:tc>
                <w:tcPr>
                  <w:tcW w:w="989" w:type="dxa"/>
                  <w:vAlign w:val="center"/>
                </w:tcPr>
                <w:p>
                  <w:pPr>
                    <w:autoSpaceDE w:val="0"/>
                    <w:autoSpaceDN w:val="0"/>
                    <w:spacing w:line="360" w:lineRule="exact"/>
                    <w:jc w:val="center"/>
                    <w:rPr>
                      <w:kern w:val="0"/>
                      <w:szCs w:val="21"/>
                    </w:rPr>
                  </w:pPr>
                  <w:r>
                    <w:rPr>
                      <w:rFonts w:hint="eastAsia"/>
                      <w:kern w:val="0"/>
                      <w:szCs w:val="21"/>
                    </w:rPr>
                    <w:t>斗容2m³</w:t>
                  </w:r>
                </w:p>
              </w:tc>
              <w:tc>
                <w:tcPr>
                  <w:tcW w:w="989" w:type="dxa"/>
                  <w:vAlign w:val="center"/>
                </w:tcPr>
                <w:p>
                  <w:pPr>
                    <w:autoSpaceDE w:val="0"/>
                    <w:autoSpaceDN w:val="0"/>
                    <w:spacing w:line="360" w:lineRule="exact"/>
                    <w:jc w:val="center"/>
                    <w:rPr>
                      <w:kern w:val="0"/>
                      <w:szCs w:val="21"/>
                    </w:rPr>
                  </w:pPr>
                  <w:r>
                    <w:rPr>
                      <w:rFonts w:hint="eastAsia"/>
                      <w:kern w:val="0"/>
                      <w:szCs w:val="21"/>
                    </w:rPr>
                    <w:t>台</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7</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85~95</w:t>
                  </w:r>
                </w:p>
              </w:tc>
              <w:tc>
                <w:tcPr>
                  <w:tcW w:w="1282" w:type="dxa"/>
                  <w:vMerge w:val="continue"/>
                  <w:vAlign w:val="center"/>
                </w:tcPr>
                <w:p>
                  <w:pPr>
                    <w:autoSpaceDE w:val="0"/>
                    <w:autoSpaceDN w:val="0"/>
                    <w:spacing w:line="360" w:lineRule="exact"/>
                    <w:jc w:val="center"/>
                    <w:rPr>
                      <w:rFonts w:cs="宋体"/>
                      <w:kern w:val="0"/>
                      <w:szCs w:val="22"/>
                      <w:lang w:val="zh-CN" w:bidi="zh-CN"/>
                    </w:rPr>
                  </w:pPr>
                </w:p>
              </w:tc>
              <w:tc>
                <w:tcPr>
                  <w:tcW w:w="1276" w:type="dxa"/>
                  <w:vMerge w:val="continue"/>
                  <w:vAlign w:val="center"/>
                </w:tcPr>
                <w:p>
                  <w:pPr>
                    <w:autoSpaceDE w:val="0"/>
                    <w:autoSpaceDN w:val="0"/>
                    <w:spacing w:line="360" w:lineRule="exact"/>
                    <w:jc w:val="center"/>
                    <w:rPr>
                      <w:rFonts w:cs="宋体"/>
                      <w:kern w:val="0"/>
                      <w:szCs w:val="22"/>
                      <w:lang w:val="zh-CN" w:bidi="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4</w:t>
                  </w:r>
                </w:p>
              </w:tc>
              <w:tc>
                <w:tcPr>
                  <w:tcW w:w="138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szCs w:val="21"/>
                    </w:rPr>
                    <w:t>装载机</w:t>
                  </w:r>
                </w:p>
              </w:tc>
              <w:tc>
                <w:tcPr>
                  <w:tcW w:w="989" w:type="dxa"/>
                  <w:vAlign w:val="center"/>
                </w:tcPr>
                <w:p>
                  <w:pPr>
                    <w:autoSpaceDE w:val="0"/>
                    <w:autoSpaceDN w:val="0"/>
                    <w:spacing w:line="360" w:lineRule="exact"/>
                    <w:jc w:val="center"/>
                    <w:rPr>
                      <w:kern w:val="0"/>
                      <w:szCs w:val="21"/>
                    </w:rPr>
                  </w:pPr>
                  <w:r>
                    <w:rPr>
                      <w:rFonts w:hint="eastAsia"/>
                      <w:kern w:val="0"/>
                      <w:szCs w:val="21"/>
                    </w:rPr>
                    <w:t>ZL-50</w:t>
                  </w:r>
                </w:p>
              </w:tc>
              <w:tc>
                <w:tcPr>
                  <w:tcW w:w="989" w:type="dxa"/>
                  <w:vAlign w:val="center"/>
                </w:tcPr>
                <w:p>
                  <w:pPr>
                    <w:autoSpaceDE w:val="0"/>
                    <w:autoSpaceDN w:val="0"/>
                    <w:spacing w:line="360" w:lineRule="exact"/>
                    <w:jc w:val="center"/>
                    <w:rPr>
                      <w:kern w:val="0"/>
                      <w:szCs w:val="21"/>
                    </w:rPr>
                  </w:pPr>
                  <w:r>
                    <w:rPr>
                      <w:rFonts w:hint="eastAsia"/>
                      <w:kern w:val="0"/>
                      <w:szCs w:val="21"/>
                    </w:rPr>
                    <w:t>台</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3</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85～90</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5</w:t>
                  </w:r>
                </w:p>
              </w:tc>
              <w:tc>
                <w:tcPr>
                  <w:tcW w:w="1380" w:type="dxa"/>
                  <w:shd w:val="clear" w:color="auto" w:fill="auto"/>
                  <w:vAlign w:val="center"/>
                </w:tcPr>
                <w:p>
                  <w:pPr>
                    <w:autoSpaceDE w:val="0"/>
                    <w:autoSpaceDN w:val="0"/>
                    <w:spacing w:line="360" w:lineRule="exact"/>
                    <w:jc w:val="center"/>
                    <w:rPr>
                      <w:rFonts w:cs="宋体"/>
                      <w:kern w:val="0"/>
                      <w:szCs w:val="22"/>
                      <w:lang w:val="zh-CN" w:bidi="zh-CN"/>
                    </w:rPr>
                  </w:pPr>
                  <w:r>
                    <w:rPr>
                      <w:rFonts w:hint="eastAsia"/>
                      <w:kern w:val="0"/>
                      <w:szCs w:val="21"/>
                    </w:rPr>
                    <w:t>自卸卡车</w:t>
                  </w:r>
                </w:p>
              </w:tc>
              <w:tc>
                <w:tcPr>
                  <w:tcW w:w="989" w:type="dxa"/>
                  <w:vAlign w:val="center"/>
                </w:tcPr>
                <w:p>
                  <w:pPr>
                    <w:autoSpaceDE w:val="0"/>
                    <w:autoSpaceDN w:val="0"/>
                    <w:spacing w:line="360" w:lineRule="exact"/>
                    <w:jc w:val="center"/>
                    <w:rPr>
                      <w:kern w:val="0"/>
                      <w:szCs w:val="21"/>
                    </w:rPr>
                  </w:pPr>
                  <w:r>
                    <w:rPr>
                      <w:rFonts w:hint="eastAsia"/>
                      <w:kern w:val="0"/>
                      <w:szCs w:val="21"/>
                    </w:rPr>
                    <w:t>载重32t</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辆</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26</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79～85</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6</w:t>
                  </w:r>
                </w:p>
              </w:tc>
              <w:tc>
                <w:tcPr>
                  <w:tcW w:w="1380" w:type="dxa"/>
                  <w:shd w:val="clear" w:color="auto" w:fill="auto"/>
                  <w:vAlign w:val="center"/>
                </w:tcPr>
                <w:p>
                  <w:pPr>
                    <w:autoSpaceDE w:val="0"/>
                    <w:autoSpaceDN w:val="0"/>
                    <w:spacing w:line="360" w:lineRule="exact"/>
                    <w:jc w:val="center"/>
                    <w:rPr>
                      <w:kern w:val="0"/>
                      <w:szCs w:val="21"/>
                    </w:rPr>
                  </w:pPr>
                  <w:r>
                    <w:rPr>
                      <w:rFonts w:hint="eastAsia"/>
                      <w:kern w:val="0"/>
                      <w:szCs w:val="21"/>
                    </w:rPr>
                    <w:t>推土机</w:t>
                  </w:r>
                </w:p>
              </w:tc>
              <w:tc>
                <w:tcPr>
                  <w:tcW w:w="989" w:type="dxa"/>
                  <w:vAlign w:val="center"/>
                </w:tcPr>
                <w:p>
                  <w:pPr>
                    <w:autoSpaceDE w:val="0"/>
                    <w:autoSpaceDN w:val="0"/>
                    <w:spacing w:line="360" w:lineRule="exact"/>
                    <w:jc w:val="center"/>
                    <w:rPr>
                      <w:kern w:val="0"/>
                      <w:szCs w:val="21"/>
                    </w:rPr>
                  </w:pPr>
                  <w:r>
                    <w:rPr>
                      <w:rFonts w:hint="eastAsia"/>
                      <w:kern w:val="0"/>
                      <w:szCs w:val="21"/>
                    </w:rPr>
                    <w:t>120马力</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台</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2</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85～90</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7</w:t>
                  </w:r>
                </w:p>
              </w:tc>
              <w:tc>
                <w:tcPr>
                  <w:tcW w:w="1380" w:type="dxa"/>
                  <w:shd w:val="clear" w:color="auto" w:fill="auto"/>
                  <w:vAlign w:val="center"/>
                </w:tcPr>
                <w:p>
                  <w:pPr>
                    <w:autoSpaceDE w:val="0"/>
                    <w:autoSpaceDN w:val="0"/>
                    <w:spacing w:line="360" w:lineRule="exact"/>
                    <w:jc w:val="center"/>
                    <w:rPr>
                      <w:kern w:val="0"/>
                      <w:szCs w:val="21"/>
                    </w:rPr>
                  </w:pPr>
                  <w:r>
                    <w:rPr>
                      <w:rFonts w:hint="eastAsia"/>
                      <w:kern w:val="0"/>
                      <w:szCs w:val="21"/>
                    </w:rPr>
                    <w:t>加油车</w:t>
                  </w:r>
                </w:p>
              </w:tc>
              <w:tc>
                <w:tcPr>
                  <w:tcW w:w="989" w:type="dxa"/>
                  <w:vAlign w:val="center"/>
                </w:tcPr>
                <w:p>
                  <w:pPr>
                    <w:autoSpaceDE w:val="0"/>
                    <w:autoSpaceDN w:val="0"/>
                    <w:spacing w:line="360" w:lineRule="exact"/>
                    <w:jc w:val="center"/>
                    <w:rPr>
                      <w:kern w:val="0"/>
                      <w:szCs w:val="21"/>
                    </w:rPr>
                  </w:pPr>
                  <w:r>
                    <w:rPr>
                      <w:rFonts w:hint="eastAsia"/>
                      <w:kern w:val="0"/>
                      <w:szCs w:val="21"/>
                    </w:rPr>
                    <w:t>载重10t</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辆</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1</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79～85</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8</w:t>
                  </w:r>
                </w:p>
              </w:tc>
              <w:tc>
                <w:tcPr>
                  <w:tcW w:w="1380" w:type="dxa"/>
                  <w:shd w:val="clear" w:color="auto" w:fill="auto"/>
                  <w:vAlign w:val="center"/>
                </w:tcPr>
                <w:p>
                  <w:pPr>
                    <w:autoSpaceDE w:val="0"/>
                    <w:autoSpaceDN w:val="0"/>
                    <w:spacing w:line="360" w:lineRule="exact"/>
                    <w:jc w:val="center"/>
                    <w:rPr>
                      <w:kern w:val="0"/>
                      <w:szCs w:val="21"/>
                    </w:rPr>
                  </w:pPr>
                  <w:r>
                    <w:rPr>
                      <w:rFonts w:hint="eastAsia"/>
                      <w:kern w:val="0"/>
                      <w:szCs w:val="21"/>
                    </w:rPr>
                    <w:t>消防洒水车</w:t>
                  </w:r>
                </w:p>
              </w:tc>
              <w:tc>
                <w:tcPr>
                  <w:tcW w:w="989" w:type="dxa"/>
                  <w:vAlign w:val="center"/>
                </w:tcPr>
                <w:p>
                  <w:pPr>
                    <w:autoSpaceDE w:val="0"/>
                    <w:autoSpaceDN w:val="0"/>
                    <w:spacing w:line="360" w:lineRule="exact"/>
                    <w:jc w:val="center"/>
                    <w:rPr>
                      <w:kern w:val="0"/>
                      <w:szCs w:val="21"/>
                    </w:rPr>
                  </w:pPr>
                  <w:r>
                    <w:rPr>
                      <w:rFonts w:hint="eastAsia"/>
                      <w:kern w:val="0"/>
                      <w:szCs w:val="21"/>
                    </w:rPr>
                    <w:t>载重10t</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辆</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1</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79～85</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9</w:t>
                  </w:r>
                </w:p>
              </w:tc>
              <w:tc>
                <w:tcPr>
                  <w:tcW w:w="1380" w:type="dxa"/>
                  <w:shd w:val="clear" w:color="auto" w:fill="auto"/>
                  <w:vAlign w:val="center"/>
                </w:tcPr>
                <w:p>
                  <w:pPr>
                    <w:autoSpaceDE w:val="0"/>
                    <w:autoSpaceDN w:val="0"/>
                    <w:spacing w:line="360" w:lineRule="exact"/>
                    <w:jc w:val="center"/>
                    <w:rPr>
                      <w:kern w:val="0"/>
                      <w:szCs w:val="21"/>
                    </w:rPr>
                  </w:pPr>
                  <w:r>
                    <w:rPr>
                      <w:rFonts w:hint="eastAsia"/>
                      <w:kern w:val="0"/>
                      <w:szCs w:val="21"/>
                    </w:rPr>
                    <w:t>材料运输及生产指挥车</w:t>
                  </w:r>
                </w:p>
              </w:tc>
              <w:tc>
                <w:tcPr>
                  <w:tcW w:w="989" w:type="dxa"/>
                  <w:vAlign w:val="center"/>
                </w:tcPr>
                <w:p>
                  <w:pPr>
                    <w:autoSpaceDE w:val="0"/>
                    <w:autoSpaceDN w:val="0"/>
                    <w:spacing w:line="360" w:lineRule="exact"/>
                    <w:jc w:val="center"/>
                    <w:rPr>
                      <w:kern w:val="0"/>
                      <w:szCs w:val="21"/>
                    </w:rPr>
                  </w:pPr>
                  <w:r>
                    <w:rPr>
                      <w:rFonts w:hint="eastAsia"/>
                      <w:kern w:val="0"/>
                      <w:szCs w:val="21"/>
                    </w:rPr>
                    <w:t>皮卡</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辆</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2</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79～85</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10</w:t>
                  </w:r>
                </w:p>
              </w:tc>
              <w:tc>
                <w:tcPr>
                  <w:tcW w:w="1380" w:type="dxa"/>
                  <w:shd w:val="clear" w:color="auto" w:fill="auto"/>
                  <w:vAlign w:val="center"/>
                </w:tcPr>
                <w:p>
                  <w:pPr>
                    <w:autoSpaceDE w:val="0"/>
                    <w:autoSpaceDN w:val="0"/>
                    <w:spacing w:line="360" w:lineRule="exact"/>
                    <w:jc w:val="center"/>
                    <w:rPr>
                      <w:kern w:val="0"/>
                      <w:szCs w:val="21"/>
                    </w:rPr>
                  </w:pPr>
                  <w:r>
                    <w:rPr>
                      <w:rFonts w:hint="eastAsia"/>
                      <w:kern w:val="0"/>
                      <w:szCs w:val="21"/>
                    </w:rPr>
                    <w:t>平路机</w:t>
                  </w:r>
                </w:p>
              </w:tc>
              <w:tc>
                <w:tcPr>
                  <w:tcW w:w="989" w:type="dxa"/>
                  <w:vAlign w:val="center"/>
                </w:tcPr>
                <w:p>
                  <w:pPr>
                    <w:autoSpaceDE w:val="0"/>
                    <w:autoSpaceDN w:val="0"/>
                    <w:spacing w:line="360" w:lineRule="exact"/>
                    <w:jc w:val="center"/>
                    <w:rPr>
                      <w:kern w:val="0"/>
                      <w:szCs w:val="21"/>
                    </w:rPr>
                  </w:pPr>
                  <w:r>
                    <w:rPr>
                      <w:rFonts w:hint="eastAsia"/>
                      <w:kern w:val="0"/>
                      <w:szCs w:val="21"/>
                    </w:rPr>
                    <w:t>180Hp</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台</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1</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85～90</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96" w:type="dxa"/>
                  <w:vAlign w:val="center"/>
                </w:tcPr>
                <w:p>
                  <w:pPr>
                    <w:autoSpaceDE w:val="0"/>
                    <w:autoSpaceDN w:val="0"/>
                    <w:spacing w:line="360" w:lineRule="exact"/>
                    <w:jc w:val="center"/>
                    <w:rPr>
                      <w:rFonts w:cs="宋体"/>
                      <w:kern w:val="0"/>
                      <w:szCs w:val="22"/>
                      <w:lang w:val="zh-CN" w:bidi="zh-CN"/>
                    </w:rPr>
                  </w:pPr>
                  <w:r>
                    <w:rPr>
                      <w:rFonts w:hint="eastAsia" w:cs="宋体"/>
                      <w:kern w:val="0"/>
                      <w:szCs w:val="22"/>
                      <w:lang w:val="zh-CN" w:bidi="zh-CN"/>
                    </w:rPr>
                    <w:t>11</w:t>
                  </w:r>
                </w:p>
              </w:tc>
              <w:tc>
                <w:tcPr>
                  <w:tcW w:w="1380" w:type="dxa"/>
                  <w:shd w:val="clear" w:color="auto" w:fill="auto"/>
                  <w:vAlign w:val="center"/>
                </w:tcPr>
                <w:p>
                  <w:pPr>
                    <w:autoSpaceDE w:val="0"/>
                    <w:autoSpaceDN w:val="0"/>
                    <w:spacing w:line="360" w:lineRule="exact"/>
                    <w:jc w:val="center"/>
                    <w:rPr>
                      <w:kern w:val="0"/>
                      <w:szCs w:val="21"/>
                    </w:rPr>
                  </w:pPr>
                  <w:r>
                    <w:rPr>
                      <w:rFonts w:hint="eastAsia"/>
                      <w:kern w:val="0"/>
                      <w:szCs w:val="21"/>
                    </w:rPr>
                    <w:t>雾炮车</w:t>
                  </w:r>
                </w:p>
              </w:tc>
              <w:tc>
                <w:tcPr>
                  <w:tcW w:w="989" w:type="dxa"/>
                  <w:vAlign w:val="center"/>
                </w:tcPr>
                <w:p>
                  <w:pPr>
                    <w:autoSpaceDE w:val="0"/>
                    <w:autoSpaceDN w:val="0"/>
                    <w:spacing w:line="360" w:lineRule="exact"/>
                    <w:jc w:val="center"/>
                    <w:rPr>
                      <w:kern w:val="0"/>
                      <w:szCs w:val="21"/>
                    </w:rPr>
                  </w:pPr>
                  <w:r>
                    <w:rPr>
                      <w:rFonts w:hint="eastAsia"/>
                      <w:kern w:val="0"/>
                      <w:szCs w:val="21"/>
                    </w:rPr>
                    <w:t>载重10t</w:t>
                  </w:r>
                </w:p>
              </w:tc>
              <w:tc>
                <w:tcPr>
                  <w:tcW w:w="989" w:type="dxa"/>
                  <w:vAlign w:val="center"/>
                </w:tcPr>
                <w:p>
                  <w:pPr>
                    <w:autoSpaceDE w:val="0"/>
                    <w:autoSpaceDN w:val="0"/>
                    <w:spacing w:line="360" w:lineRule="exact"/>
                    <w:jc w:val="center"/>
                    <w:rPr>
                      <w:rFonts w:cs="宋体"/>
                      <w:b/>
                      <w:w w:val="99"/>
                      <w:kern w:val="0"/>
                      <w:szCs w:val="22"/>
                      <w:lang w:val="zh-CN" w:bidi="zh-CN"/>
                    </w:rPr>
                  </w:pPr>
                  <w:r>
                    <w:rPr>
                      <w:rFonts w:hint="eastAsia"/>
                      <w:kern w:val="0"/>
                      <w:szCs w:val="21"/>
                    </w:rPr>
                    <w:t>辆</w:t>
                  </w:r>
                </w:p>
              </w:tc>
              <w:tc>
                <w:tcPr>
                  <w:tcW w:w="989" w:type="dxa"/>
                  <w:shd w:val="clear" w:color="auto" w:fill="auto"/>
                  <w:vAlign w:val="center"/>
                </w:tcPr>
                <w:p>
                  <w:pPr>
                    <w:autoSpaceDE w:val="0"/>
                    <w:autoSpaceDN w:val="0"/>
                    <w:spacing w:line="360" w:lineRule="exact"/>
                    <w:jc w:val="center"/>
                    <w:rPr>
                      <w:rFonts w:cs="宋体"/>
                      <w:b/>
                      <w:w w:val="99"/>
                      <w:kern w:val="0"/>
                      <w:szCs w:val="22"/>
                      <w:lang w:val="zh-CN" w:bidi="zh-CN"/>
                    </w:rPr>
                  </w:pPr>
                  <w:r>
                    <w:rPr>
                      <w:rFonts w:hint="eastAsia"/>
                      <w:kern w:val="0"/>
                      <w:szCs w:val="21"/>
                    </w:rPr>
                    <w:t>1</w:t>
                  </w:r>
                </w:p>
              </w:tc>
              <w:tc>
                <w:tcPr>
                  <w:tcW w:w="1281" w:type="dxa"/>
                  <w:shd w:val="clear" w:color="auto" w:fill="auto"/>
                  <w:vAlign w:val="center"/>
                </w:tcPr>
                <w:p>
                  <w:pPr>
                    <w:autoSpaceDE w:val="0"/>
                    <w:autoSpaceDN w:val="0"/>
                    <w:spacing w:line="360" w:lineRule="exact"/>
                    <w:jc w:val="center"/>
                    <w:rPr>
                      <w:rFonts w:cs="宋体"/>
                      <w:kern w:val="0"/>
                      <w:szCs w:val="22"/>
                      <w:lang w:val="zh-CN" w:bidi="zh-CN"/>
                    </w:rPr>
                  </w:pPr>
                  <w:r>
                    <w:rPr>
                      <w:rFonts w:hint="eastAsia"/>
                      <w:szCs w:val="21"/>
                    </w:rPr>
                    <w:t>79～85</w:t>
                  </w:r>
                </w:p>
              </w:tc>
              <w:tc>
                <w:tcPr>
                  <w:tcW w:w="1282" w:type="dxa"/>
                  <w:vMerge w:val="continue"/>
                  <w:vAlign w:val="center"/>
                </w:tcPr>
                <w:p>
                  <w:pPr>
                    <w:autoSpaceDE w:val="0"/>
                    <w:autoSpaceDN w:val="0"/>
                    <w:spacing w:line="360" w:lineRule="exact"/>
                    <w:jc w:val="center"/>
                    <w:rPr>
                      <w:szCs w:val="21"/>
                    </w:rPr>
                  </w:pPr>
                </w:p>
              </w:tc>
              <w:tc>
                <w:tcPr>
                  <w:tcW w:w="1276" w:type="dxa"/>
                  <w:vMerge w:val="continue"/>
                  <w:vAlign w:val="center"/>
                </w:tcPr>
                <w:p>
                  <w:pPr>
                    <w:autoSpaceDE w:val="0"/>
                    <w:autoSpaceDN w:val="0"/>
                    <w:spacing w:line="360" w:lineRule="exact"/>
                    <w:jc w:val="center"/>
                    <w:rPr>
                      <w:szCs w:val="21"/>
                    </w:rPr>
                  </w:pPr>
                </w:p>
              </w:tc>
            </w:tr>
          </w:tbl>
          <w:p>
            <w:pPr>
              <w:pStyle w:val="47"/>
              <w:ind w:firstLine="480"/>
              <w:rPr>
                <w:color w:val="auto"/>
              </w:rPr>
            </w:pPr>
            <w:r>
              <w:rPr>
                <w:rFonts w:hint="eastAsia"/>
                <w:color w:val="auto"/>
              </w:rPr>
              <w:t>2）项目生产区噪声</w:t>
            </w:r>
          </w:p>
          <w:p>
            <w:pPr>
              <w:pStyle w:val="47"/>
              <w:ind w:firstLine="480"/>
              <w:rPr>
                <w:color w:val="auto"/>
              </w:rPr>
            </w:pPr>
            <w:r>
              <w:rPr>
                <w:rFonts w:hint="eastAsia"/>
                <w:color w:val="auto"/>
              </w:rPr>
              <w:t>项目生产区主要噪声源为颚式破碎机、反击破碎机等设备运行噪声，噪声为65-90dB(A)，项目选用低噪声设备、车间密闭等措施降噪。</w:t>
            </w:r>
          </w:p>
          <w:p>
            <w:pPr>
              <w:pStyle w:val="28"/>
              <w:spacing w:line="480" w:lineRule="exact"/>
              <w:ind w:firstLine="0" w:firstLineChars="0"/>
              <w:rPr>
                <w:b/>
                <w:bCs/>
                <w:sz w:val="24"/>
              </w:rPr>
            </w:pPr>
          </w:p>
          <w:p>
            <w:pPr>
              <w:pStyle w:val="63"/>
              <w:ind w:firstLine="480"/>
            </w:pPr>
          </w:p>
        </w:tc>
      </w:tr>
    </w:tbl>
    <w:p>
      <w:pPr>
        <w:pStyle w:val="18"/>
        <w:jc w:val="center"/>
        <w:rPr>
          <w:rFonts w:ascii="Times New Roman" w:hAnsi="Times New Roman" w:eastAsia="黑体"/>
          <w:snapToGrid w:val="0"/>
          <w:sz w:val="36"/>
          <w:szCs w:val="36"/>
        </w:rPr>
        <w:sectPr>
          <w:pgSz w:w="11906" w:h="16838"/>
          <w:pgMar w:top="1440" w:right="1440" w:bottom="1440" w:left="1440" w:header="851" w:footer="1077" w:gutter="0"/>
          <w:cols w:space="720" w:num="1"/>
          <w:docGrid w:linePitch="312" w:charSpace="0"/>
        </w:sectPr>
      </w:pPr>
    </w:p>
    <w:tbl>
      <w:tblPr>
        <w:tblStyle w:val="23"/>
        <w:tblW w:w="1417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54"/>
        <w:gridCol w:w="137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93" w:hRule="atLeast"/>
          <w:jc w:val="center"/>
        </w:trPr>
        <w:tc>
          <w:tcPr>
            <w:tcW w:w="454" w:type="dxa"/>
            <w:shd w:val="clear" w:color="auto" w:fill="auto"/>
            <w:vAlign w:val="center"/>
          </w:tcPr>
          <w:p>
            <w:pPr>
              <w:pStyle w:val="18"/>
              <w:spacing w:before="0" w:beforeAutospacing="0" w:after="0" w:afterAutospacing="0" w:line="360" w:lineRule="exact"/>
              <w:jc w:val="center"/>
              <w:rPr>
                <w:rFonts w:ascii="Times New Roman" w:hAnsi="Times New Roman"/>
                <w:snapToGrid w:val="0"/>
                <w:sz w:val="21"/>
              </w:rPr>
            </w:pPr>
            <w:r>
              <w:rPr>
                <w:rFonts w:hint="eastAsia" w:ascii="Times New Roman" w:hAnsi="Times New Roman"/>
                <w:snapToGrid w:val="0"/>
                <w:sz w:val="21"/>
              </w:rPr>
              <w:t>运营期生态环境影响分析</w:t>
            </w:r>
          </w:p>
        </w:tc>
        <w:tc>
          <w:tcPr>
            <w:tcW w:w="13720" w:type="dxa"/>
            <w:shd w:val="clear" w:color="auto" w:fill="auto"/>
            <w:vAlign w:val="center"/>
          </w:tcPr>
          <w:p>
            <w:pPr>
              <w:pStyle w:val="28"/>
              <w:numPr>
                <w:ilvl w:val="0"/>
                <w:numId w:val="2"/>
              </w:numPr>
              <w:spacing w:line="360" w:lineRule="exact"/>
              <w:ind w:left="0" w:firstLine="0" w:firstLineChars="0"/>
              <w:jc w:val="center"/>
              <w:rPr>
                <w:snapToGrid w:val="0"/>
              </w:rPr>
            </w:pPr>
            <w:r>
              <w:rPr>
                <w:rFonts w:hint="eastAsia"/>
                <w:b/>
                <w:bCs/>
              </w:rPr>
              <w:t>生产区主要设备噪声源强一览表</w:t>
            </w:r>
          </w:p>
          <w:tbl>
            <w:tblPr>
              <w:tblStyle w:val="22"/>
              <w:tblW w:w="13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57"/>
              <w:gridCol w:w="708"/>
              <w:gridCol w:w="851"/>
              <w:gridCol w:w="709"/>
              <w:gridCol w:w="708"/>
              <w:gridCol w:w="567"/>
              <w:gridCol w:w="567"/>
              <w:gridCol w:w="426"/>
              <w:gridCol w:w="425"/>
              <w:gridCol w:w="425"/>
              <w:gridCol w:w="425"/>
              <w:gridCol w:w="426"/>
              <w:gridCol w:w="425"/>
              <w:gridCol w:w="425"/>
              <w:gridCol w:w="425"/>
              <w:gridCol w:w="426"/>
              <w:gridCol w:w="567"/>
              <w:gridCol w:w="425"/>
              <w:gridCol w:w="425"/>
              <w:gridCol w:w="425"/>
              <w:gridCol w:w="426"/>
              <w:gridCol w:w="425"/>
              <w:gridCol w:w="425"/>
              <w:gridCol w:w="425"/>
              <w:gridCol w:w="426"/>
              <w:gridCol w:w="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Cs w:val="21"/>
                    </w:rPr>
                  </w:pPr>
                  <w:bookmarkStart w:id="9" w:name="PT_6"/>
                  <w:r>
                    <w:rPr>
                      <w:b/>
                      <w:szCs w:val="21"/>
                    </w:rPr>
                    <w:t>序号</w:t>
                  </w:r>
                  <w:bookmarkEnd w:id="9"/>
                </w:p>
              </w:tc>
              <w:tc>
                <w:tcPr>
                  <w:tcW w:w="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szCs w:val="21"/>
                    </w:rPr>
                  </w:pPr>
                  <w:r>
                    <w:rPr>
                      <w:b/>
                      <w:szCs w:val="21"/>
                    </w:rPr>
                    <w:t>建筑物名称</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szCs w:val="21"/>
                    </w:rPr>
                  </w:pPr>
                  <w:r>
                    <w:rPr>
                      <w:b/>
                      <w:szCs w:val="21"/>
                    </w:rPr>
                    <w:t>声源名称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szCs w:val="21"/>
                    </w:rPr>
                  </w:pPr>
                  <w:r>
                    <w:rPr>
                      <w:b/>
                      <w:szCs w:val="21"/>
                    </w:rPr>
                    <w:t>型号</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szCs w:val="21"/>
                    </w:rPr>
                  </w:pPr>
                  <w:r>
                    <w:rPr>
                      <w:b/>
                      <w:szCs w:val="21"/>
                    </w:rPr>
                    <w:t>声源源强</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szCs w:val="21"/>
                    </w:rPr>
                  </w:pPr>
                  <w:r>
                    <w:rPr>
                      <w:b/>
                      <w:szCs w:val="21"/>
                    </w:rPr>
                    <w:t>声源控制措施</w:t>
                  </w:r>
                </w:p>
              </w:tc>
              <w:tc>
                <w:tcPr>
                  <w:tcW w:w="15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szCs w:val="21"/>
                    </w:rPr>
                  </w:pPr>
                  <w:r>
                    <w:rPr>
                      <w:b/>
                      <w:szCs w:val="21"/>
                    </w:rPr>
                    <w:t>空间相对位置/m</w:t>
                  </w:r>
                </w:p>
              </w:tc>
              <w:tc>
                <w:tcPr>
                  <w:tcW w:w="17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szCs w:val="21"/>
                    </w:rPr>
                  </w:pPr>
                  <w:r>
                    <w:rPr>
                      <w:b/>
                      <w:szCs w:val="21"/>
                    </w:rPr>
                    <w:t>距室内边界距离/m</w:t>
                  </w:r>
                </w:p>
              </w:tc>
              <w:tc>
                <w:tcPr>
                  <w:tcW w:w="17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szCs w:val="21"/>
                    </w:rPr>
                  </w:pPr>
                  <w:r>
                    <w:rPr>
                      <w:b/>
                      <w:szCs w:val="21"/>
                    </w:rPr>
                    <w:t>室内边界声级/dB(A)</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szCs w:val="21"/>
                    </w:rPr>
                  </w:pPr>
                  <w:r>
                    <w:rPr>
                      <w:b/>
                      <w:szCs w:val="21"/>
                    </w:rPr>
                    <w:t>运行时段</w:t>
                  </w:r>
                </w:p>
              </w:tc>
              <w:tc>
                <w:tcPr>
                  <w:tcW w:w="17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szCs w:val="21"/>
                    </w:rPr>
                  </w:pPr>
                  <w:r>
                    <w:rPr>
                      <w:b/>
                      <w:szCs w:val="21"/>
                    </w:rPr>
                    <w:t>建筑物插入损失 / dB(A)</w:t>
                  </w:r>
                  <w:bookmarkStart w:id="10" w:name="PT_10"/>
                  <w:bookmarkEnd w:id="10"/>
                </w:p>
              </w:tc>
              <w:tc>
                <w:tcPr>
                  <w:tcW w:w="206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szCs w:val="21"/>
                    </w:rPr>
                  </w:pPr>
                  <w:r>
                    <w:rPr>
                      <w:b/>
                      <w:szCs w:val="21"/>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szCs w:val="21"/>
                    </w:rPr>
                  </w:pPr>
                </w:p>
              </w:tc>
              <w:tc>
                <w:tcPr>
                  <w:tcW w:w="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szCs w:val="21"/>
                    </w:rPr>
                  </w:pP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szCs w:val="21"/>
                    </w:rPr>
                  </w:pP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声功率级/dB(A)</w:t>
                  </w: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X</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Y</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Z</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东</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南</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西</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北</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东</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南</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西</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北</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szCs w:val="21"/>
                    </w:rP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东</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南</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西</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北</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东</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南</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西</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rFonts w:hint="eastAsia"/>
                      <w:szCs w:val="21"/>
                    </w:rPr>
                    <w:t>北</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2"/>
                    </w:rPr>
                  </w:pPr>
                  <w:r>
                    <w:rPr>
                      <w:rFonts w:cs="Arial"/>
                      <w:szCs w:val="20"/>
                    </w:rPr>
                    <w:t>1</w:t>
                  </w:r>
                </w:p>
              </w:tc>
              <w:tc>
                <w:tcPr>
                  <w:tcW w:w="557"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rPr>
                    <w:t>白云岩破碎车间</w:t>
                  </w: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颚式破碎机</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t>1000×1200</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90</w:t>
                  </w:r>
                </w:p>
              </w:tc>
              <w:tc>
                <w:tcPr>
                  <w:tcW w:w="708"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rPr>
                    <w:t>减震、隔声</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-39.4</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-131.8</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27.6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5.9</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78.4</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78.6</w:t>
                  </w:r>
                </w:p>
              </w:tc>
              <w:tc>
                <w:tcPr>
                  <w:tcW w:w="567"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cs="Arial"/>
                      <w:szCs w:val="20"/>
                    </w:rPr>
                    <w:t>6</w:t>
                  </w:r>
                  <w:r>
                    <w:rPr>
                      <w:rFonts w:cs="Arial"/>
                      <w:szCs w:val="20"/>
                    </w:rPr>
                    <w:t>:00~22</w:t>
                  </w:r>
                  <w:r>
                    <w:rPr>
                      <w:rFonts w:hint="eastAsia" w:cs="Arial"/>
                      <w:szCs w:val="20"/>
                    </w:rPr>
                    <w:t>:</w:t>
                  </w:r>
                  <w:r>
                    <w:rPr>
                      <w:rFonts w:cs="Arial"/>
                      <w:szCs w:val="20"/>
                    </w:rPr>
                    <w:t>00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47.4</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47.6</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2</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给料机</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t>800×3000mm</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85</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-40.7</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-130.7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28.6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10.6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4.9</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2.8</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73.5</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73.9</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42.5</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42.9</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反击破碎机</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1320</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90</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-30.3</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-131.9</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18.8</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6.7</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14.7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6.4</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78.4</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78.3</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78.4</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47.4</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47.3</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47.4</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振动筛</w:t>
                  </w:r>
                  <w:r>
                    <w:rPr>
                      <w:rFonts w:hint="eastAsia" w:cs="Arial"/>
                      <w:szCs w:val="20"/>
                    </w:rPr>
                    <w:t>2台</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2460</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83</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-29.9</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-133.8</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18.9</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4.8</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14.7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8.4</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68.3</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68.3</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37.3</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37.3</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w:t>
                  </w:r>
                </w:p>
              </w:tc>
              <w:tc>
                <w:tcPr>
                  <w:tcW w:w="557"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带式输送机</w:t>
                  </w:r>
                  <w:r>
                    <w:rPr>
                      <w:rFonts w:hint="eastAsia" w:cs="Arial"/>
                      <w:szCs w:val="20"/>
                    </w:rPr>
                    <w:t>，7</w:t>
                  </w:r>
                  <w:r>
                    <w:rPr>
                      <w:rFonts w:cs="Arial"/>
                      <w:szCs w:val="20"/>
                    </w:rPr>
                    <w:t>台（按点声源组预测）</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B=</w:t>
                  </w:r>
                  <w:r>
                    <w:rPr>
                      <w:kern w:val="0"/>
                      <w:szCs w:val="21"/>
                    </w:rPr>
                    <w:t>600/800/1000/</w:t>
                  </w:r>
                  <w:r>
                    <w:rPr>
                      <w:rFonts w:hint="eastAsia"/>
                      <w:kern w:val="0"/>
                      <w:szCs w:val="21"/>
                    </w:rPr>
                    <w:t>1200mm</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103.4（等效后：103.4)</w:t>
                  </w:r>
                </w:p>
              </w:tc>
              <w:tc>
                <w:tcPr>
                  <w:tcW w:w="708"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-30.1</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-133.3</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19.0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14.6</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91.7</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91.9</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91.7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91.8</w:t>
                  </w:r>
                </w:p>
              </w:tc>
              <w:tc>
                <w:tcPr>
                  <w:tcW w:w="567"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60.7</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60.9</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60.7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60.8</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w:t>
                  </w:r>
                </w:p>
              </w:tc>
              <w:tc>
                <w:tcPr>
                  <w:tcW w:w="557"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rPr>
                    <w:t>石料破碎车间</w:t>
                  </w: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高效冲击式制砂机</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6X1263</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90</w:t>
                  </w:r>
                </w:p>
              </w:tc>
              <w:tc>
                <w:tcPr>
                  <w:tcW w:w="708"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rPr>
                    <w:t>减震、隔声</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-50.8</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-48.4</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16.9</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18.2</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78.1</w:t>
                  </w:r>
                </w:p>
              </w:tc>
              <w:tc>
                <w:tcPr>
                  <w:tcW w:w="567"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cs="Arial"/>
                      <w:szCs w:val="20"/>
                    </w:rPr>
                    <w:t>6</w:t>
                  </w:r>
                  <w:r>
                    <w:rPr>
                      <w:rFonts w:cs="Arial"/>
                      <w:szCs w:val="20"/>
                    </w:rPr>
                    <w:t>:00~22</w:t>
                  </w:r>
                  <w:r>
                    <w:rPr>
                      <w:rFonts w:hint="eastAsia" w:cs="Arial"/>
                      <w:szCs w:val="20"/>
                    </w:rPr>
                    <w:t>:</w:t>
                  </w:r>
                  <w:r>
                    <w:rPr>
                      <w:rFonts w:cs="Arial"/>
                      <w:szCs w:val="20"/>
                    </w:rPr>
                    <w:t>00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47.1</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带式输送机</w:t>
                  </w:r>
                  <w:r>
                    <w:rPr>
                      <w:rFonts w:hint="eastAsia" w:cs="Arial"/>
                      <w:szCs w:val="20"/>
                    </w:rPr>
                    <w:t>9台</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89.5</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-49.4</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-46.7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14.9</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20.1</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6.6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77.5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77.6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77.5</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77.6</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46.5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46.6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46.5</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46.6</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二级振动筛</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3YK3070</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80</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-50.2</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-46.6</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15.6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19.3</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68.2</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37.2</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一级振动筛</w:t>
                  </w:r>
                  <w:r>
                    <w:rPr>
                      <w:rFonts w:hint="eastAsia" w:cs="Arial"/>
                      <w:szCs w:val="20"/>
                    </w:rPr>
                    <w:t>2台</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3YK3070</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83</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-50.4</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-45.7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15.4</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19.4</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5.4</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68.2</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37.2</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10</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上振动筛带式输送机</w:t>
                  </w:r>
                  <w:r>
                    <w:rPr>
                      <w:rFonts w:hint="eastAsia" w:cs="Arial"/>
                      <w:szCs w:val="20"/>
                    </w:rPr>
                    <w:t>2台</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B=1200mm</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83.0</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-50.5</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-45.7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15.5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8.5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19.3</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5.4</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74.0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74.1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74.0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74.2</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43.0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43.1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43.0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43.2</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11</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反击破碎机</w:t>
                  </w:r>
                  <w:r>
                    <w:rPr>
                      <w:rFonts w:hint="eastAsia" w:cs="Arial"/>
                      <w:szCs w:val="20"/>
                    </w:rPr>
                    <w:t>，</w:t>
                  </w:r>
                  <w:r>
                    <w:rPr>
                      <w:rFonts w:cs="Arial"/>
                      <w:szCs w:val="20"/>
                    </w:rPr>
                    <w:t>2台（按点声源组预测）</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PF1620</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93.0（等效后：99.0)</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-53.9</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-46.7</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19.0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15.8</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5.7</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87.0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87.1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87.0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87.2</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56.0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56.1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56.0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56.2</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55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颚式破碎机</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PE1621</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90</w:t>
                  </w:r>
                </w:p>
              </w:tc>
              <w:tc>
                <w:tcPr>
                  <w:tcW w:w="70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-63.1</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-48.8</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28.3</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6.4</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5.7</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78.1</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78.2</w:t>
                  </w:r>
                </w:p>
              </w:tc>
              <w:tc>
                <w:tcPr>
                  <w:tcW w:w="567"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47.1</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47.2</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13</w:t>
                  </w:r>
                </w:p>
              </w:tc>
              <w:tc>
                <w:tcPr>
                  <w:tcW w:w="557"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给料机</w:t>
                  </w:r>
                </w:p>
              </w:tc>
              <w:tc>
                <w:tcPr>
                  <w:tcW w:w="85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hint="eastAsia"/>
                      <w:kern w:val="0"/>
                      <w:szCs w:val="21"/>
                    </w:rPr>
                    <w:t>GDZ2550</w:t>
                  </w:r>
                </w:p>
              </w:tc>
              <w:tc>
                <w:tcPr>
                  <w:tcW w:w="70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85</w:t>
                  </w:r>
                </w:p>
              </w:tc>
              <w:tc>
                <w:tcPr>
                  <w:tcW w:w="708"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-62.9</w:t>
                  </w:r>
                </w:p>
              </w:tc>
              <w:tc>
                <w:tcPr>
                  <w:tcW w:w="56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-49.6</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1.2</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28.5</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7.7</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6.4</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6.6</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73.1</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73.1</w:t>
                  </w:r>
                </w:p>
              </w:tc>
              <w:tc>
                <w:tcPr>
                  <w:tcW w:w="567"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31.0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42.0</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42.1</w:t>
                  </w:r>
                </w:p>
              </w:tc>
              <w:tc>
                <w:tcPr>
                  <w:tcW w:w="42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42.1</w:t>
                  </w:r>
                </w:p>
              </w:tc>
              <w:tc>
                <w:tcPr>
                  <w:tcW w:w="42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42.1</w:t>
                  </w:r>
                </w:p>
              </w:tc>
              <w:tc>
                <w:tcPr>
                  <w:tcW w:w="36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exact"/>
                    <w:jc w:val="center"/>
                  </w:pPr>
                  <w:r>
                    <w:rPr>
                      <w:rFonts w:cs="Arial"/>
                      <w:szCs w:val="20"/>
                    </w:rPr>
                    <w:t>1</w:t>
                  </w:r>
                </w:p>
              </w:tc>
            </w:tr>
          </w:tbl>
          <w:p>
            <w:pPr>
              <w:pStyle w:val="28"/>
              <w:spacing w:line="360" w:lineRule="exact"/>
              <w:ind w:firstLine="0" w:firstLineChars="0"/>
              <w:jc w:val="center"/>
              <w:rPr>
                <w:snapToGrid w:val="0"/>
              </w:rPr>
            </w:pPr>
          </w:p>
        </w:tc>
      </w:tr>
    </w:tbl>
    <w:p>
      <w:pPr>
        <w:pStyle w:val="18"/>
        <w:jc w:val="center"/>
        <w:rPr>
          <w:rFonts w:ascii="Times New Roman" w:hAnsi="Times New Roman" w:eastAsia="黑体"/>
          <w:snapToGrid w:val="0"/>
          <w:sz w:val="36"/>
          <w:szCs w:val="36"/>
        </w:rPr>
        <w:sectPr>
          <w:pgSz w:w="16838" w:h="11906" w:orient="landscape"/>
          <w:pgMar w:top="1440" w:right="1440" w:bottom="1440" w:left="1440" w:header="851" w:footer="1077" w:gutter="0"/>
          <w:cols w:space="720" w:num="1"/>
          <w:docGrid w:linePitch="312" w:charSpace="0"/>
        </w:sectPr>
      </w:pPr>
    </w:p>
    <w:tbl>
      <w:tblPr>
        <w:tblStyle w:val="23"/>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8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pPr>
              <w:pStyle w:val="18"/>
              <w:jc w:val="center"/>
              <w:rPr>
                <w:rFonts w:ascii="Times New Roman" w:hAnsi="Times New Roman" w:eastAsia="黑体"/>
                <w:snapToGrid w:val="0"/>
                <w:sz w:val="36"/>
                <w:szCs w:val="36"/>
              </w:rPr>
            </w:pPr>
            <w:r>
              <w:rPr>
                <w:rFonts w:hint="eastAsia" w:ascii="Times New Roman" w:hAnsi="Times New Roman"/>
                <w:b/>
                <w:spacing w:val="10"/>
                <w:kern w:val="2"/>
              </w:rPr>
              <w:t>运营期生态环境影响分析</w:t>
            </w:r>
          </w:p>
        </w:tc>
        <w:tc>
          <w:tcPr>
            <w:tcW w:w="8595" w:type="dxa"/>
          </w:tcPr>
          <w:p>
            <w:pPr>
              <w:pStyle w:val="47"/>
              <w:ind w:firstLine="199" w:firstLineChars="83"/>
              <w:rPr>
                <w:rFonts w:ascii="宋体" w:hAnsi="宋体"/>
                <w:color w:val="auto"/>
              </w:rPr>
            </w:pPr>
            <w:r>
              <w:rPr>
                <w:rFonts w:hint="eastAsia" w:ascii="宋体" w:hAnsi="宋体"/>
                <w:color w:val="auto"/>
              </w:rPr>
              <w:t>3）预测模式</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室内、外声源等效计算</w:t>
            </w:r>
          </w:p>
          <w:p>
            <w:pPr>
              <w:pStyle w:val="47"/>
              <w:ind w:firstLine="480"/>
              <w:rPr>
                <w:color w:val="auto"/>
              </w:rPr>
            </w:pPr>
            <w:r>
              <w:rPr>
                <w:rFonts w:hint="eastAsia"/>
                <w:color w:val="auto"/>
              </w:rPr>
              <w:t>本工程所使用破碎设备布置于室内，对于室内声源，首先将其等效为室外声源再进行预测计算，等效计算公式如下：</w:t>
            </w:r>
          </w:p>
          <w:p>
            <w:pPr>
              <w:spacing w:line="360" w:lineRule="auto"/>
              <w:ind w:firstLine="480" w:firstLineChars="200"/>
              <w:rPr>
                <w:sz w:val="24"/>
              </w:rPr>
            </w:pPr>
            <w:r>
              <w:rPr>
                <w:rFonts w:hint="eastAsia"/>
                <w:sz w:val="24"/>
              </w:rPr>
              <w:drawing>
                <wp:inline distT="0" distB="0" distL="0" distR="0">
                  <wp:extent cx="1200150" cy="247650"/>
                  <wp:effectExtent l="0" t="0" r="0" b="0"/>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00150" cy="247650"/>
                          </a:xfrm>
                          <a:prstGeom prst="rect">
                            <a:avLst/>
                          </a:prstGeom>
                          <a:noFill/>
                          <a:ln>
                            <a:noFill/>
                          </a:ln>
                        </pic:spPr>
                      </pic:pic>
                    </a:graphicData>
                  </a:graphic>
                </wp:inline>
              </w:drawing>
            </w:r>
          </w:p>
          <w:p>
            <w:pPr>
              <w:pStyle w:val="47"/>
              <w:ind w:firstLine="480"/>
              <w:rPr>
                <w:color w:val="auto"/>
              </w:rPr>
            </w:pPr>
            <w:r>
              <w:rPr>
                <w:rFonts w:hint="eastAsia"/>
                <w:color w:val="auto"/>
              </w:rPr>
              <w:t>式中：</w:t>
            </w:r>
          </w:p>
          <w:p>
            <w:pPr>
              <w:pStyle w:val="47"/>
              <w:ind w:firstLine="480"/>
              <w:rPr>
                <w:color w:val="auto"/>
              </w:rPr>
            </w:pPr>
            <w:r>
              <w:rPr>
                <w:rFonts w:hint="eastAsia"/>
                <w:color w:val="auto"/>
              </w:rPr>
              <w:t>L</w:t>
            </w:r>
            <w:r>
              <w:rPr>
                <w:rFonts w:hint="eastAsia"/>
                <w:color w:val="auto"/>
                <w:vertAlign w:val="subscript"/>
              </w:rPr>
              <w:t>p1</w:t>
            </w:r>
            <w:r>
              <w:rPr>
                <w:rFonts w:hint="eastAsia"/>
                <w:color w:val="auto"/>
              </w:rPr>
              <w:t>—室内设备声压级，dB；</w:t>
            </w:r>
          </w:p>
          <w:p>
            <w:pPr>
              <w:pStyle w:val="47"/>
              <w:ind w:firstLine="480"/>
              <w:rPr>
                <w:color w:val="auto"/>
              </w:rPr>
            </w:pPr>
            <w:r>
              <w:rPr>
                <w:rFonts w:hint="eastAsia"/>
                <w:color w:val="auto"/>
              </w:rPr>
              <w:t>L</w:t>
            </w:r>
            <w:r>
              <w:rPr>
                <w:rFonts w:hint="eastAsia"/>
                <w:color w:val="auto"/>
                <w:vertAlign w:val="subscript"/>
              </w:rPr>
              <w:t>p2</w:t>
            </w:r>
            <w:r>
              <w:rPr>
                <w:rFonts w:hint="eastAsia"/>
                <w:color w:val="auto"/>
              </w:rPr>
              <w:t>—等效室外设备声压级，dB；</w:t>
            </w:r>
          </w:p>
          <w:p>
            <w:pPr>
              <w:pStyle w:val="47"/>
              <w:ind w:firstLine="480"/>
              <w:rPr>
                <w:color w:val="auto"/>
              </w:rPr>
            </w:pPr>
            <w:r>
              <w:rPr>
                <w:rFonts w:hint="eastAsia"/>
                <w:color w:val="auto"/>
              </w:rPr>
              <w:drawing>
                <wp:anchor distT="0" distB="0" distL="114300" distR="114300" simplePos="0" relativeHeight="251680768" behindDoc="0" locked="0" layoutInCell="1" allowOverlap="1">
                  <wp:simplePos x="0" y="0"/>
                  <wp:positionH relativeFrom="column">
                    <wp:posOffset>904875</wp:posOffset>
                  </wp:positionH>
                  <wp:positionV relativeFrom="paragraph">
                    <wp:posOffset>240665</wp:posOffset>
                  </wp:positionV>
                  <wp:extent cx="3333115" cy="1809750"/>
                  <wp:effectExtent l="0" t="0" r="0" b="0"/>
                  <wp:wrapNone/>
                  <wp:docPr id="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33115" cy="1809750"/>
                          </a:xfrm>
                          <a:prstGeom prst="rect">
                            <a:avLst/>
                          </a:prstGeom>
                          <a:noFill/>
                          <a:ln>
                            <a:noFill/>
                          </a:ln>
                        </pic:spPr>
                      </pic:pic>
                    </a:graphicData>
                  </a:graphic>
                </wp:anchor>
              </w:drawing>
            </w:r>
            <w:r>
              <w:rPr>
                <w:rFonts w:hint="eastAsia"/>
                <w:color w:val="auto"/>
              </w:rPr>
              <w:t>TL—墙体隔声量，dB。</w:t>
            </w:r>
          </w:p>
          <w:p>
            <w:pPr>
              <w:pStyle w:val="47"/>
              <w:ind w:firstLine="480"/>
              <w:rPr>
                <w:rFonts w:ascii="等线" w:hAnsi="等线" w:eastAsia="等线"/>
                <w:b/>
                <w:bCs/>
                <w:color w:val="auto"/>
              </w:rPr>
            </w:pPr>
          </w:p>
          <w:p>
            <w:pPr>
              <w:pStyle w:val="47"/>
              <w:ind w:firstLine="480"/>
              <w:rPr>
                <w:rFonts w:ascii="等线" w:hAnsi="等线" w:eastAsia="等线"/>
                <w:b/>
                <w:bCs/>
                <w:color w:val="auto"/>
              </w:rPr>
            </w:pPr>
          </w:p>
          <w:p>
            <w:pPr>
              <w:pStyle w:val="47"/>
              <w:ind w:firstLine="480"/>
              <w:rPr>
                <w:rFonts w:ascii="等线" w:hAnsi="等线" w:eastAsia="等线"/>
                <w:b/>
                <w:bCs/>
                <w:color w:val="auto"/>
              </w:rPr>
            </w:pPr>
          </w:p>
          <w:p>
            <w:pPr>
              <w:pStyle w:val="47"/>
              <w:ind w:firstLine="480"/>
              <w:rPr>
                <w:rFonts w:ascii="等线" w:hAnsi="等线" w:eastAsia="等线"/>
                <w:b/>
                <w:bCs/>
                <w:color w:val="auto"/>
              </w:rPr>
            </w:pPr>
          </w:p>
          <w:p>
            <w:pPr>
              <w:pStyle w:val="47"/>
              <w:ind w:firstLine="480"/>
              <w:rPr>
                <w:rFonts w:ascii="等线" w:hAnsi="等线" w:eastAsia="等线"/>
                <w:b/>
                <w:bCs/>
                <w:color w:val="auto"/>
              </w:rPr>
            </w:pPr>
          </w:p>
          <w:p>
            <w:pPr>
              <w:pStyle w:val="47"/>
              <w:ind w:firstLine="480"/>
              <w:jc w:val="center"/>
              <w:rPr>
                <w:rFonts w:ascii="等线" w:hAnsi="等线" w:eastAsia="等线"/>
                <w:b/>
                <w:bCs/>
                <w:color w:val="auto"/>
              </w:rPr>
            </w:pPr>
            <w:r>
              <w:rPr>
                <w:rFonts w:hint="eastAsia" w:ascii="等线" w:hAnsi="等线" w:eastAsia="等线"/>
                <w:b/>
                <w:bCs/>
                <w:color w:val="auto"/>
              </w:rPr>
              <w:t>图8  室内声源等效室外声源图示</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声级计算</w:t>
            </w:r>
          </w:p>
          <w:p>
            <w:pPr>
              <w:pStyle w:val="47"/>
              <w:ind w:firstLine="480"/>
              <w:rPr>
                <w:color w:val="auto"/>
              </w:rPr>
            </w:pPr>
            <w:r>
              <w:rPr>
                <w:rFonts w:hint="eastAsia"/>
                <w:color w:val="auto"/>
              </w:rPr>
              <w:t>项目声源在预测点产生的等效声级贡献值（L</w:t>
            </w:r>
            <w:r>
              <w:rPr>
                <w:rFonts w:hint="eastAsia"/>
                <w:color w:val="auto"/>
                <w:vertAlign w:val="subscript"/>
              </w:rPr>
              <w:t>eqg</w:t>
            </w:r>
            <w:r>
              <w:rPr>
                <w:rFonts w:hint="eastAsia"/>
                <w:color w:val="auto"/>
              </w:rPr>
              <w:t>）计算公式如下：</w:t>
            </w:r>
          </w:p>
          <w:p>
            <w:pPr>
              <w:pStyle w:val="47"/>
              <w:ind w:firstLine="480"/>
              <w:rPr>
                <w:color w:val="auto"/>
              </w:rPr>
            </w:pPr>
            <w:r>
              <w:rPr>
                <w:rFonts w:hint="eastAsia"/>
                <w:snapToGrid/>
                <w:color w:val="auto"/>
              </w:rPr>
              <w:drawing>
                <wp:inline distT="0" distB="0" distL="0" distR="0">
                  <wp:extent cx="1668780" cy="461010"/>
                  <wp:effectExtent l="0" t="0" r="0" b="0"/>
                  <wp:docPr id="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68780" cy="461010"/>
                          </a:xfrm>
                          <a:prstGeom prst="rect">
                            <a:avLst/>
                          </a:prstGeom>
                          <a:noFill/>
                          <a:ln>
                            <a:noFill/>
                          </a:ln>
                        </pic:spPr>
                      </pic:pic>
                    </a:graphicData>
                  </a:graphic>
                </wp:inline>
              </w:drawing>
            </w:r>
          </w:p>
          <w:p>
            <w:pPr>
              <w:pStyle w:val="47"/>
              <w:ind w:firstLine="480"/>
              <w:rPr>
                <w:color w:val="auto"/>
              </w:rPr>
            </w:pPr>
            <w:r>
              <w:rPr>
                <w:rFonts w:hint="eastAsia"/>
                <w:color w:val="auto"/>
              </w:rPr>
              <w:t>式中：</w:t>
            </w:r>
          </w:p>
          <w:p>
            <w:pPr>
              <w:pStyle w:val="47"/>
              <w:ind w:firstLine="480"/>
              <w:rPr>
                <w:color w:val="auto"/>
              </w:rPr>
            </w:pPr>
            <w:r>
              <w:rPr>
                <w:rFonts w:hint="eastAsia"/>
                <w:color w:val="auto"/>
              </w:rPr>
              <w:t>L</w:t>
            </w:r>
            <w:r>
              <w:rPr>
                <w:rFonts w:hint="eastAsia"/>
                <w:color w:val="auto"/>
                <w:vertAlign w:val="subscript"/>
              </w:rPr>
              <w:t>eqg</w:t>
            </w:r>
            <w:r>
              <w:rPr>
                <w:rFonts w:hint="eastAsia"/>
                <w:color w:val="auto"/>
              </w:rPr>
              <w:t>—建设项目声源在预测点的等效声级贡献值，dB（A）；</w:t>
            </w:r>
          </w:p>
          <w:p>
            <w:pPr>
              <w:pStyle w:val="47"/>
              <w:ind w:firstLine="480"/>
              <w:rPr>
                <w:color w:val="auto"/>
              </w:rPr>
            </w:pPr>
            <w:r>
              <w:rPr>
                <w:rFonts w:hint="eastAsia"/>
                <w:color w:val="auto"/>
              </w:rPr>
              <w:t>L</w:t>
            </w:r>
            <w:r>
              <w:rPr>
                <w:rFonts w:hint="eastAsia"/>
                <w:color w:val="auto"/>
                <w:vertAlign w:val="subscript"/>
              </w:rPr>
              <w:t>Ai</w:t>
            </w:r>
            <w:r>
              <w:rPr>
                <w:rFonts w:hint="eastAsia"/>
                <w:color w:val="auto"/>
              </w:rPr>
              <w:t>—i声源在预测点产生的A声级，dB（A）；</w:t>
            </w:r>
          </w:p>
          <w:p>
            <w:pPr>
              <w:pStyle w:val="47"/>
              <w:ind w:firstLine="480"/>
              <w:rPr>
                <w:color w:val="auto"/>
              </w:rPr>
            </w:pPr>
            <w:r>
              <w:rPr>
                <w:rFonts w:hint="eastAsia"/>
                <w:color w:val="auto"/>
              </w:rPr>
              <w:t>T—预测计算的时间段，s；</w:t>
            </w:r>
          </w:p>
          <w:p>
            <w:pPr>
              <w:pStyle w:val="47"/>
              <w:ind w:firstLine="480"/>
              <w:rPr>
                <w:color w:val="auto"/>
              </w:rPr>
            </w:pPr>
            <w:r>
              <w:rPr>
                <w:rFonts w:hint="eastAsia"/>
                <w:color w:val="auto"/>
              </w:rPr>
              <w:t>t</w:t>
            </w:r>
            <w:r>
              <w:rPr>
                <w:rFonts w:hint="eastAsia"/>
                <w:color w:val="auto"/>
                <w:vertAlign w:val="subscript"/>
              </w:rPr>
              <w:t>i</w:t>
            </w:r>
            <w:r>
              <w:rPr>
                <w:rFonts w:hint="eastAsia"/>
                <w:color w:val="auto"/>
              </w:rPr>
              <w:t>—i声源在T时段内的运行时间，s。</w:t>
            </w:r>
          </w:p>
          <w:p>
            <w:pPr>
              <w:spacing w:line="360" w:lineRule="auto"/>
              <w:ind w:firstLine="480" w:firstLineChars="200"/>
              <w:rPr>
                <w:bCs/>
                <w:sz w:val="24"/>
              </w:rPr>
            </w:pPr>
            <w:r>
              <w:rPr>
                <w:rFonts w:hint="eastAsia" w:ascii="宋体" w:hAnsi="宋体"/>
                <w:bCs/>
                <w:sz w:val="24"/>
              </w:rPr>
              <w:fldChar w:fldCharType="begin"/>
            </w:r>
            <w:r>
              <w:rPr>
                <w:rFonts w:hint="eastAsia" w:ascii="宋体" w:hAnsi="宋体"/>
                <w:bCs/>
                <w:sz w:val="24"/>
              </w:rPr>
              <w:instrText xml:space="preserve"> = 3 \* GB3 </w:instrText>
            </w:r>
            <w:r>
              <w:rPr>
                <w:rFonts w:hint="eastAsia" w:ascii="宋体" w:hAnsi="宋体"/>
                <w:bCs/>
                <w:sz w:val="24"/>
              </w:rPr>
              <w:fldChar w:fldCharType="separate"/>
            </w:r>
            <w:r>
              <w:rPr>
                <w:rFonts w:hint="eastAsia" w:ascii="宋体" w:hAnsi="宋体"/>
                <w:bCs/>
                <w:sz w:val="24"/>
              </w:rPr>
              <w:t>③</w:t>
            </w:r>
            <w:r>
              <w:rPr>
                <w:rFonts w:hint="eastAsia" w:ascii="宋体" w:hAnsi="宋体"/>
                <w:bCs/>
                <w:sz w:val="24"/>
              </w:rPr>
              <w:fldChar w:fldCharType="end"/>
            </w:r>
            <w:r>
              <w:rPr>
                <w:rFonts w:hint="eastAsia" w:ascii="宋体" w:hAnsi="宋体"/>
                <w:bCs/>
                <w:sz w:val="24"/>
              </w:rPr>
              <w:t>户外声源传播衰减计算</w:t>
            </w:r>
          </w:p>
          <w:p>
            <w:pPr>
              <w:spacing w:line="360" w:lineRule="auto"/>
              <w:ind w:firstLine="480" w:firstLineChars="200"/>
              <w:rPr>
                <w:rFonts w:ascii="宋体" w:hAnsi="宋体"/>
                <w:sz w:val="24"/>
              </w:rPr>
            </w:pPr>
            <w:r>
              <w:rPr>
                <w:rFonts w:hint="eastAsia" w:ascii="宋体" w:hAnsi="宋体"/>
                <w:sz w:val="24"/>
              </w:rPr>
              <w:t>本项目除破碎设备外，其余噪声设备基本位于室外。</w:t>
            </w:r>
          </w:p>
          <w:p>
            <w:pPr>
              <w:spacing w:line="360" w:lineRule="auto"/>
              <w:ind w:firstLine="480" w:firstLineChars="200"/>
              <w:rPr>
                <w:sz w:val="24"/>
              </w:rPr>
            </w:pPr>
            <w:r>
              <w:rPr>
                <w:rFonts w:hint="eastAsia" w:ascii="宋体" w:hAnsi="宋体"/>
                <w:sz w:val="24"/>
              </w:rPr>
              <w:t>户外声传播衰减包括几何发散（</w:t>
            </w:r>
            <w:r>
              <w:rPr>
                <w:rFonts w:hint="eastAsia"/>
                <w:i/>
                <w:iCs/>
                <w:sz w:val="24"/>
              </w:rPr>
              <w:t>A</w:t>
            </w:r>
            <w:r>
              <w:rPr>
                <w:rFonts w:hint="eastAsia"/>
                <w:i/>
                <w:iCs/>
                <w:sz w:val="24"/>
                <w:vertAlign w:val="subscript"/>
              </w:rPr>
              <w:t>div</w:t>
            </w:r>
            <w:r>
              <w:rPr>
                <w:rFonts w:hint="eastAsia" w:ascii="宋体" w:hAnsi="宋体"/>
                <w:sz w:val="24"/>
              </w:rPr>
              <w:t>）、大气吸收（</w:t>
            </w:r>
            <w:r>
              <w:rPr>
                <w:rFonts w:hint="eastAsia"/>
                <w:i/>
                <w:iCs/>
                <w:sz w:val="24"/>
              </w:rPr>
              <w:t>A</w:t>
            </w:r>
            <w:r>
              <w:rPr>
                <w:rFonts w:hint="eastAsia"/>
                <w:i/>
                <w:iCs/>
                <w:sz w:val="24"/>
                <w:vertAlign w:val="subscript"/>
              </w:rPr>
              <w:t>atm</w:t>
            </w:r>
            <w:r>
              <w:rPr>
                <w:rFonts w:hint="eastAsia" w:ascii="宋体" w:hAnsi="宋体"/>
                <w:sz w:val="24"/>
              </w:rPr>
              <w:t>）、地面效应（</w:t>
            </w:r>
            <w:r>
              <w:rPr>
                <w:rFonts w:hint="eastAsia"/>
                <w:i/>
                <w:iCs/>
                <w:sz w:val="24"/>
              </w:rPr>
              <w:t>A</w:t>
            </w:r>
            <w:r>
              <w:rPr>
                <w:rFonts w:hint="eastAsia"/>
                <w:i/>
                <w:iCs/>
                <w:sz w:val="24"/>
                <w:vertAlign w:val="subscript"/>
              </w:rPr>
              <w:t>gr</w:t>
            </w:r>
            <w:r>
              <w:rPr>
                <w:rFonts w:hint="eastAsia" w:ascii="宋体" w:hAnsi="宋体"/>
                <w:sz w:val="24"/>
              </w:rPr>
              <w:t>）、屏障屏蔽（</w:t>
            </w:r>
            <w:r>
              <w:rPr>
                <w:rFonts w:hint="eastAsia"/>
                <w:i/>
                <w:iCs/>
                <w:sz w:val="24"/>
              </w:rPr>
              <w:t>A</w:t>
            </w:r>
            <w:r>
              <w:rPr>
                <w:rFonts w:hint="eastAsia"/>
                <w:i/>
                <w:iCs/>
                <w:sz w:val="24"/>
                <w:vertAlign w:val="subscript"/>
              </w:rPr>
              <w:t>bar</w:t>
            </w:r>
            <w:r>
              <w:rPr>
                <w:rFonts w:hint="eastAsia" w:ascii="宋体" w:hAnsi="宋体"/>
                <w:sz w:val="24"/>
              </w:rPr>
              <w:t>）、其他多方面效应（</w:t>
            </w:r>
            <w:r>
              <w:rPr>
                <w:rFonts w:hint="eastAsia"/>
                <w:i/>
                <w:iCs/>
                <w:sz w:val="24"/>
              </w:rPr>
              <w:t>A</w:t>
            </w:r>
            <w:r>
              <w:rPr>
                <w:rFonts w:hint="eastAsia"/>
                <w:i/>
                <w:iCs/>
                <w:sz w:val="24"/>
                <w:vertAlign w:val="subscript"/>
              </w:rPr>
              <w:t>misc</w:t>
            </w:r>
            <w:r>
              <w:rPr>
                <w:rFonts w:hint="eastAsia" w:ascii="宋体" w:hAnsi="宋体"/>
                <w:sz w:val="24"/>
              </w:rPr>
              <w:t>）引起的衰减。</w:t>
            </w:r>
          </w:p>
          <w:p>
            <w:pPr>
              <w:spacing w:line="360" w:lineRule="auto"/>
              <w:ind w:firstLine="480" w:firstLineChars="200"/>
              <w:rPr>
                <w:sz w:val="24"/>
              </w:rPr>
            </w:pPr>
            <w:r>
              <w:rPr>
                <w:rFonts w:hint="eastAsia" w:ascii="宋体" w:hAnsi="宋体"/>
                <w:sz w:val="24"/>
              </w:rPr>
              <w:t>在环境影响评价中，应根据声源声功率级或靠近声源某一参考位置处的已知声级、户外声传播衰减，计算距离声源较远处的预测点的声级。在已知距离无指向性点声源参考点</w:t>
            </w:r>
            <w:r>
              <w:rPr>
                <w:rFonts w:hint="eastAsia"/>
                <w:sz w:val="24"/>
              </w:rPr>
              <w:t>r</w:t>
            </w:r>
            <w:r>
              <w:rPr>
                <w:rFonts w:hint="eastAsia"/>
                <w:sz w:val="24"/>
                <w:vertAlign w:val="subscript"/>
              </w:rPr>
              <w:t>0</w:t>
            </w:r>
            <w:r>
              <w:rPr>
                <w:rFonts w:hint="eastAsia" w:ascii="宋体" w:hAnsi="宋体"/>
                <w:sz w:val="24"/>
              </w:rPr>
              <w:t>处的声压级</w:t>
            </w:r>
            <w:r>
              <w:rPr>
                <w:rFonts w:hint="eastAsia"/>
                <w:sz w:val="24"/>
              </w:rPr>
              <w:t>Lp(</w:t>
            </w:r>
            <w:r>
              <w:rPr>
                <w:rFonts w:hint="eastAsia"/>
                <w:i/>
                <w:iCs/>
                <w:sz w:val="24"/>
              </w:rPr>
              <w:t>r</w:t>
            </w:r>
            <w:r>
              <w:rPr>
                <w:rFonts w:hint="eastAsia"/>
                <w:i/>
                <w:iCs/>
                <w:sz w:val="24"/>
                <w:vertAlign w:val="subscript"/>
              </w:rPr>
              <w:t>0</w:t>
            </w:r>
            <w:r>
              <w:rPr>
                <w:rFonts w:hint="eastAsia"/>
                <w:sz w:val="24"/>
              </w:rPr>
              <w:t>)</w:t>
            </w:r>
            <w:r>
              <w:rPr>
                <w:rFonts w:hint="eastAsia" w:ascii="宋体" w:hAnsi="宋体"/>
                <w:sz w:val="24"/>
              </w:rPr>
              <w:t>和计算出参考点</w:t>
            </w:r>
            <w:r>
              <w:rPr>
                <w:rFonts w:hint="eastAsia"/>
                <w:sz w:val="24"/>
              </w:rPr>
              <w:t>(</w:t>
            </w:r>
            <w:r>
              <w:rPr>
                <w:rFonts w:hint="eastAsia"/>
                <w:i/>
                <w:iCs/>
                <w:sz w:val="24"/>
              </w:rPr>
              <w:t>r</w:t>
            </w:r>
            <w:r>
              <w:rPr>
                <w:rFonts w:hint="eastAsia"/>
                <w:i/>
                <w:iCs/>
                <w:sz w:val="24"/>
                <w:vertAlign w:val="subscript"/>
              </w:rPr>
              <w:t>0</w:t>
            </w:r>
            <w:r>
              <w:rPr>
                <w:rFonts w:hint="eastAsia"/>
                <w:sz w:val="24"/>
              </w:rPr>
              <w:t>)</w:t>
            </w:r>
            <w:r>
              <w:rPr>
                <w:rFonts w:hint="eastAsia" w:ascii="宋体" w:hAnsi="宋体"/>
                <w:sz w:val="24"/>
              </w:rPr>
              <w:t>和预测点</w:t>
            </w:r>
            <w:r>
              <w:rPr>
                <w:rFonts w:hint="eastAsia"/>
                <w:sz w:val="24"/>
              </w:rPr>
              <w:t>(</w:t>
            </w:r>
            <w:r>
              <w:rPr>
                <w:rFonts w:hint="eastAsia"/>
                <w:i/>
                <w:iCs/>
                <w:sz w:val="24"/>
              </w:rPr>
              <w:t>r</w:t>
            </w:r>
            <w:r>
              <w:rPr>
                <w:rFonts w:hint="eastAsia"/>
                <w:sz w:val="24"/>
              </w:rPr>
              <w:t>)</w:t>
            </w:r>
            <w:r>
              <w:rPr>
                <w:rFonts w:hint="eastAsia" w:ascii="宋体" w:hAnsi="宋体"/>
                <w:sz w:val="24"/>
              </w:rPr>
              <w:t>处之间的户外声传播衰减后，预测点声压级可分别按下式计算：</w:t>
            </w:r>
          </w:p>
          <w:p>
            <w:pPr>
              <w:autoSpaceDE w:val="0"/>
              <w:autoSpaceDN w:val="0"/>
              <w:ind w:firstLine="720" w:firstLineChars="300"/>
              <w:jc w:val="left"/>
              <w:rPr>
                <w:rFonts w:ascii="宋体" w:hAnsi="宋体" w:cs="宋体"/>
                <w:kern w:val="0"/>
                <w:sz w:val="24"/>
              </w:rPr>
            </w:pPr>
            <w:r>
              <w:rPr>
                <w:rFonts w:hint="eastAsia" w:cs="宋体"/>
                <w:i/>
                <w:kern w:val="0"/>
                <w:sz w:val="24"/>
              </w:rPr>
              <w:t>L</w:t>
            </w:r>
            <w:r>
              <w:rPr>
                <w:rFonts w:hint="eastAsia" w:cs="宋体"/>
                <w:i/>
                <w:kern w:val="0"/>
                <w:sz w:val="24"/>
                <w:vertAlign w:val="subscript"/>
              </w:rPr>
              <w:t>p</w:t>
            </w:r>
            <w:r>
              <w:rPr>
                <w:rFonts w:hint="eastAsia" w:cs="宋体"/>
                <w:kern w:val="0"/>
                <w:sz w:val="24"/>
              </w:rPr>
              <w:t>(</w:t>
            </w:r>
            <w:r>
              <w:rPr>
                <w:rFonts w:hint="eastAsia" w:cs="宋体"/>
                <w:i/>
                <w:kern w:val="0"/>
                <w:sz w:val="24"/>
              </w:rPr>
              <w:t>r</w:t>
            </w:r>
            <w:r>
              <w:rPr>
                <w:rFonts w:hint="eastAsia" w:cs="宋体"/>
                <w:kern w:val="0"/>
                <w:sz w:val="24"/>
              </w:rPr>
              <w:t>)</w:t>
            </w:r>
            <w:r>
              <w:rPr>
                <w:rFonts w:hint="eastAsia" w:ascii="宋体" w:hAnsi="宋体" w:cs="宋体"/>
                <w:kern w:val="0"/>
                <w:sz w:val="24"/>
              </w:rPr>
              <w:t>＝</w:t>
            </w:r>
            <w:r>
              <w:rPr>
                <w:rFonts w:hint="eastAsia" w:cs="宋体"/>
                <w:i/>
                <w:kern w:val="0"/>
                <w:sz w:val="24"/>
              </w:rPr>
              <w:t>L</w:t>
            </w:r>
            <w:r>
              <w:rPr>
                <w:rFonts w:hint="eastAsia" w:cs="宋体"/>
                <w:i/>
                <w:kern w:val="0"/>
                <w:sz w:val="24"/>
                <w:vertAlign w:val="subscript"/>
              </w:rPr>
              <w:t>p</w:t>
            </w:r>
            <w:r>
              <w:rPr>
                <w:rFonts w:hint="eastAsia" w:cs="宋体"/>
                <w:kern w:val="0"/>
                <w:sz w:val="24"/>
              </w:rPr>
              <w:t>(</w:t>
            </w:r>
            <w:r>
              <w:rPr>
                <w:rFonts w:hint="eastAsia" w:cs="宋体"/>
                <w:i/>
                <w:kern w:val="0"/>
                <w:sz w:val="24"/>
              </w:rPr>
              <w:t>r</w:t>
            </w:r>
            <w:r>
              <w:rPr>
                <w:rFonts w:hint="eastAsia" w:cs="宋体"/>
                <w:kern w:val="0"/>
                <w:sz w:val="24"/>
                <w:vertAlign w:val="subscript"/>
              </w:rPr>
              <w:t>0</w:t>
            </w:r>
            <w:r>
              <w:rPr>
                <w:rFonts w:hint="eastAsia" w:cs="宋体"/>
                <w:kern w:val="0"/>
                <w:sz w:val="24"/>
              </w:rPr>
              <w:t>)+</w:t>
            </w:r>
            <w:r>
              <w:rPr>
                <w:rFonts w:hint="eastAsia" w:cs="宋体"/>
                <w:i/>
                <w:kern w:val="0"/>
                <w:sz w:val="24"/>
              </w:rPr>
              <w:t>D</w:t>
            </w:r>
            <w:r>
              <w:rPr>
                <w:rFonts w:hint="eastAsia" w:cs="宋体"/>
                <w:kern w:val="0"/>
                <w:sz w:val="24"/>
                <w:vertAlign w:val="subscript"/>
              </w:rPr>
              <w:t>C</w:t>
            </w:r>
            <w:r>
              <w:rPr>
                <w:rFonts w:hint="eastAsia" w:ascii="宋体" w:hAnsi="宋体" w:cs="宋体"/>
                <w:kern w:val="0"/>
                <w:sz w:val="24"/>
              </w:rPr>
              <w:t>－</w:t>
            </w:r>
            <w:r>
              <w:rPr>
                <w:rFonts w:hint="eastAsia" w:cs="宋体"/>
                <w:kern w:val="0"/>
                <w:sz w:val="24"/>
              </w:rPr>
              <w:t>(</w:t>
            </w:r>
            <w:r>
              <w:rPr>
                <w:rFonts w:hint="eastAsia" w:cs="宋体"/>
                <w:i/>
                <w:kern w:val="0"/>
                <w:sz w:val="24"/>
              </w:rPr>
              <w:t>A</w:t>
            </w:r>
            <w:r>
              <w:rPr>
                <w:rFonts w:hint="eastAsia" w:cs="宋体"/>
                <w:kern w:val="0"/>
                <w:sz w:val="24"/>
                <w:vertAlign w:val="subscript"/>
              </w:rPr>
              <w:t>div</w:t>
            </w:r>
            <w:r>
              <w:rPr>
                <w:rFonts w:hint="eastAsia" w:ascii="宋体" w:hAnsi="宋体" w:cs="宋体"/>
                <w:kern w:val="0"/>
                <w:sz w:val="24"/>
              </w:rPr>
              <w:t>＋</w:t>
            </w:r>
            <w:r>
              <w:rPr>
                <w:rFonts w:hint="eastAsia" w:cs="宋体"/>
                <w:i/>
                <w:kern w:val="0"/>
                <w:sz w:val="24"/>
              </w:rPr>
              <w:t>A</w:t>
            </w:r>
            <w:r>
              <w:rPr>
                <w:rFonts w:hint="eastAsia" w:cs="宋体"/>
                <w:kern w:val="0"/>
                <w:sz w:val="24"/>
                <w:vertAlign w:val="subscript"/>
              </w:rPr>
              <w:t>atm</w:t>
            </w:r>
            <w:r>
              <w:rPr>
                <w:rFonts w:hint="eastAsia" w:ascii="宋体" w:hAnsi="宋体" w:cs="宋体"/>
                <w:kern w:val="0"/>
                <w:sz w:val="24"/>
              </w:rPr>
              <w:t>＋</w:t>
            </w:r>
            <w:r>
              <w:rPr>
                <w:rFonts w:hint="eastAsia" w:cs="宋体"/>
                <w:i/>
                <w:kern w:val="0"/>
                <w:sz w:val="24"/>
              </w:rPr>
              <w:t>A</w:t>
            </w:r>
            <w:r>
              <w:rPr>
                <w:rFonts w:hint="eastAsia" w:cs="宋体"/>
                <w:kern w:val="0"/>
                <w:sz w:val="24"/>
                <w:vertAlign w:val="subscript"/>
              </w:rPr>
              <w:t>gr</w:t>
            </w:r>
            <w:r>
              <w:rPr>
                <w:rFonts w:hint="eastAsia" w:ascii="宋体" w:hAnsi="宋体" w:cs="宋体"/>
                <w:kern w:val="0"/>
                <w:sz w:val="24"/>
              </w:rPr>
              <w:t>＋</w:t>
            </w:r>
            <w:r>
              <w:rPr>
                <w:rFonts w:hint="eastAsia" w:cs="宋体"/>
                <w:i/>
                <w:kern w:val="0"/>
                <w:sz w:val="24"/>
              </w:rPr>
              <w:t>A</w:t>
            </w:r>
            <w:r>
              <w:rPr>
                <w:rFonts w:hint="eastAsia" w:cs="宋体"/>
                <w:kern w:val="0"/>
                <w:sz w:val="24"/>
                <w:vertAlign w:val="subscript"/>
              </w:rPr>
              <w:t>bar</w:t>
            </w:r>
            <w:r>
              <w:rPr>
                <w:rFonts w:hint="eastAsia" w:ascii="宋体" w:hAnsi="宋体" w:cs="宋体"/>
                <w:kern w:val="0"/>
                <w:sz w:val="24"/>
              </w:rPr>
              <w:t>＋</w:t>
            </w:r>
            <w:r>
              <w:rPr>
                <w:rFonts w:hint="eastAsia" w:cs="宋体"/>
                <w:i/>
                <w:kern w:val="0"/>
                <w:sz w:val="24"/>
              </w:rPr>
              <w:t>A</w:t>
            </w:r>
            <w:r>
              <w:rPr>
                <w:rFonts w:hint="eastAsia" w:cs="宋体"/>
                <w:kern w:val="0"/>
                <w:sz w:val="24"/>
                <w:vertAlign w:val="subscript"/>
              </w:rPr>
              <w:t>misc</w:t>
            </w:r>
            <w:r>
              <w:rPr>
                <w:rFonts w:hint="eastAsia" w:cs="宋体"/>
                <w:kern w:val="0"/>
                <w:sz w:val="24"/>
              </w:rPr>
              <w:t>)</w:t>
            </w:r>
          </w:p>
          <w:p>
            <w:pPr>
              <w:spacing w:before="21" w:line="480" w:lineRule="exact"/>
              <w:ind w:right="1383" w:firstLine="720" w:firstLineChars="300"/>
              <w:rPr>
                <w:rFonts w:ascii="宋体" w:hAnsi="宋体" w:cs="宋体"/>
                <w:kern w:val="0"/>
                <w:sz w:val="24"/>
              </w:rPr>
            </w:pPr>
            <w:r>
              <w:rPr>
                <w:rFonts w:hint="eastAsia"/>
                <w:sz w:val="24"/>
              </w:rPr>
              <w:t>式中：</w:t>
            </w:r>
            <w:r>
              <w:rPr>
                <w:rFonts w:hint="eastAsia" w:cs="宋体"/>
                <w:i/>
                <w:kern w:val="0"/>
                <w:sz w:val="24"/>
              </w:rPr>
              <w:t>L</w:t>
            </w:r>
            <w:r>
              <w:rPr>
                <w:rFonts w:hint="eastAsia" w:cs="宋体"/>
                <w:i/>
                <w:kern w:val="0"/>
                <w:sz w:val="24"/>
                <w:vertAlign w:val="subscript"/>
              </w:rPr>
              <w:t>p</w:t>
            </w:r>
            <w:r>
              <w:rPr>
                <w:rFonts w:hint="eastAsia" w:cs="宋体"/>
                <w:kern w:val="0"/>
                <w:sz w:val="24"/>
              </w:rPr>
              <w:t>(</w:t>
            </w:r>
            <w:r>
              <w:rPr>
                <w:rFonts w:hint="eastAsia" w:cs="宋体"/>
                <w:i/>
                <w:kern w:val="0"/>
                <w:sz w:val="24"/>
              </w:rPr>
              <w:t>r</w:t>
            </w:r>
            <w:r>
              <w:rPr>
                <w:rFonts w:hint="eastAsia" w:cs="宋体"/>
                <w:spacing w:val="-1"/>
                <w:kern w:val="0"/>
                <w:sz w:val="24"/>
              </w:rPr>
              <w:t>) ——</w:t>
            </w:r>
            <w:r>
              <w:rPr>
                <w:rFonts w:hint="eastAsia" w:ascii="宋体" w:hAnsi="宋体" w:cs="宋体"/>
                <w:spacing w:val="-3"/>
                <w:kern w:val="0"/>
                <w:sz w:val="24"/>
              </w:rPr>
              <w:t>预测点处声压级，</w:t>
            </w:r>
            <w:r>
              <w:rPr>
                <w:rFonts w:hint="eastAsia" w:cs="宋体"/>
                <w:kern w:val="0"/>
                <w:sz w:val="24"/>
              </w:rPr>
              <w:t>dB</w:t>
            </w:r>
            <w:r>
              <w:rPr>
                <w:rFonts w:hint="eastAsia" w:ascii="宋体" w:hAnsi="宋体" w:cs="宋体"/>
                <w:kern w:val="0"/>
                <w:sz w:val="24"/>
              </w:rPr>
              <w:t>；</w:t>
            </w:r>
          </w:p>
          <w:p>
            <w:pPr>
              <w:autoSpaceDE w:val="0"/>
              <w:autoSpaceDN w:val="0"/>
              <w:spacing w:line="480" w:lineRule="exact"/>
              <w:ind w:left="855"/>
              <w:jc w:val="left"/>
              <w:rPr>
                <w:rFonts w:ascii="宋体" w:hAnsi="宋体" w:cs="宋体"/>
                <w:kern w:val="0"/>
                <w:sz w:val="24"/>
              </w:rPr>
            </w:pPr>
            <w:r>
              <w:rPr>
                <w:rFonts w:hint="eastAsia" w:cs="宋体"/>
                <w:i/>
                <w:kern w:val="0"/>
                <w:sz w:val="24"/>
              </w:rPr>
              <w:t>L</w:t>
            </w:r>
            <w:r>
              <w:rPr>
                <w:rFonts w:hint="eastAsia" w:cs="宋体"/>
                <w:i/>
                <w:kern w:val="0"/>
                <w:sz w:val="24"/>
                <w:vertAlign w:val="subscript"/>
              </w:rPr>
              <w:t>p</w:t>
            </w:r>
            <w:r>
              <w:rPr>
                <w:rFonts w:hint="eastAsia" w:cs="宋体"/>
                <w:kern w:val="0"/>
                <w:sz w:val="24"/>
              </w:rPr>
              <w:t>(</w:t>
            </w:r>
            <w:r>
              <w:rPr>
                <w:rFonts w:hint="eastAsia" w:cs="宋体"/>
                <w:i/>
                <w:kern w:val="0"/>
                <w:sz w:val="24"/>
              </w:rPr>
              <w:t>r</w:t>
            </w:r>
            <w:r>
              <w:rPr>
                <w:rFonts w:hint="eastAsia" w:cs="宋体"/>
                <w:kern w:val="0"/>
                <w:sz w:val="24"/>
                <w:vertAlign w:val="subscript"/>
              </w:rPr>
              <w:t>0</w:t>
            </w:r>
            <w:r>
              <w:rPr>
                <w:rFonts w:hint="eastAsia" w:cs="宋体"/>
                <w:kern w:val="0"/>
                <w:sz w:val="24"/>
              </w:rPr>
              <w:t>) ——</w:t>
            </w:r>
            <w:r>
              <w:rPr>
                <w:rFonts w:hint="eastAsia" w:ascii="宋体" w:hAnsi="宋体" w:cs="宋体"/>
                <w:kern w:val="0"/>
                <w:sz w:val="24"/>
              </w:rPr>
              <w:t>参考位置</w:t>
            </w:r>
            <w:r>
              <w:rPr>
                <w:rFonts w:hint="eastAsia" w:cs="宋体"/>
                <w:i/>
                <w:kern w:val="0"/>
                <w:sz w:val="24"/>
              </w:rPr>
              <w:t>r</w:t>
            </w:r>
            <w:r>
              <w:rPr>
                <w:rFonts w:hint="eastAsia" w:cs="宋体"/>
                <w:kern w:val="0"/>
                <w:sz w:val="24"/>
                <w:vertAlign w:val="subscript"/>
              </w:rPr>
              <w:t>0</w:t>
            </w:r>
            <w:r>
              <w:rPr>
                <w:rFonts w:hint="eastAsia" w:ascii="宋体" w:hAnsi="宋体" w:cs="宋体"/>
                <w:kern w:val="0"/>
                <w:sz w:val="24"/>
              </w:rPr>
              <w:t>处的声压级，</w:t>
            </w:r>
            <w:r>
              <w:rPr>
                <w:rFonts w:hint="eastAsia" w:cs="宋体"/>
                <w:kern w:val="0"/>
                <w:sz w:val="24"/>
              </w:rPr>
              <w:t>dB</w:t>
            </w:r>
            <w:r>
              <w:rPr>
                <w:rFonts w:hint="eastAsia" w:ascii="宋体" w:hAnsi="宋体" w:cs="宋体"/>
                <w:kern w:val="0"/>
                <w:sz w:val="24"/>
              </w:rPr>
              <w:t>；</w:t>
            </w:r>
          </w:p>
          <w:p>
            <w:pPr>
              <w:autoSpaceDE w:val="0"/>
              <w:autoSpaceDN w:val="0"/>
              <w:spacing w:line="480" w:lineRule="exact"/>
              <w:ind w:firstLine="840" w:firstLineChars="350"/>
              <w:jc w:val="left"/>
              <w:rPr>
                <w:rFonts w:ascii="宋体" w:hAnsi="宋体" w:cs="宋体"/>
                <w:kern w:val="0"/>
                <w:sz w:val="24"/>
              </w:rPr>
            </w:pPr>
            <w:r>
              <w:rPr>
                <w:rFonts w:hint="eastAsia" w:cs="宋体"/>
                <w:i/>
                <w:kern w:val="0"/>
                <w:position w:val="1"/>
                <w:sz w:val="24"/>
              </w:rPr>
              <w:t>D</w:t>
            </w:r>
            <w:r>
              <w:rPr>
                <w:rFonts w:hint="eastAsia" w:cs="宋体"/>
                <w:kern w:val="0"/>
                <w:position w:val="1"/>
                <w:sz w:val="24"/>
                <w:vertAlign w:val="subscript"/>
              </w:rPr>
              <w:t>C</w:t>
            </w:r>
            <w:r>
              <w:rPr>
                <w:rFonts w:hint="eastAsia" w:cs="宋体"/>
                <w:kern w:val="0"/>
                <w:position w:val="1"/>
                <w:sz w:val="24"/>
              </w:rPr>
              <w:t xml:space="preserve"> ——</w:t>
            </w:r>
            <w:r>
              <w:rPr>
                <w:rFonts w:hint="eastAsia" w:ascii="宋体" w:hAnsi="宋体" w:cs="宋体"/>
                <w:kern w:val="0"/>
                <w:sz w:val="24"/>
              </w:rPr>
              <w:t>指向性校正，它描述点声源的等效连续声压级与产生声功率级</w:t>
            </w:r>
            <w:r>
              <w:rPr>
                <w:rFonts w:hint="eastAsia" w:cs="宋体"/>
                <w:i/>
                <w:kern w:val="0"/>
                <w:position w:val="1"/>
                <w:sz w:val="24"/>
              </w:rPr>
              <w:t>L</w:t>
            </w:r>
            <w:r>
              <w:rPr>
                <w:rFonts w:hint="eastAsia" w:cs="宋体"/>
                <w:i/>
                <w:kern w:val="0"/>
                <w:position w:val="1"/>
                <w:sz w:val="24"/>
                <w:vertAlign w:val="subscript"/>
              </w:rPr>
              <w:t>w</w:t>
            </w:r>
            <w:r>
              <w:rPr>
                <w:rFonts w:hint="eastAsia" w:ascii="宋体" w:hAnsi="宋体" w:cs="宋体"/>
                <w:kern w:val="0"/>
                <w:sz w:val="24"/>
              </w:rPr>
              <w:t>的全向点声源在规定方向的声级的偏差程度，</w:t>
            </w:r>
            <w:r>
              <w:rPr>
                <w:rFonts w:hint="eastAsia" w:cs="宋体"/>
                <w:kern w:val="0"/>
                <w:position w:val="1"/>
                <w:sz w:val="24"/>
              </w:rPr>
              <w:t>dB</w:t>
            </w:r>
            <w:r>
              <w:rPr>
                <w:rFonts w:hint="eastAsia" w:ascii="宋体" w:hAnsi="宋体" w:cs="宋体"/>
                <w:kern w:val="0"/>
                <w:sz w:val="24"/>
              </w:rPr>
              <w:t>；</w:t>
            </w:r>
          </w:p>
          <w:p>
            <w:pPr>
              <w:autoSpaceDE w:val="0"/>
              <w:autoSpaceDN w:val="0"/>
              <w:spacing w:line="480" w:lineRule="exact"/>
              <w:ind w:firstLine="840" w:firstLineChars="350"/>
              <w:jc w:val="left"/>
              <w:rPr>
                <w:rFonts w:ascii="宋体" w:hAnsi="宋体" w:cs="宋体"/>
                <w:kern w:val="0"/>
                <w:sz w:val="24"/>
              </w:rPr>
            </w:pPr>
            <w:r>
              <w:rPr>
                <w:rFonts w:hint="eastAsia" w:cs="宋体"/>
                <w:i/>
                <w:kern w:val="0"/>
                <w:position w:val="1"/>
                <w:sz w:val="24"/>
              </w:rPr>
              <w:t>A</w:t>
            </w:r>
            <w:r>
              <w:rPr>
                <w:rFonts w:hint="eastAsia" w:cs="宋体"/>
                <w:kern w:val="0"/>
                <w:position w:val="1"/>
                <w:sz w:val="24"/>
                <w:vertAlign w:val="subscript"/>
              </w:rPr>
              <w:t>div</w:t>
            </w:r>
            <w:r>
              <w:rPr>
                <w:rFonts w:hint="eastAsia" w:cs="宋体"/>
                <w:spacing w:val="6"/>
                <w:kern w:val="0"/>
                <w:position w:val="1"/>
                <w:sz w:val="24"/>
              </w:rPr>
              <w:t xml:space="preserve"> ——</w:t>
            </w:r>
            <w:r>
              <w:rPr>
                <w:rFonts w:hint="eastAsia" w:ascii="宋体" w:hAnsi="宋体" w:cs="宋体"/>
                <w:spacing w:val="-3"/>
                <w:kern w:val="0"/>
                <w:sz w:val="24"/>
              </w:rPr>
              <w:t>几何发散引起的衰减，</w:t>
            </w:r>
            <w:r>
              <w:rPr>
                <w:rFonts w:hint="eastAsia" w:cs="宋体"/>
                <w:kern w:val="0"/>
                <w:position w:val="1"/>
                <w:sz w:val="24"/>
              </w:rPr>
              <w:t>dB</w:t>
            </w:r>
            <w:r>
              <w:rPr>
                <w:rFonts w:hint="eastAsia" w:ascii="宋体" w:hAnsi="宋体" w:cs="宋体"/>
                <w:kern w:val="0"/>
                <w:sz w:val="24"/>
              </w:rPr>
              <w:t>；</w:t>
            </w:r>
          </w:p>
          <w:p>
            <w:pPr>
              <w:autoSpaceDE w:val="0"/>
              <w:autoSpaceDN w:val="0"/>
              <w:spacing w:line="480" w:lineRule="exact"/>
              <w:ind w:firstLine="840" w:firstLineChars="350"/>
              <w:jc w:val="left"/>
              <w:rPr>
                <w:rFonts w:ascii="宋体" w:hAnsi="宋体" w:cs="宋体"/>
                <w:kern w:val="0"/>
                <w:sz w:val="24"/>
              </w:rPr>
            </w:pPr>
            <w:r>
              <w:rPr>
                <w:rFonts w:hint="eastAsia" w:cs="宋体"/>
                <w:i/>
                <w:kern w:val="0"/>
                <w:position w:val="1"/>
                <w:sz w:val="24"/>
              </w:rPr>
              <w:t>A</w:t>
            </w:r>
            <w:r>
              <w:rPr>
                <w:rFonts w:hint="eastAsia" w:cs="宋体"/>
                <w:kern w:val="0"/>
                <w:position w:val="1"/>
                <w:sz w:val="24"/>
                <w:vertAlign w:val="subscript"/>
              </w:rPr>
              <w:t>atm</w:t>
            </w:r>
            <w:r>
              <w:rPr>
                <w:rFonts w:hint="eastAsia" w:cs="宋体"/>
                <w:spacing w:val="6"/>
                <w:kern w:val="0"/>
                <w:position w:val="1"/>
                <w:sz w:val="24"/>
              </w:rPr>
              <w:t xml:space="preserve"> ——</w:t>
            </w:r>
            <w:r>
              <w:rPr>
                <w:rFonts w:hint="eastAsia" w:ascii="宋体" w:hAnsi="宋体" w:cs="宋体"/>
                <w:spacing w:val="-3"/>
                <w:kern w:val="0"/>
                <w:sz w:val="24"/>
              </w:rPr>
              <w:t>大气吸收引起的衰减，</w:t>
            </w:r>
            <w:r>
              <w:rPr>
                <w:rFonts w:hint="eastAsia" w:cs="宋体"/>
                <w:kern w:val="0"/>
                <w:position w:val="1"/>
                <w:sz w:val="24"/>
              </w:rPr>
              <w:t>dB</w:t>
            </w:r>
            <w:r>
              <w:rPr>
                <w:rFonts w:hint="eastAsia" w:ascii="宋体" w:hAnsi="宋体" w:cs="宋体"/>
                <w:kern w:val="0"/>
                <w:sz w:val="24"/>
              </w:rPr>
              <w:t>；</w:t>
            </w:r>
          </w:p>
          <w:p>
            <w:pPr>
              <w:autoSpaceDE w:val="0"/>
              <w:autoSpaceDN w:val="0"/>
              <w:spacing w:line="480" w:lineRule="exact"/>
              <w:ind w:firstLine="840" w:firstLineChars="350"/>
              <w:jc w:val="left"/>
              <w:rPr>
                <w:rFonts w:ascii="宋体" w:hAnsi="宋体" w:cs="宋体"/>
                <w:kern w:val="0"/>
                <w:sz w:val="24"/>
              </w:rPr>
            </w:pPr>
            <w:r>
              <w:rPr>
                <w:rFonts w:hint="eastAsia" w:cs="宋体"/>
                <w:i/>
                <w:kern w:val="0"/>
                <w:position w:val="1"/>
                <w:sz w:val="24"/>
              </w:rPr>
              <w:t>A</w:t>
            </w:r>
            <w:r>
              <w:rPr>
                <w:rFonts w:hint="eastAsia" w:cs="宋体"/>
                <w:kern w:val="0"/>
                <w:position w:val="1"/>
                <w:sz w:val="24"/>
                <w:vertAlign w:val="subscript"/>
              </w:rPr>
              <w:t>gr</w:t>
            </w:r>
            <w:r>
              <w:rPr>
                <w:rFonts w:hint="eastAsia" w:cs="宋体"/>
                <w:spacing w:val="7"/>
                <w:kern w:val="0"/>
                <w:position w:val="1"/>
                <w:sz w:val="24"/>
              </w:rPr>
              <w:t xml:space="preserve"> ——</w:t>
            </w:r>
            <w:r>
              <w:rPr>
                <w:rFonts w:hint="eastAsia" w:ascii="宋体" w:hAnsi="宋体" w:cs="宋体"/>
                <w:spacing w:val="-3"/>
                <w:kern w:val="0"/>
                <w:sz w:val="24"/>
              </w:rPr>
              <w:t>地面效应引起的衰减，</w:t>
            </w:r>
            <w:r>
              <w:rPr>
                <w:rFonts w:hint="eastAsia" w:cs="宋体"/>
                <w:kern w:val="0"/>
                <w:position w:val="1"/>
                <w:sz w:val="24"/>
              </w:rPr>
              <w:t>dB</w:t>
            </w:r>
            <w:r>
              <w:rPr>
                <w:rFonts w:hint="eastAsia" w:ascii="宋体" w:hAnsi="宋体" w:cs="宋体"/>
                <w:kern w:val="0"/>
                <w:sz w:val="24"/>
              </w:rPr>
              <w:t>；</w:t>
            </w:r>
          </w:p>
          <w:p>
            <w:pPr>
              <w:autoSpaceDE w:val="0"/>
              <w:autoSpaceDN w:val="0"/>
              <w:spacing w:line="480" w:lineRule="exact"/>
              <w:ind w:firstLine="840" w:firstLineChars="350"/>
              <w:jc w:val="left"/>
              <w:rPr>
                <w:rFonts w:ascii="宋体" w:hAnsi="宋体" w:cs="宋体"/>
                <w:kern w:val="0"/>
                <w:sz w:val="24"/>
              </w:rPr>
            </w:pPr>
            <w:r>
              <w:rPr>
                <w:rFonts w:hint="eastAsia" w:cs="宋体"/>
                <w:i/>
                <w:kern w:val="0"/>
                <w:position w:val="1"/>
                <w:sz w:val="24"/>
              </w:rPr>
              <w:t>A</w:t>
            </w:r>
            <w:r>
              <w:rPr>
                <w:rFonts w:hint="eastAsia" w:cs="宋体"/>
                <w:kern w:val="0"/>
                <w:position w:val="1"/>
                <w:sz w:val="24"/>
                <w:vertAlign w:val="subscript"/>
              </w:rPr>
              <w:t>bar</w:t>
            </w:r>
            <w:r>
              <w:rPr>
                <w:rFonts w:hint="eastAsia" w:cs="宋体"/>
                <w:spacing w:val="7"/>
                <w:kern w:val="0"/>
                <w:position w:val="1"/>
                <w:sz w:val="24"/>
              </w:rPr>
              <w:t xml:space="preserve"> ——</w:t>
            </w:r>
            <w:r>
              <w:rPr>
                <w:rFonts w:hint="eastAsia" w:ascii="宋体" w:hAnsi="宋体" w:cs="宋体"/>
                <w:spacing w:val="-3"/>
                <w:kern w:val="0"/>
                <w:sz w:val="24"/>
              </w:rPr>
              <w:t>障碍物屏蔽引起的衰减，</w:t>
            </w:r>
            <w:r>
              <w:rPr>
                <w:rFonts w:hint="eastAsia" w:cs="宋体"/>
                <w:kern w:val="0"/>
                <w:position w:val="1"/>
                <w:sz w:val="24"/>
              </w:rPr>
              <w:t>dB</w:t>
            </w:r>
            <w:r>
              <w:rPr>
                <w:rFonts w:hint="eastAsia" w:ascii="宋体" w:hAnsi="宋体" w:cs="宋体"/>
                <w:kern w:val="0"/>
                <w:sz w:val="24"/>
              </w:rPr>
              <w:t>；</w:t>
            </w:r>
          </w:p>
          <w:p>
            <w:pPr>
              <w:autoSpaceDE w:val="0"/>
              <w:autoSpaceDN w:val="0"/>
              <w:spacing w:line="480" w:lineRule="exact"/>
              <w:ind w:firstLine="840" w:firstLineChars="350"/>
              <w:jc w:val="left"/>
              <w:rPr>
                <w:rFonts w:ascii="宋体" w:hAnsi="宋体" w:cs="宋体"/>
                <w:kern w:val="0"/>
                <w:sz w:val="24"/>
              </w:rPr>
            </w:pPr>
            <w:r>
              <w:rPr>
                <w:rFonts w:hint="eastAsia" w:cs="宋体"/>
                <w:i/>
                <w:kern w:val="0"/>
                <w:position w:val="1"/>
                <w:sz w:val="24"/>
              </w:rPr>
              <w:t>A</w:t>
            </w:r>
            <w:r>
              <w:rPr>
                <w:rFonts w:hint="eastAsia" w:cs="宋体"/>
                <w:kern w:val="0"/>
                <w:position w:val="1"/>
                <w:sz w:val="24"/>
                <w:vertAlign w:val="subscript"/>
              </w:rPr>
              <w:t>misc</w:t>
            </w:r>
            <w:r>
              <w:rPr>
                <w:rFonts w:hint="eastAsia" w:cs="宋体"/>
                <w:kern w:val="0"/>
                <w:position w:val="1"/>
                <w:sz w:val="24"/>
              </w:rPr>
              <w:t xml:space="preserve"> ——</w:t>
            </w:r>
            <w:r>
              <w:rPr>
                <w:rFonts w:hint="eastAsia" w:ascii="宋体" w:hAnsi="宋体" w:cs="宋体"/>
                <w:kern w:val="0"/>
                <w:sz w:val="24"/>
              </w:rPr>
              <w:t>其他多方面效应引起的衰减，</w:t>
            </w:r>
            <w:r>
              <w:rPr>
                <w:rFonts w:hint="eastAsia" w:cs="宋体"/>
                <w:kern w:val="0"/>
                <w:position w:val="1"/>
                <w:sz w:val="24"/>
              </w:rPr>
              <w:t>dB</w:t>
            </w:r>
            <w:r>
              <w:rPr>
                <w:rFonts w:hint="eastAsia" w:ascii="宋体" w:hAnsi="宋体" w:cs="宋体"/>
                <w:kern w:val="0"/>
                <w:sz w:val="24"/>
              </w:rPr>
              <w:t>。</w:t>
            </w:r>
          </w:p>
          <w:p>
            <w:pPr>
              <w:pStyle w:val="63"/>
              <w:ind w:firstLine="480"/>
            </w:pPr>
            <w:r>
              <w:rPr>
                <w:rFonts w:hint="eastAsia"/>
              </w:rPr>
              <w:t>4）预测结果</w:t>
            </w:r>
          </w:p>
          <w:p>
            <w:pPr>
              <w:pStyle w:val="63"/>
              <w:ind w:firstLine="480"/>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露天采场噪声预测 </w:t>
            </w:r>
          </w:p>
          <w:p>
            <w:pPr>
              <w:pStyle w:val="63"/>
              <w:ind w:firstLine="480"/>
              <w:rPr>
                <w:kern w:val="1"/>
              </w:rPr>
            </w:pPr>
            <w:r>
              <w:rPr>
                <w:rFonts w:hint="eastAsia"/>
              </w:rPr>
              <w:t>由于采掘场产噪设备分散，位置不确定，不易准确预测边界噪声，本次评价将采场各产噪设备按点源计，考虑其几何发散衰减，由无指向性点声源几何发散衰减的基本公式计算得到噪声在衰减与距离之间的关系如下表。</w:t>
            </w:r>
            <w:r>
              <w:rPr>
                <w:rFonts w:hint="eastAsia"/>
                <w:kern w:val="1"/>
              </w:rPr>
              <w:t>在多台机械设备同时作业时，各台设备产生的噪声之间会互相叠加，根据类比调查，叠加后的噪声值增加约3～8dB(A)，一般不超过10dB(A)。</w:t>
            </w:r>
          </w:p>
          <w:p>
            <w:pPr>
              <w:pStyle w:val="28"/>
              <w:numPr>
                <w:ilvl w:val="0"/>
                <w:numId w:val="2"/>
              </w:numPr>
              <w:spacing w:line="400" w:lineRule="exact"/>
              <w:ind w:firstLineChars="0"/>
              <w:jc w:val="center"/>
              <w:rPr>
                <w:b/>
                <w:bCs/>
                <w:sz w:val="24"/>
              </w:rPr>
            </w:pPr>
            <w:r>
              <w:rPr>
                <w:rFonts w:hint="eastAsia"/>
                <w:b/>
                <w:bCs/>
                <w:sz w:val="24"/>
              </w:rPr>
              <w:t>噪声衰减与距离关系表（dB(A)）</w:t>
            </w:r>
          </w:p>
          <w:tbl>
            <w:tblPr>
              <w:tblStyle w:val="22"/>
              <w:tblW w:w="834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17"/>
              <w:gridCol w:w="1069"/>
              <w:gridCol w:w="1065"/>
              <w:gridCol w:w="1075"/>
              <w:gridCol w:w="1077"/>
              <w:gridCol w:w="1079"/>
              <w:gridCol w:w="106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917" w:type="dxa"/>
                  <w:shd w:val="clear" w:color="auto" w:fill="auto"/>
                  <w:vAlign w:val="center"/>
                </w:tcPr>
                <w:p>
                  <w:pPr>
                    <w:pStyle w:val="33"/>
                    <w:spacing w:line="360" w:lineRule="exact"/>
                    <w:jc w:val="center"/>
                    <w:rPr>
                      <w:szCs w:val="21"/>
                    </w:rPr>
                  </w:pPr>
                  <w:r>
                    <w:rPr>
                      <w:rFonts w:hint="eastAsia"/>
                      <w:b/>
                      <w:bCs/>
                      <w:szCs w:val="21"/>
                    </w:rPr>
                    <w:t>噪声源</w:t>
                  </w:r>
                </w:p>
              </w:tc>
              <w:tc>
                <w:tcPr>
                  <w:tcW w:w="1069" w:type="dxa"/>
                  <w:shd w:val="clear" w:color="auto" w:fill="auto"/>
                  <w:vAlign w:val="center"/>
                </w:tcPr>
                <w:p>
                  <w:pPr>
                    <w:pStyle w:val="33"/>
                    <w:spacing w:line="360" w:lineRule="exact"/>
                    <w:jc w:val="center"/>
                    <w:rPr>
                      <w:szCs w:val="21"/>
                    </w:rPr>
                  </w:pPr>
                  <w:r>
                    <w:rPr>
                      <w:rFonts w:hint="eastAsia"/>
                      <w:b/>
                      <w:szCs w:val="21"/>
                    </w:rPr>
                    <w:t>20m</w:t>
                  </w:r>
                </w:p>
              </w:tc>
              <w:tc>
                <w:tcPr>
                  <w:tcW w:w="1065" w:type="dxa"/>
                  <w:shd w:val="clear" w:color="auto" w:fill="auto"/>
                  <w:vAlign w:val="center"/>
                </w:tcPr>
                <w:p>
                  <w:pPr>
                    <w:pStyle w:val="33"/>
                    <w:spacing w:line="360" w:lineRule="exact"/>
                    <w:jc w:val="center"/>
                    <w:rPr>
                      <w:szCs w:val="21"/>
                    </w:rPr>
                  </w:pPr>
                  <w:r>
                    <w:rPr>
                      <w:rFonts w:hint="eastAsia"/>
                      <w:b/>
                      <w:szCs w:val="21"/>
                    </w:rPr>
                    <w:t>60m</w:t>
                  </w:r>
                </w:p>
              </w:tc>
              <w:tc>
                <w:tcPr>
                  <w:tcW w:w="1075" w:type="dxa"/>
                  <w:shd w:val="clear" w:color="auto" w:fill="auto"/>
                  <w:vAlign w:val="center"/>
                </w:tcPr>
                <w:p>
                  <w:pPr>
                    <w:pStyle w:val="33"/>
                    <w:spacing w:line="360" w:lineRule="exact"/>
                    <w:jc w:val="center"/>
                    <w:rPr>
                      <w:szCs w:val="21"/>
                    </w:rPr>
                  </w:pPr>
                  <w:r>
                    <w:rPr>
                      <w:rFonts w:hint="eastAsia"/>
                      <w:b/>
                      <w:szCs w:val="21"/>
                    </w:rPr>
                    <w:t>100m</w:t>
                  </w:r>
                </w:p>
              </w:tc>
              <w:tc>
                <w:tcPr>
                  <w:tcW w:w="1077" w:type="dxa"/>
                  <w:shd w:val="clear" w:color="auto" w:fill="auto"/>
                  <w:vAlign w:val="center"/>
                </w:tcPr>
                <w:p>
                  <w:pPr>
                    <w:pStyle w:val="33"/>
                    <w:spacing w:line="360" w:lineRule="exact"/>
                    <w:jc w:val="center"/>
                    <w:rPr>
                      <w:szCs w:val="21"/>
                    </w:rPr>
                  </w:pPr>
                  <w:r>
                    <w:rPr>
                      <w:rFonts w:hint="eastAsia"/>
                      <w:b/>
                      <w:szCs w:val="21"/>
                    </w:rPr>
                    <w:t>200m</w:t>
                  </w:r>
                </w:p>
              </w:tc>
              <w:tc>
                <w:tcPr>
                  <w:tcW w:w="1079" w:type="dxa"/>
                  <w:shd w:val="clear" w:color="auto" w:fill="auto"/>
                  <w:vAlign w:val="center"/>
                </w:tcPr>
                <w:p>
                  <w:pPr>
                    <w:pStyle w:val="33"/>
                    <w:spacing w:line="360" w:lineRule="exact"/>
                    <w:jc w:val="center"/>
                    <w:rPr>
                      <w:szCs w:val="21"/>
                    </w:rPr>
                  </w:pPr>
                  <w:r>
                    <w:rPr>
                      <w:rFonts w:hint="eastAsia"/>
                      <w:b/>
                      <w:szCs w:val="21"/>
                    </w:rPr>
                    <w:t>300m</w:t>
                  </w:r>
                </w:p>
              </w:tc>
              <w:tc>
                <w:tcPr>
                  <w:tcW w:w="1067" w:type="dxa"/>
                  <w:shd w:val="clear" w:color="auto" w:fill="auto"/>
                  <w:vAlign w:val="center"/>
                </w:tcPr>
                <w:p>
                  <w:pPr>
                    <w:pStyle w:val="33"/>
                    <w:spacing w:line="360" w:lineRule="exact"/>
                    <w:jc w:val="center"/>
                    <w:rPr>
                      <w:szCs w:val="21"/>
                    </w:rPr>
                  </w:pPr>
                  <w:r>
                    <w:rPr>
                      <w:rFonts w:hint="eastAsia"/>
                      <w:b/>
                      <w:szCs w:val="21"/>
                    </w:rPr>
                    <w:t>500m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1917" w:type="dxa"/>
                  <w:shd w:val="clear" w:color="auto" w:fill="auto"/>
                  <w:vAlign w:val="center"/>
                </w:tcPr>
                <w:p>
                  <w:pPr>
                    <w:pStyle w:val="33"/>
                    <w:spacing w:line="360" w:lineRule="exact"/>
                    <w:jc w:val="center"/>
                    <w:rPr>
                      <w:szCs w:val="21"/>
                    </w:rPr>
                  </w:pPr>
                  <w:r>
                    <w:rPr>
                      <w:rFonts w:hint="eastAsia"/>
                      <w:szCs w:val="21"/>
                    </w:rPr>
                    <w:t>钻孔机</w:t>
                  </w:r>
                </w:p>
              </w:tc>
              <w:tc>
                <w:tcPr>
                  <w:tcW w:w="1069" w:type="dxa"/>
                  <w:shd w:val="clear" w:color="auto" w:fill="auto"/>
                  <w:vAlign w:val="center"/>
                </w:tcPr>
                <w:p>
                  <w:pPr>
                    <w:pStyle w:val="33"/>
                    <w:spacing w:line="360" w:lineRule="exact"/>
                    <w:jc w:val="center"/>
                    <w:rPr>
                      <w:szCs w:val="21"/>
                    </w:rPr>
                  </w:pPr>
                  <w:r>
                    <w:rPr>
                      <w:rFonts w:hint="eastAsia"/>
                      <w:szCs w:val="21"/>
                    </w:rPr>
                    <w:t>64</w:t>
                  </w:r>
                </w:p>
              </w:tc>
              <w:tc>
                <w:tcPr>
                  <w:tcW w:w="1065" w:type="dxa"/>
                  <w:shd w:val="clear" w:color="auto" w:fill="auto"/>
                  <w:vAlign w:val="center"/>
                </w:tcPr>
                <w:p>
                  <w:pPr>
                    <w:pStyle w:val="33"/>
                    <w:spacing w:line="360" w:lineRule="exact"/>
                    <w:jc w:val="center"/>
                    <w:rPr>
                      <w:szCs w:val="21"/>
                    </w:rPr>
                  </w:pPr>
                  <w:r>
                    <w:rPr>
                      <w:rFonts w:hint="eastAsia"/>
                      <w:szCs w:val="21"/>
                    </w:rPr>
                    <w:t>54.4</w:t>
                  </w:r>
                </w:p>
              </w:tc>
              <w:tc>
                <w:tcPr>
                  <w:tcW w:w="1075" w:type="dxa"/>
                  <w:shd w:val="clear" w:color="auto" w:fill="auto"/>
                  <w:vAlign w:val="center"/>
                </w:tcPr>
                <w:p>
                  <w:pPr>
                    <w:pStyle w:val="33"/>
                    <w:spacing w:line="360" w:lineRule="exact"/>
                    <w:jc w:val="center"/>
                    <w:rPr>
                      <w:szCs w:val="21"/>
                    </w:rPr>
                  </w:pPr>
                  <w:r>
                    <w:rPr>
                      <w:rFonts w:hint="eastAsia"/>
                      <w:szCs w:val="21"/>
                    </w:rPr>
                    <w:t>50</w:t>
                  </w:r>
                </w:p>
              </w:tc>
              <w:tc>
                <w:tcPr>
                  <w:tcW w:w="1077" w:type="dxa"/>
                  <w:shd w:val="clear" w:color="auto" w:fill="auto"/>
                  <w:vAlign w:val="center"/>
                </w:tcPr>
                <w:p>
                  <w:pPr>
                    <w:pStyle w:val="33"/>
                    <w:spacing w:line="360" w:lineRule="exact"/>
                    <w:jc w:val="center"/>
                    <w:rPr>
                      <w:szCs w:val="21"/>
                    </w:rPr>
                  </w:pPr>
                  <w:r>
                    <w:rPr>
                      <w:rFonts w:hint="eastAsia"/>
                      <w:szCs w:val="21"/>
                    </w:rPr>
                    <w:t>44</w:t>
                  </w:r>
                </w:p>
              </w:tc>
              <w:tc>
                <w:tcPr>
                  <w:tcW w:w="1079" w:type="dxa"/>
                  <w:shd w:val="clear" w:color="auto" w:fill="auto"/>
                  <w:vAlign w:val="center"/>
                </w:tcPr>
                <w:p>
                  <w:pPr>
                    <w:pStyle w:val="33"/>
                    <w:spacing w:line="360" w:lineRule="exact"/>
                    <w:jc w:val="center"/>
                    <w:rPr>
                      <w:szCs w:val="21"/>
                    </w:rPr>
                  </w:pPr>
                  <w:r>
                    <w:rPr>
                      <w:rFonts w:hint="eastAsia"/>
                      <w:szCs w:val="21"/>
                    </w:rPr>
                    <w:t>40.5</w:t>
                  </w:r>
                </w:p>
              </w:tc>
              <w:tc>
                <w:tcPr>
                  <w:tcW w:w="1067" w:type="dxa"/>
                  <w:shd w:val="clear" w:color="auto" w:fill="auto"/>
                  <w:vAlign w:val="center"/>
                </w:tcPr>
                <w:p>
                  <w:pPr>
                    <w:pStyle w:val="33"/>
                    <w:spacing w:line="360" w:lineRule="exact"/>
                    <w:jc w:val="center"/>
                    <w:rPr>
                      <w:szCs w:val="21"/>
                    </w:rPr>
                  </w:pPr>
                  <w:r>
                    <w:rPr>
                      <w:rFonts w:hint="eastAsia"/>
                      <w:szCs w:val="21"/>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1917" w:type="dxa"/>
                  <w:shd w:val="clear" w:color="auto" w:fill="auto"/>
                  <w:vAlign w:val="center"/>
                </w:tcPr>
                <w:p>
                  <w:pPr>
                    <w:pStyle w:val="33"/>
                    <w:spacing w:line="360" w:lineRule="exact"/>
                    <w:jc w:val="center"/>
                    <w:rPr>
                      <w:szCs w:val="21"/>
                    </w:rPr>
                  </w:pPr>
                  <w:r>
                    <w:rPr>
                      <w:rFonts w:hint="eastAsia"/>
                      <w:szCs w:val="21"/>
                    </w:rPr>
                    <w:t>爆破</w:t>
                  </w:r>
                </w:p>
              </w:tc>
              <w:tc>
                <w:tcPr>
                  <w:tcW w:w="1069" w:type="dxa"/>
                  <w:shd w:val="clear" w:color="auto" w:fill="auto"/>
                  <w:vAlign w:val="center"/>
                </w:tcPr>
                <w:p>
                  <w:pPr>
                    <w:pStyle w:val="33"/>
                    <w:spacing w:line="360" w:lineRule="exact"/>
                    <w:jc w:val="center"/>
                    <w:rPr>
                      <w:szCs w:val="21"/>
                    </w:rPr>
                  </w:pPr>
                  <w:r>
                    <w:rPr>
                      <w:rFonts w:hint="eastAsia"/>
                      <w:szCs w:val="21"/>
                    </w:rPr>
                    <w:t>84</w:t>
                  </w:r>
                </w:p>
              </w:tc>
              <w:tc>
                <w:tcPr>
                  <w:tcW w:w="1065" w:type="dxa"/>
                  <w:shd w:val="clear" w:color="auto" w:fill="auto"/>
                  <w:vAlign w:val="center"/>
                </w:tcPr>
                <w:p>
                  <w:pPr>
                    <w:pStyle w:val="33"/>
                    <w:spacing w:line="360" w:lineRule="exact"/>
                    <w:jc w:val="center"/>
                    <w:rPr>
                      <w:szCs w:val="21"/>
                    </w:rPr>
                  </w:pPr>
                  <w:r>
                    <w:rPr>
                      <w:rFonts w:hint="eastAsia"/>
                      <w:szCs w:val="21"/>
                    </w:rPr>
                    <w:t>74.4</w:t>
                  </w:r>
                </w:p>
              </w:tc>
              <w:tc>
                <w:tcPr>
                  <w:tcW w:w="1075" w:type="dxa"/>
                  <w:shd w:val="clear" w:color="auto" w:fill="auto"/>
                  <w:vAlign w:val="center"/>
                </w:tcPr>
                <w:p>
                  <w:pPr>
                    <w:pStyle w:val="33"/>
                    <w:spacing w:line="360" w:lineRule="exact"/>
                    <w:jc w:val="center"/>
                    <w:rPr>
                      <w:szCs w:val="21"/>
                    </w:rPr>
                  </w:pPr>
                  <w:r>
                    <w:rPr>
                      <w:rFonts w:hint="eastAsia"/>
                      <w:szCs w:val="21"/>
                    </w:rPr>
                    <w:t>70</w:t>
                  </w:r>
                </w:p>
              </w:tc>
              <w:tc>
                <w:tcPr>
                  <w:tcW w:w="1077" w:type="dxa"/>
                  <w:shd w:val="clear" w:color="auto" w:fill="auto"/>
                  <w:vAlign w:val="center"/>
                </w:tcPr>
                <w:p>
                  <w:pPr>
                    <w:pStyle w:val="33"/>
                    <w:spacing w:line="360" w:lineRule="exact"/>
                    <w:jc w:val="center"/>
                    <w:rPr>
                      <w:szCs w:val="21"/>
                    </w:rPr>
                  </w:pPr>
                  <w:r>
                    <w:rPr>
                      <w:rFonts w:hint="eastAsia"/>
                      <w:szCs w:val="21"/>
                    </w:rPr>
                    <w:t>64</w:t>
                  </w:r>
                </w:p>
              </w:tc>
              <w:tc>
                <w:tcPr>
                  <w:tcW w:w="1079" w:type="dxa"/>
                  <w:shd w:val="clear" w:color="auto" w:fill="auto"/>
                  <w:vAlign w:val="center"/>
                </w:tcPr>
                <w:p>
                  <w:pPr>
                    <w:pStyle w:val="33"/>
                    <w:spacing w:line="360" w:lineRule="exact"/>
                    <w:jc w:val="center"/>
                    <w:rPr>
                      <w:szCs w:val="21"/>
                    </w:rPr>
                  </w:pPr>
                  <w:r>
                    <w:rPr>
                      <w:rFonts w:hint="eastAsia"/>
                      <w:szCs w:val="21"/>
                    </w:rPr>
                    <w:t>60.5</w:t>
                  </w:r>
                </w:p>
              </w:tc>
              <w:tc>
                <w:tcPr>
                  <w:tcW w:w="1067" w:type="dxa"/>
                  <w:shd w:val="clear" w:color="auto" w:fill="auto"/>
                  <w:vAlign w:val="center"/>
                </w:tcPr>
                <w:p>
                  <w:pPr>
                    <w:pStyle w:val="33"/>
                    <w:spacing w:line="360" w:lineRule="exact"/>
                    <w:jc w:val="center"/>
                    <w:rPr>
                      <w:szCs w:val="21"/>
                    </w:rPr>
                  </w:pPr>
                  <w:r>
                    <w:rPr>
                      <w:rFonts w:hint="eastAsia"/>
                      <w:szCs w:val="21"/>
                    </w:rPr>
                    <w:t>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1917" w:type="dxa"/>
                  <w:shd w:val="clear" w:color="auto" w:fill="auto"/>
                  <w:vAlign w:val="center"/>
                </w:tcPr>
                <w:p>
                  <w:pPr>
                    <w:pStyle w:val="33"/>
                    <w:spacing w:line="360" w:lineRule="exact"/>
                    <w:jc w:val="center"/>
                    <w:rPr>
                      <w:szCs w:val="21"/>
                    </w:rPr>
                  </w:pPr>
                  <w:r>
                    <w:rPr>
                      <w:rFonts w:hint="eastAsia"/>
                      <w:szCs w:val="21"/>
                    </w:rPr>
                    <w:t>挖掘机</w:t>
                  </w:r>
                </w:p>
              </w:tc>
              <w:tc>
                <w:tcPr>
                  <w:tcW w:w="1069" w:type="dxa"/>
                  <w:shd w:val="clear" w:color="auto" w:fill="auto"/>
                  <w:vAlign w:val="center"/>
                </w:tcPr>
                <w:p>
                  <w:pPr>
                    <w:pStyle w:val="33"/>
                    <w:spacing w:line="360" w:lineRule="exact"/>
                    <w:jc w:val="center"/>
                    <w:rPr>
                      <w:szCs w:val="21"/>
                    </w:rPr>
                  </w:pPr>
                  <w:r>
                    <w:rPr>
                      <w:rFonts w:hint="eastAsia"/>
                      <w:szCs w:val="21"/>
                    </w:rPr>
                    <w:t>64</w:t>
                  </w:r>
                </w:p>
              </w:tc>
              <w:tc>
                <w:tcPr>
                  <w:tcW w:w="1065" w:type="dxa"/>
                  <w:shd w:val="clear" w:color="auto" w:fill="auto"/>
                  <w:vAlign w:val="center"/>
                </w:tcPr>
                <w:p>
                  <w:pPr>
                    <w:pStyle w:val="33"/>
                    <w:spacing w:line="360" w:lineRule="exact"/>
                    <w:jc w:val="center"/>
                    <w:rPr>
                      <w:szCs w:val="21"/>
                    </w:rPr>
                  </w:pPr>
                  <w:r>
                    <w:rPr>
                      <w:rFonts w:hint="eastAsia"/>
                      <w:szCs w:val="21"/>
                    </w:rPr>
                    <w:t>54.4</w:t>
                  </w:r>
                </w:p>
              </w:tc>
              <w:tc>
                <w:tcPr>
                  <w:tcW w:w="1075" w:type="dxa"/>
                  <w:shd w:val="clear" w:color="auto" w:fill="auto"/>
                  <w:vAlign w:val="center"/>
                </w:tcPr>
                <w:p>
                  <w:pPr>
                    <w:pStyle w:val="33"/>
                    <w:spacing w:line="360" w:lineRule="exact"/>
                    <w:jc w:val="center"/>
                    <w:rPr>
                      <w:szCs w:val="21"/>
                    </w:rPr>
                  </w:pPr>
                  <w:r>
                    <w:rPr>
                      <w:rFonts w:hint="eastAsia"/>
                      <w:szCs w:val="21"/>
                    </w:rPr>
                    <w:t>50</w:t>
                  </w:r>
                </w:p>
              </w:tc>
              <w:tc>
                <w:tcPr>
                  <w:tcW w:w="1077" w:type="dxa"/>
                  <w:shd w:val="clear" w:color="auto" w:fill="auto"/>
                  <w:vAlign w:val="center"/>
                </w:tcPr>
                <w:p>
                  <w:pPr>
                    <w:pStyle w:val="33"/>
                    <w:spacing w:line="360" w:lineRule="exact"/>
                    <w:jc w:val="center"/>
                    <w:rPr>
                      <w:szCs w:val="21"/>
                    </w:rPr>
                  </w:pPr>
                  <w:r>
                    <w:rPr>
                      <w:rFonts w:hint="eastAsia"/>
                      <w:szCs w:val="21"/>
                    </w:rPr>
                    <w:t>44</w:t>
                  </w:r>
                </w:p>
              </w:tc>
              <w:tc>
                <w:tcPr>
                  <w:tcW w:w="1079" w:type="dxa"/>
                  <w:shd w:val="clear" w:color="auto" w:fill="auto"/>
                  <w:vAlign w:val="center"/>
                </w:tcPr>
                <w:p>
                  <w:pPr>
                    <w:pStyle w:val="33"/>
                    <w:spacing w:line="360" w:lineRule="exact"/>
                    <w:jc w:val="center"/>
                    <w:rPr>
                      <w:szCs w:val="21"/>
                    </w:rPr>
                  </w:pPr>
                  <w:r>
                    <w:rPr>
                      <w:rFonts w:hint="eastAsia"/>
                      <w:szCs w:val="21"/>
                    </w:rPr>
                    <w:t>40.5</w:t>
                  </w:r>
                </w:p>
              </w:tc>
              <w:tc>
                <w:tcPr>
                  <w:tcW w:w="1067" w:type="dxa"/>
                  <w:shd w:val="clear" w:color="auto" w:fill="auto"/>
                  <w:vAlign w:val="center"/>
                </w:tcPr>
                <w:p>
                  <w:pPr>
                    <w:pStyle w:val="33"/>
                    <w:spacing w:line="360" w:lineRule="exact"/>
                    <w:jc w:val="center"/>
                    <w:rPr>
                      <w:szCs w:val="21"/>
                    </w:rPr>
                  </w:pPr>
                  <w:r>
                    <w:rPr>
                      <w:rFonts w:hint="eastAsia"/>
                      <w:szCs w:val="21"/>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1917" w:type="dxa"/>
                  <w:shd w:val="clear" w:color="auto" w:fill="auto"/>
                  <w:vAlign w:val="center"/>
                </w:tcPr>
                <w:p>
                  <w:pPr>
                    <w:pStyle w:val="33"/>
                    <w:spacing w:line="360" w:lineRule="exact"/>
                    <w:jc w:val="center"/>
                    <w:rPr>
                      <w:szCs w:val="21"/>
                    </w:rPr>
                  </w:pPr>
                  <w:r>
                    <w:rPr>
                      <w:rFonts w:hint="eastAsia"/>
                      <w:szCs w:val="21"/>
                    </w:rPr>
                    <w:t>装载机</w:t>
                  </w:r>
                </w:p>
              </w:tc>
              <w:tc>
                <w:tcPr>
                  <w:tcW w:w="1069" w:type="dxa"/>
                  <w:shd w:val="clear" w:color="auto" w:fill="auto"/>
                  <w:vAlign w:val="center"/>
                </w:tcPr>
                <w:p>
                  <w:pPr>
                    <w:pStyle w:val="33"/>
                    <w:spacing w:line="360" w:lineRule="exact"/>
                    <w:jc w:val="center"/>
                    <w:rPr>
                      <w:szCs w:val="21"/>
                    </w:rPr>
                  </w:pPr>
                  <w:r>
                    <w:rPr>
                      <w:rFonts w:hint="eastAsia"/>
                      <w:szCs w:val="21"/>
                    </w:rPr>
                    <w:t>59</w:t>
                  </w:r>
                </w:p>
              </w:tc>
              <w:tc>
                <w:tcPr>
                  <w:tcW w:w="1065" w:type="dxa"/>
                  <w:shd w:val="clear" w:color="auto" w:fill="auto"/>
                  <w:vAlign w:val="center"/>
                </w:tcPr>
                <w:p>
                  <w:pPr>
                    <w:pStyle w:val="33"/>
                    <w:spacing w:line="360" w:lineRule="exact"/>
                    <w:jc w:val="center"/>
                    <w:rPr>
                      <w:szCs w:val="21"/>
                    </w:rPr>
                  </w:pPr>
                  <w:r>
                    <w:rPr>
                      <w:rFonts w:hint="eastAsia"/>
                      <w:szCs w:val="21"/>
                    </w:rPr>
                    <w:t>49.4</w:t>
                  </w:r>
                </w:p>
              </w:tc>
              <w:tc>
                <w:tcPr>
                  <w:tcW w:w="1075" w:type="dxa"/>
                  <w:shd w:val="clear" w:color="auto" w:fill="auto"/>
                  <w:vAlign w:val="center"/>
                </w:tcPr>
                <w:p>
                  <w:pPr>
                    <w:pStyle w:val="33"/>
                    <w:spacing w:line="360" w:lineRule="exact"/>
                    <w:jc w:val="center"/>
                    <w:rPr>
                      <w:szCs w:val="21"/>
                    </w:rPr>
                  </w:pPr>
                  <w:r>
                    <w:rPr>
                      <w:rFonts w:hint="eastAsia"/>
                      <w:szCs w:val="21"/>
                    </w:rPr>
                    <w:t>45</w:t>
                  </w:r>
                </w:p>
              </w:tc>
              <w:tc>
                <w:tcPr>
                  <w:tcW w:w="1077" w:type="dxa"/>
                  <w:shd w:val="clear" w:color="auto" w:fill="auto"/>
                  <w:vAlign w:val="center"/>
                </w:tcPr>
                <w:p>
                  <w:pPr>
                    <w:pStyle w:val="33"/>
                    <w:spacing w:line="360" w:lineRule="exact"/>
                    <w:jc w:val="center"/>
                    <w:rPr>
                      <w:szCs w:val="21"/>
                    </w:rPr>
                  </w:pPr>
                  <w:r>
                    <w:rPr>
                      <w:rFonts w:hint="eastAsia"/>
                      <w:szCs w:val="21"/>
                    </w:rPr>
                    <w:t>39</w:t>
                  </w:r>
                </w:p>
              </w:tc>
              <w:tc>
                <w:tcPr>
                  <w:tcW w:w="1079" w:type="dxa"/>
                  <w:shd w:val="clear" w:color="auto" w:fill="auto"/>
                  <w:vAlign w:val="center"/>
                </w:tcPr>
                <w:p>
                  <w:pPr>
                    <w:pStyle w:val="33"/>
                    <w:spacing w:line="360" w:lineRule="exact"/>
                    <w:jc w:val="center"/>
                    <w:rPr>
                      <w:szCs w:val="21"/>
                    </w:rPr>
                  </w:pPr>
                  <w:r>
                    <w:rPr>
                      <w:rFonts w:hint="eastAsia"/>
                      <w:szCs w:val="21"/>
                    </w:rPr>
                    <w:t>35.5</w:t>
                  </w:r>
                </w:p>
              </w:tc>
              <w:tc>
                <w:tcPr>
                  <w:tcW w:w="1067" w:type="dxa"/>
                  <w:shd w:val="clear" w:color="auto" w:fill="auto"/>
                  <w:vAlign w:val="center"/>
                </w:tcPr>
                <w:p>
                  <w:pPr>
                    <w:pStyle w:val="33"/>
                    <w:spacing w:line="360" w:lineRule="exact"/>
                    <w:jc w:val="center"/>
                    <w:rPr>
                      <w:szCs w:val="21"/>
                    </w:rPr>
                  </w:pPr>
                  <w:r>
                    <w:rPr>
                      <w:rFonts w:hint="eastAsia"/>
                      <w:szCs w:val="21"/>
                    </w:rPr>
                    <w:t>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1917" w:type="dxa"/>
                  <w:shd w:val="clear" w:color="auto" w:fill="auto"/>
                  <w:vAlign w:val="center"/>
                </w:tcPr>
                <w:p>
                  <w:pPr>
                    <w:pStyle w:val="33"/>
                    <w:spacing w:line="360" w:lineRule="exact"/>
                    <w:jc w:val="center"/>
                    <w:rPr>
                      <w:szCs w:val="21"/>
                    </w:rPr>
                  </w:pPr>
                  <w:r>
                    <w:rPr>
                      <w:rFonts w:hint="eastAsia"/>
                      <w:szCs w:val="21"/>
                    </w:rPr>
                    <w:t>自卸卡车</w:t>
                  </w:r>
                </w:p>
              </w:tc>
              <w:tc>
                <w:tcPr>
                  <w:tcW w:w="1069" w:type="dxa"/>
                  <w:shd w:val="clear" w:color="auto" w:fill="auto"/>
                  <w:vAlign w:val="center"/>
                </w:tcPr>
                <w:p>
                  <w:pPr>
                    <w:pStyle w:val="33"/>
                    <w:spacing w:line="360" w:lineRule="exact"/>
                    <w:jc w:val="center"/>
                    <w:rPr>
                      <w:szCs w:val="21"/>
                    </w:rPr>
                  </w:pPr>
                  <w:r>
                    <w:rPr>
                      <w:rFonts w:hint="eastAsia"/>
                      <w:szCs w:val="21"/>
                    </w:rPr>
                    <w:t>59</w:t>
                  </w:r>
                </w:p>
              </w:tc>
              <w:tc>
                <w:tcPr>
                  <w:tcW w:w="1065" w:type="dxa"/>
                  <w:shd w:val="clear" w:color="auto" w:fill="auto"/>
                  <w:vAlign w:val="center"/>
                </w:tcPr>
                <w:p>
                  <w:pPr>
                    <w:pStyle w:val="33"/>
                    <w:spacing w:line="360" w:lineRule="exact"/>
                    <w:jc w:val="center"/>
                    <w:rPr>
                      <w:szCs w:val="21"/>
                    </w:rPr>
                  </w:pPr>
                  <w:r>
                    <w:rPr>
                      <w:rFonts w:hint="eastAsia"/>
                      <w:szCs w:val="21"/>
                    </w:rPr>
                    <w:t>49.4</w:t>
                  </w:r>
                </w:p>
              </w:tc>
              <w:tc>
                <w:tcPr>
                  <w:tcW w:w="1075" w:type="dxa"/>
                  <w:shd w:val="clear" w:color="auto" w:fill="auto"/>
                  <w:vAlign w:val="center"/>
                </w:tcPr>
                <w:p>
                  <w:pPr>
                    <w:pStyle w:val="33"/>
                    <w:spacing w:line="360" w:lineRule="exact"/>
                    <w:jc w:val="center"/>
                    <w:rPr>
                      <w:szCs w:val="21"/>
                    </w:rPr>
                  </w:pPr>
                  <w:r>
                    <w:rPr>
                      <w:rFonts w:hint="eastAsia"/>
                      <w:szCs w:val="21"/>
                    </w:rPr>
                    <w:t>45</w:t>
                  </w:r>
                </w:p>
              </w:tc>
              <w:tc>
                <w:tcPr>
                  <w:tcW w:w="1077" w:type="dxa"/>
                  <w:shd w:val="clear" w:color="auto" w:fill="auto"/>
                  <w:vAlign w:val="center"/>
                </w:tcPr>
                <w:p>
                  <w:pPr>
                    <w:pStyle w:val="33"/>
                    <w:spacing w:line="360" w:lineRule="exact"/>
                    <w:jc w:val="center"/>
                    <w:rPr>
                      <w:szCs w:val="21"/>
                    </w:rPr>
                  </w:pPr>
                  <w:r>
                    <w:rPr>
                      <w:rFonts w:hint="eastAsia"/>
                      <w:szCs w:val="21"/>
                    </w:rPr>
                    <w:t>39</w:t>
                  </w:r>
                </w:p>
              </w:tc>
              <w:tc>
                <w:tcPr>
                  <w:tcW w:w="1079" w:type="dxa"/>
                  <w:shd w:val="clear" w:color="auto" w:fill="auto"/>
                  <w:vAlign w:val="center"/>
                </w:tcPr>
                <w:p>
                  <w:pPr>
                    <w:pStyle w:val="33"/>
                    <w:spacing w:line="360" w:lineRule="exact"/>
                    <w:jc w:val="center"/>
                    <w:rPr>
                      <w:szCs w:val="21"/>
                    </w:rPr>
                  </w:pPr>
                  <w:r>
                    <w:rPr>
                      <w:rFonts w:hint="eastAsia"/>
                      <w:szCs w:val="21"/>
                    </w:rPr>
                    <w:t>35.5</w:t>
                  </w:r>
                </w:p>
              </w:tc>
              <w:tc>
                <w:tcPr>
                  <w:tcW w:w="1067" w:type="dxa"/>
                  <w:shd w:val="clear" w:color="auto" w:fill="auto"/>
                  <w:vAlign w:val="center"/>
                </w:tcPr>
                <w:p>
                  <w:pPr>
                    <w:pStyle w:val="33"/>
                    <w:spacing w:line="360" w:lineRule="exact"/>
                    <w:jc w:val="center"/>
                    <w:rPr>
                      <w:szCs w:val="21"/>
                    </w:rPr>
                  </w:pPr>
                  <w:r>
                    <w:rPr>
                      <w:rFonts w:hint="eastAsia"/>
                      <w:szCs w:val="21"/>
                    </w:rPr>
                    <w:t>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1917" w:type="dxa"/>
                  <w:shd w:val="clear" w:color="auto" w:fill="auto"/>
                  <w:vAlign w:val="center"/>
                </w:tcPr>
                <w:p>
                  <w:pPr>
                    <w:pStyle w:val="33"/>
                    <w:spacing w:line="360" w:lineRule="exact"/>
                    <w:jc w:val="center"/>
                    <w:rPr>
                      <w:szCs w:val="21"/>
                    </w:rPr>
                  </w:pPr>
                  <w:r>
                    <w:rPr>
                      <w:rFonts w:hint="eastAsia"/>
                      <w:szCs w:val="21"/>
                    </w:rPr>
                    <w:t>推土机</w:t>
                  </w:r>
                </w:p>
              </w:tc>
              <w:tc>
                <w:tcPr>
                  <w:tcW w:w="1069" w:type="dxa"/>
                  <w:shd w:val="clear" w:color="auto" w:fill="auto"/>
                  <w:vAlign w:val="center"/>
                </w:tcPr>
                <w:p>
                  <w:pPr>
                    <w:pStyle w:val="33"/>
                    <w:spacing w:line="360" w:lineRule="exact"/>
                    <w:jc w:val="center"/>
                    <w:rPr>
                      <w:szCs w:val="21"/>
                    </w:rPr>
                  </w:pPr>
                  <w:r>
                    <w:rPr>
                      <w:rFonts w:hint="eastAsia"/>
                      <w:szCs w:val="21"/>
                    </w:rPr>
                    <w:t>59</w:t>
                  </w:r>
                </w:p>
              </w:tc>
              <w:tc>
                <w:tcPr>
                  <w:tcW w:w="1065" w:type="dxa"/>
                  <w:shd w:val="clear" w:color="auto" w:fill="auto"/>
                  <w:vAlign w:val="center"/>
                </w:tcPr>
                <w:p>
                  <w:pPr>
                    <w:pStyle w:val="33"/>
                    <w:spacing w:line="360" w:lineRule="exact"/>
                    <w:jc w:val="center"/>
                    <w:rPr>
                      <w:szCs w:val="21"/>
                    </w:rPr>
                  </w:pPr>
                  <w:r>
                    <w:rPr>
                      <w:rFonts w:hint="eastAsia"/>
                      <w:szCs w:val="21"/>
                    </w:rPr>
                    <w:t>49.4</w:t>
                  </w:r>
                </w:p>
              </w:tc>
              <w:tc>
                <w:tcPr>
                  <w:tcW w:w="1075" w:type="dxa"/>
                  <w:shd w:val="clear" w:color="auto" w:fill="auto"/>
                  <w:vAlign w:val="center"/>
                </w:tcPr>
                <w:p>
                  <w:pPr>
                    <w:pStyle w:val="33"/>
                    <w:spacing w:line="360" w:lineRule="exact"/>
                    <w:jc w:val="center"/>
                    <w:rPr>
                      <w:szCs w:val="21"/>
                    </w:rPr>
                  </w:pPr>
                  <w:r>
                    <w:rPr>
                      <w:rFonts w:hint="eastAsia"/>
                      <w:szCs w:val="21"/>
                    </w:rPr>
                    <w:t>45</w:t>
                  </w:r>
                </w:p>
              </w:tc>
              <w:tc>
                <w:tcPr>
                  <w:tcW w:w="1077" w:type="dxa"/>
                  <w:shd w:val="clear" w:color="auto" w:fill="auto"/>
                  <w:vAlign w:val="center"/>
                </w:tcPr>
                <w:p>
                  <w:pPr>
                    <w:pStyle w:val="33"/>
                    <w:spacing w:line="360" w:lineRule="exact"/>
                    <w:jc w:val="center"/>
                    <w:rPr>
                      <w:szCs w:val="21"/>
                    </w:rPr>
                  </w:pPr>
                  <w:r>
                    <w:rPr>
                      <w:rFonts w:hint="eastAsia"/>
                      <w:szCs w:val="21"/>
                    </w:rPr>
                    <w:t>39</w:t>
                  </w:r>
                </w:p>
              </w:tc>
              <w:tc>
                <w:tcPr>
                  <w:tcW w:w="1079" w:type="dxa"/>
                  <w:shd w:val="clear" w:color="auto" w:fill="auto"/>
                  <w:vAlign w:val="center"/>
                </w:tcPr>
                <w:p>
                  <w:pPr>
                    <w:pStyle w:val="33"/>
                    <w:spacing w:line="360" w:lineRule="exact"/>
                    <w:jc w:val="center"/>
                    <w:rPr>
                      <w:szCs w:val="21"/>
                    </w:rPr>
                  </w:pPr>
                  <w:r>
                    <w:rPr>
                      <w:rFonts w:hint="eastAsia"/>
                      <w:szCs w:val="21"/>
                    </w:rPr>
                    <w:t>35.5</w:t>
                  </w:r>
                </w:p>
              </w:tc>
              <w:tc>
                <w:tcPr>
                  <w:tcW w:w="1067" w:type="dxa"/>
                  <w:shd w:val="clear" w:color="auto" w:fill="auto"/>
                  <w:vAlign w:val="center"/>
                </w:tcPr>
                <w:p>
                  <w:pPr>
                    <w:pStyle w:val="33"/>
                    <w:spacing w:line="360" w:lineRule="exact"/>
                    <w:jc w:val="center"/>
                    <w:rPr>
                      <w:szCs w:val="21"/>
                    </w:rPr>
                  </w:pPr>
                  <w:r>
                    <w:rPr>
                      <w:rFonts w:hint="eastAsia"/>
                      <w:szCs w:val="21"/>
                    </w:rPr>
                    <w:t>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917" w:type="dxa"/>
                  <w:shd w:val="clear" w:color="auto" w:fill="auto"/>
                  <w:vAlign w:val="center"/>
                </w:tcPr>
                <w:p>
                  <w:pPr>
                    <w:pStyle w:val="33"/>
                    <w:spacing w:line="360" w:lineRule="exact"/>
                    <w:jc w:val="center"/>
                    <w:rPr>
                      <w:szCs w:val="21"/>
                    </w:rPr>
                  </w:pPr>
                  <w:r>
                    <w:rPr>
                      <w:rFonts w:hint="eastAsia"/>
                      <w:szCs w:val="21"/>
                    </w:rPr>
                    <w:t>运输车辆</w:t>
                  </w:r>
                </w:p>
              </w:tc>
              <w:tc>
                <w:tcPr>
                  <w:tcW w:w="1069" w:type="dxa"/>
                  <w:shd w:val="clear" w:color="auto" w:fill="auto"/>
                  <w:vAlign w:val="center"/>
                </w:tcPr>
                <w:p>
                  <w:pPr>
                    <w:pStyle w:val="33"/>
                    <w:spacing w:line="360" w:lineRule="exact"/>
                    <w:jc w:val="center"/>
                    <w:rPr>
                      <w:szCs w:val="21"/>
                    </w:rPr>
                  </w:pPr>
                  <w:r>
                    <w:rPr>
                      <w:rFonts w:hint="eastAsia"/>
                      <w:szCs w:val="21"/>
                    </w:rPr>
                    <w:t>54</w:t>
                  </w:r>
                </w:p>
              </w:tc>
              <w:tc>
                <w:tcPr>
                  <w:tcW w:w="1065" w:type="dxa"/>
                  <w:shd w:val="clear" w:color="auto" w:fill="auto"/>
                  <w:vAlign w:val="center"/>
                </w:tcPr>
                <w:p>
                  <w:pPr>
                    <w:pStyle w:val="33"/>
                    <w:spacing w:line="360" w:lineRule="exact"/>
                    <w:jc w:val="center"/>
                    <w:rPr>
                      <w:szCs w:val="21"/>
                    </w:rPr>
                  </w:pPr>
                  <w:r>
                    <w:rPr>
                      <w:rFonts w:hint="eastAsia"/>
                      <w:szCs w:val="21"/>
                    </w:rPr>
                    <w:t>44.4</w:t>
                  </w:r>
                </w:p>
              </w:tc>
              <w:tc>
                <w:tcPr>
                  <w:tcW w:w="1075" w:type="dxa"/>
                  <w:shd w:val="clear" w:color="auto" w:fill="auto"/>
                  <w:vAlign w:val="center"/>
                </w:tcPr>
                <w:p>
                  <w:pPr>
                    <w:pStyle w:val="33"/>
                    <w:spacing w:line="360" w:lineRule="exact"/>
                    <w:jc w:val="center"/>
                    <w:rPr>
                      <w:szCs w:val="21"/>
                    </w:rPr>
                  </w:pPr>
                  <w:r>
                    <w:rPr>
                      <w:rFonts w:hint="eastAsia"/>
                      <w:szCs w:val="21"/>
                    </w:rPr>
                    <w:t>40</w:t>
                  </w:r>
                </w:p>
              </w:tc>
              <w:tc>
                <w:tcPr>
                  <w:tcW w:w="1077" w:type="dxa"/>
                  <w:shd w:val="clear" w:color="auto" w:fill="auto"/>
                  <w:vAlign w:val="center"/>
                </w:tcPr>
                <w:p>
                  <w:pPr>
                    <w:pStyle w:val="33"/>
                    <w:spacing w:line="360" w:lineRule="exact"/>
                    <w:jc w:val="center"/>
                    <w:rPr>
                      <w:szCs w:val="21"/>
                    </w:rPr>
                  </w:pPr>
                  <w:r>
                    <w:rPr>
                      <w:rFonts w:hint="eastAsia"/>
                      <w:szCs w:val="21"/>
                    </w:rPr>
                    <w:t>34</w:t>
                  </w:r>
                </w:p>
              </w:tc>
              <w:tc>
                <w:tcPr>
                  <w:tcW w:w="1079" w:type="dxa"/>
                  <w:shd w:val="clear" w:color="auto" w:fill="auto"/>
                  <w:vAlign w:val="center"/>
                </w:tcPr>
                <w:p>
                  <w:pPr>
                    <w:pStyle w:val="33"/>
                    <w:spacing w:line="360" w:lineRule="exact"/>
                    <w:jc w:val="center"/>
                    <w:rPr>
                      <w:szCs w:val="21"/>
                    </w:rPr>
                  </w:pPr>
                  <w:r>
                    <w:rPr>
                      <w:rFonts w:hint="eastAsia"/>
                      <w:szCs w:val="21"/>
                    </w:rPr>
                    <w:t>30.5</w:t>
                  </w:r>
                </w:p>
              </w:tc>
              <w:tc>
                <w:tcPr>
                  <w:tcW w:w="1067" w:type="dxa"/>
                  <w:shd w:val="clear" w:color="auto" w:fill="auto"/>
                  <w:vAlign w:val="center"/>
                </w:tcPr>
                <w:p>
                  <w:pPr>
                    <w:pStyle w:val="33"/>
                    <w:spacing w:line="360" w:lineRule="exact"/>
                    <w:jc w:val="center"/>
                    <w:rPr>
                      <w:szCs w:val="21"/>
                    </w:rPr>
                  </w:pPr>
                  <w:r>
                    <w:rPr>
                      <w:rFonts w:hint="eastAsia"/>
                      <w:szCs w:val="21"/>
                    </w:rPr>
                    <w:t>/</w:t>
                  </w:r>
                </w:p>
              </w:tc>
            </w:tr>
          </w:tbl>
          <w:p>
            <w:pPr>
              <w:pStyle w:val="28"/>
              <w:spacing w:line="360" w:lineRule="auto"/>
              <w:ind w:left="987" w:firstLine="0" w:firstLineChars="0"/>
              <w:rPr>
                <w:b/>
                <w:bCs/>
                <w:sz w:val="24"/>
              </w:rPr>
            </w:pPr>
          </w:p>
          <w:p>
            <w:pPr>
              <w:pStyle w:val="63"/>
              <w:ind w:firstLine="480"/>
            </w:pPr>
            <w:r>
              <w:rPr>
                <w:rFonts w:hint="eastAsia"/>
              </w:rPr>
              <w:t>综上分析可知。本项目爆破时间一般选在白天，夜晚不爆破，七天一次，且属于瞬时爆破，爆破噪声与采矿场地距离300m的地方可符合《工业企业厂界环境噪声排放标准》2类标准限值中昼间噪声限值要求。本项目采矿期间，除爆破外在昼间与采矿场地距离100m的地方可符合《工业企业厂界环境噪声排放标准》2类标准限值中昼间噪声限值要求；在夜间与采矿场地距离300m的地方可符合《工业企业厂界环境噪声排放标准》2类标准限值中夜间噪声限值要求。据现场调查，本项目采矿场周围1078m范围内无居民、学校等环境保护目标，因此，本项目采矿场噪声对周围环境影响较小。</w:t>
            </w:r>
          </w:p>
          <w:p>
            <w:pPr>
              <w:pStyle w:val="63"/>
              <w:ind w:firstLine="480"/>
            </w:pPr>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振动影响分析</w:t>
            </w:r>
          </w:p>
          <w:p>
            <w:pPr>
              <w:pStyle w:val="63"/>
              <w:ind w:firstLine="480"/>
            </w:pPr>
            <w:r>
              <w:rPr>
                <w:rFonts w:hint="eastAsia"/>
              </w:rPr>
              <w:t>钻孔、爆破会对周边环境产生一定程度的振动。振动影响主要是爆破、汽车、空压机、钻机等作业时所造成的。振动所产生的影响可能对邻近的建筑物造成破坏，其中空压机和钻机产生的振动，其严重程度与噪声相当，可分别采用间接隔振和地基减振处理措施加以削减。矿山开采的振动影响主要还是来自于爆破作业。用速度和振动频率等物理量表示。大量资料显示，质点振动速度与一次爆破的装药量大小、测点至爆源的距离、地质条件和爆破方法等因素有关。</w:t>
            </w:r>
          </w:p>
          <w:p>
            <w:pPr>
              <w:pStyle w:val="63"/>
              <w:ind w:firstLine="480"/>
            </w:pPr>
            <w:r>
              <w:drawing>
                <wp:anchor distT="0" distB="0" distL="114300" distR="114300" simplePos="0" relativeHeight="251681792" behindDoc="0" locked="0" layoutInCell="1" allowOverlap="1">
                  <wp:simplePos x="0" y="0"/>
                  <wp:positionH relativeFrom="column">
                    <wp:posOffset>1441450</wp:posOffset>
                  </wp:positionH>
                  <wp:positionV relativeFrom="paragraph">
                    <wp:posOffset>732155</wp:posOffset>
                  </wp:positionV>
                  <wp:extent cx="1257300" cy="695325"/>
                  <wp:effectExtent l="0" t="0" r="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1257300" cy="695325"/>
                          </a:xfrm>
                          <a:prstGeom prst="rect">
                            <a:avLst/>
                          </a:prstGeom>
                        </pic:spPr>
                      </pic:pic>
                    </a:graphicData>
                  </a:graphic>
                </wp:anchor>
              </w:drawing>
            </w:r>
            <w:r>
              <w:rPr>
                <w:rFonts w:hint="eastAsia"/>
              </w:rPr>
              <w:t>我国推荐爆破振动对建筑物的影响程度按下式（王伟德，地铁爆破施工队建筑物振动影响预测[j].铁道劳动安全卫士与环保，1998，25（3 ；1551-153）计算：</w:t>
            </w:r>
          </w:p>
          <w:p>
            <w:pPr>
              <w:pStyle w:val="63"/>
              <w:ind w:firstLine="480"/>
            </w:pPr>
          </w:p>
          <w:p>
            <w:pPr>
              <w:pStyle w:val="63"/>
              <w:ind w:firstLine="0" w:firstLineChars="0"/>
            </w:pPr>
          </w:p>
          <w:p>
            <w:pPr>
              <w:pStyle w:val="63"/>
              <w:ind w:firstLine="0" w:firstLineChars="0"/>
            </w:pPr>
          </w:p>
          <w:p>
            <w:pPr>
              <w:pStyle w:val="63"/>
              <w:ind w:firstLine="480"/>
            </w:pPr>
            <w:r>
              <w:rPr>
                <w:rFonts w:hint="eastAsia"/>
              </w:rPr>
              <w:t>式中: v-爆破振动速度，cm/s;</w:t>
            </w:r>
          </w:p>
          <w:p>
            <w:pPr>
              <w:pStyle w:val="63"/>
              <w:ind w:firstLine="480"/>
            </w:pPr>
            <w:r>
              <w:rPr>
                <w:rFonts w:hint="eastAsia"/>
              </w:rPr>
              <w:t>K、a-与爆破方法及基岩特性有关的系数；</w:t>
            </w:r>
          </w:p>
          <w:p>
            <w:pPr>
              <w:pStyle w:val="63"/>
              <w:ind w:firstLine="480"/>
            </w:pPr>
            <w:r>
              <w:rPr>
                <w:rFonts w:hint="eastAsia"/>
              </w:rPr>
              <w:t>R一距爆破中心距离，m;</w:t>
            </w:r>
          </w:p>
          <w:p>
            <w:pPr>
              <w:pStyle w:val="63"/>
              <w:ind w:firstLine="480"/>
            </w:pPr>
            <w:r>
              <w:t>Q</w:t>
            </w:r>
            <w:r>
              <w:rPr>
                <w:rFonts w:hint="eastAsia"/>
              </w:rPr>
              <w:t>最大一段爆破的药量，kg;</w:t>
            </w:r>
          </w:p>
          <w:p>
            <w:pPr>
              <w:pStyle w:val="28"/>
              <w:numPr>
                <w:ilvl w:val="0"/>
                <w:numId w:val="2"/>
              </w:numPr>
              <w:spacing w:line="400" w:lineRule="exact"/>
              <w:ind w:firstLineChars="0"/>
              <w:jc w:val="center"/>
              <w:rPr>
                <w:b/>
                <w:bCs/>
                <w:sz w:val="24"/>
              </w:rPr>
            </w:pPr>
            <w:r>
              <w:rPr>
                <w:rFonts w:hint="eastAsia"/>
                <w:b/>
                <w:bCs/>
                <w:sz w:val="24"/>
              </w:rPr>
              <w:t>爆破区域不同岩性的K、a值</w:t>
            </w:r>
          </w:p>
          <w:tbl>
            <w:tblPr>
              <w:tblStyle w:val="23"/>
              <w:tblW w:w="831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71"/>
              <w:gridCol w:w="2771"/>
              <w:gridCol w:w="27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771" w:type="dxa"/>
                  <w:shd w:val="clear" w:color="auto" w:fill="auto"/>
                  <w:vAlign w:val="center"/>
                </w:tcPr>
                <w:p>
                  <w:pPr>
                    <w:pStyle w:val="63"/>
                    <w:spacing w:line="360" w:lineRule="exact"/>
                    <w:ind w:firstLine="0" w:firstLineChars="0"/>
                    <w:jc w:val="center"/>
                    <w:rPr>
                      <w:sz w:val="21"/>
                    </w:rPr>
                  </w:pPr>
                  <w:r>
                    <w:rPr>
                      <w:rFonts w:hint="eastAsia"/>
                      <w:sz w:val="21"/>
                    </w:rPr>
                    <w:t>岩性</w:t>
                  </w:r>
                </w:p>
              </w:tc>
              <w:tc>
                <w:tcPr>
                  <w:tcW w:w="2771" w:type="dxa"/>
                  <w:shd w:val="clear" w:color="auto" w:fill="auto"/>
                  <w:vAlign w:val="center"/>
                </w:tcPr>
                <w:p>
                  <w:pPr>
                    <w:pStyle w:val="63"/>
                    <w:spacing w:line="360" w:lineRule="exact"/>
                    <w:ind w:firstLine="0" w:firstLineChars="0"/>
                    <w:jc w:val="center"/>
                    <w:rPr>
                      <w:sz w:val="21"/>
                    </w:rPr>
                  </w:pPr>
                  <w:r>
                    <w:rPr>
                      <w:sz w:val="21"/>
                    </w:rPr>
                    <w:t>K</w:t>
                  </w:r>
                </w:p>
              </w:tc>
              <w:tc>
                <w:tcPr>
                  <w:tcW w:w="2771" w:type="dxa"/>
                  <w:shd w:val="clear" w:color="auto" w:fill="auto"/>
                  <w:vAlign w:val="center"/>
                </w:tcPr>
                <w:p>
                  <w:pPr>
                    <w:pStyle w:val="63"/>
                    <w:spacing w:line="360" w:lineRule="exact"/>
                    <w:ind w:firstLine="0" w:firstLineChars="0"/>
                    <w:jc w:val="center"/>
                    <w:rPr>
                      <w:sz w:val="21"/>
                    </w:rPr>
                  </w:pPr>
                  <w:r>
                    <w:rPr>
                      <w:sz w:val="21"/>
                    </w:rPr>
                    <w: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771" w:type="dxa"/>
                  <w:shd w:val="clear" w:color="auto" w:fill="auto"/>
                  <w:vAlign w:val="center"/>
                </w:tcPr>
                <w:p>
                  <w:pPr>
                    <w:pStyle w:val="63"/>
                    <w:spacing w:line="360" w:lineRule="exact"/>
                    <w:ind w:firstLine="0" w:firstLineChars="0"/>
                    <w:jc w:val="center"/>
                    <w:rPr>
                      <w:sz w:val="21"/>
                    </w:rPr>
                  </w:pPr>
                  <w:r>
                    <w:rPr>
                      <w:rFonts w:hint="eastAsia"/>
                      <w:sz w:val="21"/>
                    </w:rPr>
                    <w:t>坚硬岩石</w:t>
                  </w:r>
                </w:p>
              </w:tc>
              <w:tc>
                <w:tcPr>
                  <w:tcW w:w="2771" w:type="dxa"/>
                  <w:shd w:val="clear" w:color="auto" w:fill="auto"/>
                  <w:vAlign w:val="center"/>
                </w:tcPr>
                <w:p>
                  <w:pPr>
                    <w:pStyle w:val="63"/>
                    <w:spacing w:line="360" w:lineRule="exact"/>
                    <w:ind w:firstLine="0" w:firstLineChars="0"/>
                    <w:jc w:val="center"/>
                    <w:rPr>
                      <w:sz w:val="21"/>
                    </w:rPr>
                  </w:pPr>
                  <w:r>
                    <w:rPr>
                      <w:sz w:val="21"/>
                    </w:rPr>
                    <w:t>50~150</w:t>
                  </w:r>
                </w:p>
              </w:tc>
              <w:tc>
                <w:tcPr>
                  <w:tcW w:w="2771" w:type="dxa"/>
                  <w:shd w:val="clear" w:color="auto" w:fill="auto"/>
                  <w:vAlign w:val="center"/>
                </w:tcPr>
                <w:p>
                  <w:pPr>
                    <w:pStyle w:val="63"/>
                    <w:spacing w:line="360" w:lineRule="exact"/>
                    <w:ind w:firstLine="0" w:firstLineChars="0"/>
                    <w:jc w:val="center"/>
                    <w:rPr>
                      <w:sz w:val="21"/>
                    </w:rPr>
                  </w:pPr>
                  <w:r>
                    <w:rPr>
                      <w:sz w:val="21"/>
                    </w:rPr>
                    <w:t>1.3~1.5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771" w:type="dxa"/>
                  <w:shd w:val="clear" w:color="auto" w:fill="auto"/>
                  <w:vAlign w:val="center"/>
                </w:tcPr>
                <w:p>
                  <w:pPr>
                    <w:pStyle w:val="63"/>
                    <w:spacing w:line="360" w:lineRule="exact"/>
                    <w:ind w:firstLine="0" w:firstLineChars="0"/>
                    <w:jc w:val="center"/>
                    <w:rPr>
                      <w:sz w:val="21"/>
                    </w:rPr>
                  </w:pPr>
                  <w:r>
                    <w:rPr>
                      <w:rFonts w:hint="eastAsia"/>
                      <w:sz w:val="21"/>
                    </w:rPr>
                    <w:t>中硬岩石</w:t>
                  </w:r>
                </w:p>
              </w:tc>
              <w:tc>
                <w:tcPr>
                  <w:tcW w:w="2771" w:type="dxa"/>
                  <w:shd w:val="clear" w:color="auto" w:fill="auto"/>
                  <w:vAlign w:val="center"/>
                </w:tcPr>
                <w:p>
                  <w:pPr>
                    <w:pStyle w:val="63"/>
                    <w:spacing w:line="360" w:lineRule="exact"/>
                    <w:ind w:firstLine="0" w:firstLineChars="0"/>
                    <w:jc w:val="center"/>
                    <w:rPr>
                      <w:sz w:val="21"/>
                    </w:rPr>
                  </w:pPr>
                  <w:r>
                    <w:rPr>
                      <w:sz w:val="21"/>
                    </w:rPr>
                    <w:t>150~250</w:t>
                  </w:r>
                </w:p>
              </w:tc>
              <w:tc>
                <w:tcPr>
                  <w:tcW w:w="2771" w:type="dxa"/>
                  <w:shd w:val="clear" w:color="auto" w:fill="auto"/>
                  <w:vAlign w:val="center"/>
                </w:tcPr>
                <w:p>
                  <w:pPr>
                    <w:pStyle w:val="63"/>
                    <w:spacing w:line="360" w:lineRule="exact"/>
                    <w:ind w:firstLine="0" w:firstLineChars="0"/>
                    <w:jc w:val="center"/>
                    <w:rPr>
                      <w:sz w:val="21"/>
                    </w:rPr>
                  </w:pPr>
                  <w:r>
                    <w:rPr>
                      <w:sz w:val="21"/>
                    </w:rPr>
                    <w:t>1.5~1.8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2771" w:type="dxa"/>
                  <w:shd w:val="clear" w:color="auto" w:fill="auto"/>
                  <w:vAlign w:val="center"/>
                </w:tcPr>
                <w:p>
                  <w:pPr>
                    <w:pStyle w:val="63"/>
                    <w:spacing w:line="360" w:lineRule="exact"/>
                    <w:ind w:firstLine="0" w:firstLineChars="0"/>
                    <w:jc w:val="center"/>
                    <w:rPr>
                      <w:sz w:val="21"/>
                    </w:rPr>
                  </w:pPr>
                  <w:r>
                    <w:rPr>
                      <w:rFonts w:hint="eastAsia"/>
                      <w:sz w:val="21"/>
                    </w:rPr>
                    <w:t>软岩石</w:t>
                  </w:r>
                </w:p>
              </w:tc>
              <w:tc>
                <w:tcPr>
                  <w:tcW w:w="2771" w:type="dxa"/>
                  <w:shd w:val="clear" w:color="auto" w:fill="auto"/>
                  <w:vAlign w:val="center"/>
                </w:tcPr>
                <w:p>
                  <w:pPr>
                    <w:pStyle w:val="63"/>
                    <w:spacing w:line="360" w:lineRule="exact"/>
                    <w:ind w:firstLine="0" w:firstLineChars="0"/>
                    <w:jc w:val="center"/>
                    <w:rPr>
                      <w:sz w:val="21"/>
                    </w:rPr>
                  </w:pPr>
                  <w:r>
                    <w:rPr>
                      <w:sz w:val="21"/>
                    </w:rPr>
                    <w:t>250~350</w:t>
                  </w:r>
                </w:p>
              </w:tc>
              <w:tc>
                <w:tcPr>
                  <w:tcW w:w="2771" w:type="dxa"/>
                  <w:shd w:val="clear" w:color="auto" w:fill="auto"/>
                  <w:vAlign w:val="center"/>
                </w:tcPr>
                <w:p>
                  <w:pPr>
                    <w:pStyle w:val="63"/>
                    <w:spacing w:line="360" w:lineRule="exact"/>
                    <w:ind w:firstLine="0" w:firstLineChars="0"/>
                    <w:jc w:val="center"/>
                    <w:rPr>
                      <w:sz w:val="21"/>
                    </w:rPr>
                  </w:pPr>
                  <w:r>
                    <w:rPr>
                      <w:sz w:val="21"/>
                    </w:rPr>
                    <w:t>1.8~2.0</w:t>
                  </w:r>
                </w:p>
              </w:tc>
            </w:tr>
          </w:tbl>
          <w:p>
            <w:pPr>
              <w:pStyle w:val="63"/>
              <w:ind w:firstLine="480"/>
              <w:rPr>
                <w:rFonts w:hint="eastAsia"/>
              </w:rPr>
            </w:pPr>
            <w:r>
              <w:rPr>
                <w:rFonts w:hint="eastAsia"/>
              </w:rPr>
              <w:t>根据《爆破安全规程》（GB6772-2014），对多种类型的建（构）筑物提出了不同的安全允许振动速度标准见下表。</w:t>
            </w:r>
          </w:p>
          <w:p>
            <w:pPr>
              <w:pStyle w:val="63"/>
              <w:ind w:firstLine="480"/>
              <w:rPr>
                <w:rFonts w:hint="eastAsia"/>
              </w:rPr>
            </w:pPr>
          </w:p>
          <w:p>
            <w:pPr>
              <w:pStyle w:val="28"/>
              <w:numPr>
                <w:ilvl w:val="0"/>
                <w:numId w:val="2"/>
              </w:numPr>
              <w:spacing w:line="400" w:lineRule="exact"/>
              <w:ind w:firstLineChars="0"/>
              <w:jc w:val="center"/>
              <w:rPr>
                <w:b/>
                <w:bCs/>
                <w:sz w:val="24"/>
              </w:rPr>
            </w:pPr>
            <w:r>
              <w:rPr>
                <w:rFonts w:hint="eastAsia"/>
                <w:b/>
                <w:bCs/>
                <w:sz w:val="24"/>
              </w:rPr>
              <w:t>各种建（构） 筑物安全允许标准</w:t>
            </w:r>
          </w:p>
          <w:tbl>
            <w:tblPr>
              <w:tblStyle w:val="23"/>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1"/>
              <w:gridCol w:w="3268"/>
              <w:gridCol w:w="1336"/>
              <w:gridCol w:w="1920"/>
              <w:gridCol w:w="10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31" w:type="dxa"/>
                  <w:vMerge w:val="restart"/>
                  <w:shd w:val="clear" w:color="auto" w:fill="auto"/>
                  <w:vAlign w:val="center"/>
                </w:tcPr>
                <w:p>
                  <w:pPr>
                    <w:pStyle w:val="63"/>
                    <w:spacing w:line="360" w:lineRule="exact"/>
                    <w:ind w:firstLine="0" w:firstLineChars="0"/>
                    <w:jc w:val="center"/>
                    <w:rPr>
                      <w:sz w:val="21"/>
                    </w:rPr>
                  </w:pPr>
                  <w:r>
                    <w:rPr>
                      <w:rFonts w:hint="eastAsia"/>
                      <w:sz w:val="21"/>
                    </w:rPr>
                    <w:t>序号</w:t>
                  </w:r>
                </w:p>
              </w:tc>
              <w:tc>
                <w:tcPr>
                  <w:tcW w:w="3268" w:type="dxa"/>
                  <w:vMerge w:val="restart"/>
                  <w:shd w:val="clear" w:color="auto" w:fill="auto"/>
                  <w:vAlign w:val="center"/>
                </w:tcPr>
                <w:p>
                  <w:pPr>
                    <w:pStyle w:val="63"/>
                    <w:spacing w:line="360" w:lineRule="exact"/>
                    <w:ind w:firstLine="0" w:firstLineChars="0"/>
                    <w:jc w:val="center"/>
                    <w:rPr>
                      <w:sz w:val="21"/>
                    </w:rPr>
                  </w:pPr>
                  <w:r>
                    <w:rPr>
                      <w:rFonts w:hint="eastAsia"/>
                      <w:sz w:val="21"/>
                    </w:rPr>
                    <w:t>保护对象类别</w:t>
                  </w:r>
                </w:p>
              </w:tc>
              <w:tc>
                <w:tcPr>
                  <w:tcW w:w="4350" w:type="dxa"/>
                  <w:gridSpan w:val="3"/>
                  <w:shd w:val="clear" w:color="auto" w:fill="auto"/>
                  <w:vAlign w:val="center"/>
                </w:tcPr>
                <w:p>
                  <w:pPr>
                    <w:pStyle w:val="63"/>
                    <w:spacing w:line="360" w:lineRule="exact"/>
                    <w:ind w:firstLine="0" w:firstLineChars="0"/>
                    <w:jc w:val="center"/>
                    <w:rPr>
                      <w:sz w:val="21"/>
                    </w:rPr>
                  </w:pPr>
                  <w:r>
                    <w:rPr>
                      <w:rFonts w:hint="eastAsia"/>
                      <w:sz w:val="21"/>
                    </w:rPr>
                    <w:t>安全允许振速（cm/s）</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31" w:type="dxa"/>
                  <w:vMerge w:val="continue"/>
                  <w:shd w:val="clear" w:color="auto" w:fill="auto"/>
                  <w:vAlign w:val="center"/>
                </w:tcPr>
                <w:p>
                  <w:pPr>
                    <w:pStyle w:val="63"/>
                    <w:spacing w:line="360" w:lineRule="exact"/>
                    <w:ind w:firstLine="0" w:firstLineChars="0"/>
                    <w:jc w:val="center"/>
                    <w:rPr>
                      <w:sz w:val="21"/>
                    </w:rPr>
                  </w:pPr>
                </w:p>
              </w:tc>
              <w:tc>
                <w:tcPr>
                  <w:tcW w:w="3268" w:type="dxa"/>
                  <w:vMerge w:val="continue"/>
                  <w:shd w:val="clear" w:color="auto" w:fill="auto"/>
                  <w:vAlign w:val="center"/>
                </w:tcPr>
                <w:p>
                  <w:pPr>
                    <w:pStyle w:val="63"/>
                    <w:spacing w:line="360" w:lineRule="exact"/>
                    <w:ind w:firstLine="0" w:firstLineChars="0"/>
                    <w:jc w:val="center"/>
                    <w:rPr>
                      <w:sz w:val="21"/>
                    </w:rPr>
                  </w:pPr>
                </w:p>
              </w:tc>
              <w:tc>
                <w:tcPr>
                  <w:tcW w:w="1336" w:type="dxa"/>
                  <w:shd w:val="clear" w:color="auto" w:fill="auto"/>
                  <w:vAlign w:val="center"/>
                </w:tcPr>
                <w:p>
                  <w:pPr>
                    <w:pStyle w:val="63"/>
                    <w:spacing w:line="360" w:lineRule="exact"/>
                    <w:ind w:firstLine="0" w:firstLineChars="0"/>
                    <w:jc w:val="center"/>
                    <w:rPr>
                      <w:sz w:val="21"/>
                    </w:rPr>
                  </w:pPr>
                  <w:r>
                    <w:rPr>
                      <w:rFonts w:hint="eastAsia"/>
                      <w:sz w:val="21"/>
                    </w:rPr>
                    <w:t>f≤10Hz</w:t>
                  </w:r>
                </w:p>
              </w:tc>
              <w:tc>
                <w:tcPr>
                  <w:tcW w:w="1920" w:type="dxa"/>
                  <w:shd w:val="clear" w:color="auto" w:fill="auto"/>
                  <w:vAlign w:val="center"/>
                </w:tcPr>
                <w:p>
                  <w:pPr>
                    <w:pStyle w:val="63"/>
                    <w:spacing w:line="360" w:lineRule="exact"/>
                    <w:ind w:firstLine="0" w:firstLineChars="0"/>
                    <w:jc w:val="center"/>
                    <w:rPr>
                      <w:sz w:val="21"/>
                    </w:rPr>
                  </w:pPr>
                  <w:r>
                    <w:rPr>
                      <w:rFonts w:hint="eastAsia"/>
                      <w:sz w:val="21"/>
                    </w:rPr>
                    <w:t>10Hz＜f≤50Hz</w:t>
                  </w:r>
                </w:p>
              </w:tc>
              <w:tc>
                <w:tcPr>
                  <w:tcW w:w="1094" w:type="dxa"/>
                  <w:shd w:val="clear" w:color="auto" w:fill="auto"/>
                  <w:vAlign w:val="center"/>
                </w:tcPr>
                <w:p>
                  <w:pPr>
                    <w:pStyle w:val="63"/>
                    <w:spacing w:line="360" w:lineRule="exact"/>
                    <w:ind w:firstLine="0" w:firstLineChars="0"/>
                    <w:jc w:val="center"/>
                    <w:rPr>
                      <w:sz w:val="21"/>
                    </w:rPr>
                  </w:pPr>
                  <w:r>
                    <w:rPr>
                      <w:rFonts w:hint="eastAsia"/>
                      <w:sz w:val="21"/>
                    </w:rPr>
                    <w:t>f＞50Hz</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31" w:type="dxa"/>
                  <w:shd w:val="clear" w:color="auto" w:fill="auto"/>
                  <w:vAlign w:val="center"/>
                </w:tcPr>
                <w:p>
                  <w:pPr>
                    <w:pStyle w:val="63"/>
                    <w:spacing w:line="360" w:lineRule="exact"/>
                    <w:ind w:firstLine="0" w:firstLineChars="0"/>
                    <w:jc w:val="center"/>
                    <w:rPr>
                      <w:sz w:val="21"/>
                    </w:rPr>
                  </w:pPr>
                  <w:r>
                    <w:rPr>
                      <w:rFonts w:hint="eastAsia"/>
                      <w:sz w:val="21"/>
                    </w:rPr>
                    <w:t>1</w:t>
                  </w:r>
                </w:p>
              </w:tc>
              <w:tc>
                <w:tcPr>
                  <w:tcW w:w="3268" w:type="dxa"/>
                  <w:shd w:val="clear" w:color="auto" w:fill="auto"/>
                  <w:vAlign w:val="center"/>
                </w:tcPr>
                <w:p>
                  <w:pPr>
                    <w:pStyle w:val="63"/>
                    <w:spacing w:line="360" w:lineRule="exact"/>
                    <w:ind w:firstLine="0" w:firstLineChars="0"/>
                    <w:jc w:val="center"/>
                    <w:rPr>
                      <w:sz w:val="21"/>
                    </w:rPr>
                  </w:pPr>
                  <w:r>
                    <w:rPr>
                      <w:rFonts w:hint="eastAsia"/>
                      <w:sz w:val="21"/>
                    </w:rPr>
                    <w:t>土窑洞、土坯房、 毛石房屋</w:t>
                  </w:r>
                </w:p>
              </w:tc>
              <w:tc>
                <w:tcPr>
                  <w:tcW w:w="1336" w:type="dxa"/>
                  <w:shd w:val="clear" w:color="auto" w:fill="auto"/>
                  <w:vAlign w:val="center"/>
                </w:tcPr>
                <w:p>
                  <w:pPr>
                    <w:pStyle w:val="63"/>
                    <w:spacing w:line="360" w:lineRule="exact"/>
                    <w:ind w:firstLine="0" w:firstLineChars="0"/>
                    <w:jc w:val="center"/>
                    <w:rPr>
                      <w:sz w:val="21"/>
                    </w:rPr>
                  </w:pPr>
                  <w:r>
                    <w:rPr>
                      <w:rFonts w:hint="eastAsia"/>
                      <w:sz w:val="21"/>
                    </w:rPr>
                    <w:t>0.15～0.45</w:t>
                  </w:r>
                </w:p>
              </w:tc>
              <w:tc>
                <w:tcPr>
                  <w:tcW w:w="1920" w:type="dxa"/>
                  <w:shd w:val="clear" w:color="auto" w:fill="auto"/>
                  <w:vAlign w:val="center"/>
                </w:tcPr>
                <w:p>
                  <w:pPr>
                    <w:pStyle w:val="63"/>
                    <w:spacing w:line="360" w:lineRule="exact"/>
                    <w:ind w:firstLine="0" w:firstLineChars="0"/>
                    <w:jc w:val="center"/>
                    <w:rPr>
                      <w:sz w:val="21"/>
                    </w:rPr>
                  </w:pPr>
                  <w:r>
                    <w:rPr>
                      <w:rFonts w:hint="eastAsia"/>
                      <w:sz w:val="21"/>
                    </w:rPr>
                    <w:t>0.45～0.9</w:t>
                  </w:r>
                </w:p>
              </w:tc>
              <w:tc>
                <w:tcPr>
                  <w:tcW w:w="1094" w:type="dxa"/>
                  <w:shd w:val="clear" w:color="auto" w:fill="auto"/>
                  <w:vAlign w:val="center"/>
                </w:tcPr>
                <w:p>
                  <w:pPr>
                    <w:pStyle w:val="63"/>
                    <w:spacing w:line="360" w:lineRule="exact"/>
                    <w:ind w:firstLine="0" w:firstLineChars="0"/>
                    <w:jc w:val="center"/>
                    <w:rPr>
                      <w:sz w:val="21"/>
                    </w:rPr>
                  </w:pPr>
                  <w:r>
                    <w:rPr>
                      <w:rFonts w:hint="eastAsia"/>
                      <w:sz w:val="21"/>
                    </w:rPr>
                    <w:t>0.9～1.5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731" w:type="dxa"/>
                  <w:shd w:val="clear" w:color="auto" w:fill="auto"/>
                  <w:vAlign w:val="center"/>
                </w:tcPr>
                <w:p>
                  <w:pPr>
                    <w:pStyle w:val="63"/>
                    <w:spacing w:line="360" w:lineRule="exact"/>
                    <w:ind w:firstLine="0" w:firstLineChars="0"/>
                    <w:jc w:val="center"/>
                    <w:rPr>
                      <w:sz w:val="21"/>
                    </w:rPr>
                  </w:pPr>
                  <w:r>
                    <w:rPr>
                      <w:rFonts w:hint="eastAsia"/>
                      <w:sz w:val="21"/>
                    </w:rPr>
                    <w:t>2</w:t>
                  </w:r>
                </w:p>
              </w:tc>
              <w:tc>
                <w:tcPr>
                  <w:tcW w:w="3268" w:type="dxa"/>
                  <w:shd w:val="clear" w:color="auto" w:fill="auto"/>
                  <w:vAlign w:val="center"/>
                </w:tcPr>
                <w:p>
                  <w:pPr>
                    <w:pStyle w:val="63"/>
                    <w:spacing w:line="360" w:lineRule="exact"/>
                    <w:ind w:firstLine="0" w:firstLineChars="0"/>
                    <w:jc w:val="center"/>
                    <w:rPr>
                      <w:sz w:val="21"/>
                    </w:rPr>
                  </w:pPr>
                  <w:r>
                    <w:rPr>
                      <w:rFonts w:hint="eastAsia"/>
                      <w:sz w:val="21"/>
                    </w:rPr>
                    <w:t>一般民用建筑</w:t>
                  </w:r>
                </w:p>
              </w:tc>
              <w:tc>
                <w:tcPr>
                  <w:tcW w:w="1336" w:type="dxa"/>
                  <w:shd w:val="clear" w:color="auto" w:fill="auto"/>
                  <w:vAlign w:val="center"/>
                </w:tcPr>
                <w:p>
                  <w:pPr>
                    <w:pStyle w:val="63"/>
                    <w:spacing w:line="360" w:lineRule="exact"/>
                    <w:ind w:firstLine="0" w:firstLineChars="0"/>
                    <w:jc w:val="center"/>
                    <w:rPr>
                      <w:sz w:val="21"/>
                    </w:rPr>
                  </w:pPr>
                  <w:r>
                    <w:rPr>
                      <w:rFonts w:hint="eastAsia"/>
                      <w:sz w:val="21"/>
                    </w:rPr>
                    <w:t>1.5～2.0</w:t>
                  </w:r>
                </w:p>
              </w:tc>
              <w:tc>
                <w:tcPr>
                  <w:tcW w:w="1920" w:type="dxa"/>
                  <w:shd w:val="clear" w:color="auto" w:fill="auto"/>
                  <w:vAlign w:val="center"/>
                </w:tcPr>
                <w:p>
                  <w:pPr>
                    <w:pStyle w:val="63"/>
                    <w:spacing w:line="360" w:lineRule="exact"/>
                    <w:ind w:firstLine="0" w:firstLineChars="0"/>
                    <w:jc w:val="center"/>
                    <w:rPr>
                      <w:sz w:val="21"/>
                    </w:rPr>
                  </w:pPr>
                  <w:r>
                    <w:rPr>
                      <w:rFonts w:hint="eastAsia"/>
                      <w:sz w:val="21"/>
                    </w:rPr>
                    <w:t>2.0～2.5</w:t>
                  </w:r>
                </w:p>
              </w:tc>
              <w:tc>
                <w:tcPr>
                  <w:tcW w:w="1094" w:type="dxa"/>
                  <w:shd w:val="clear" w:color="auto" w:fill="auto"/>
                  <w:vAlign w:val="center"/>
                </w:tcPr>
                <w:p>
                  <w:pPr>
                    <w:pStyle w:val="63"/>
                    <w:spacing w:line="360" w:lineRule="exact"/>
                    <w:ind w:firstLine="0" w:firstLineChars="0"/>
                    <w:jc w:val="center"/>
                    <w:rPr>
                      <w:sz w:val="21"/>
                    </w:rPr>
                  </w:pPr>
                  <w:r>
                    <w:rPr>
                      <w:rFonts w:hint="eastAsia"/>
                      <w:sz w:val="21"/>
                    </w:rPr>
                    <w:t>2.5～3.0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31" w:type="dxa"/>
                  <w:shd w:val="clear" w:color="auto" w:fill="auto"/>
                  <w:vAlign w:val="center"/>
                </w:tcPr>
                <w:p>
                  <w:pPr>
                    <w:pStyle w:val="63"/>
                    <w:spacing w:line="360" w:lineRule="exact"/>
                    <w:ind w:firstLine="0" w:firstLineChars="0"/>
                    <w:jc w:val="center"/>
                    <w:rPr>
                      <w:sz w:val="21"/>
                    </w:rPr>
                  </w:pPr>
                  <w:r>
                    <w:rPr>
                      <w:sz w:val="21"/>
                    </w:rPr>
                    <w:t>3</w:t>
                  </w:r>
                </w:p>
              </w:tc>
              <w:tc>
                <w:tcPr>
                  <w:tcW w:w="3268" w:type="dxa"/>
                  <w:shd w:val="clear" w:color="auto" w:fill="auto"/>
                  <w:vAlign w:val="center"/>
                </w:tcPr>
                <w:p>
                  <w:pPr>
                    <w:pStyle w:val="63"/>
                    <w:spacing w:line="360" w:lineRule="exact"/>
                    <w:ind w:firstLine="0" w:firstLineChars="0"/>
                    <w:jc w:val="center"/>
                    <w:rPr>
                      <w:sz w:val="21"/>
                    </w:rPr>
                  </w:pPr>
                  <w:r>
                    <w:rPr>
                      <w:rFonts w:hint="eastAsia"/>
                      <w:sz w:val="21"/>
                    </w:rPr>
                    <w:t>工业和商业建筑物</w:t>
                  </w:r>
                </w:p>
              </w:tc>
              <w:tc>
                <w:tcPr>
                  <w:tcW w:w="1336" w:type="dxa"/>
                  <w:shd w:val="clear" w:color="auto" w:fill="auto"/>
                  <w:vAlign w:val="center"/>
                </w:tcPr>
                <w:p>
                  <w:pPr>
                    <w:pStyle w:val="63"/>
                    <w:spacing w:line="360" w:lineRule="exact"/>
                    <w:ind w:firstLine="0" w:firstLineChars="0"/>
                    <w:jc w:val="center"/>
                    <w:rPr>
                      <w:sz w:val="21"/>
                    </w:rPr>
                  </w:pPr>
                  <w:r>
                    <w:rPr>
                      <w:rFonts w:hint="eastAsia"/>
                      <w:sz w:val="21"/>
                    </w:rPr>
                    <w:t>2.5～3.5</w:t>
                  </w:r>
                </w:p>
              </w:tc>
              <w:tc>
                <w:tcPr>
                  <w:tcW w:w="1920" w:type="dxa"/>
                  <w:shd w:val="clear" w:color="auto" w:fill="auto"/>
                  <w:vAlign w:val="center"/>
                </w:tcPr>
                <w:p>
                  <w:pPr>
                    <w:pStyle w:val="63"/>
                    <w:spacing w:line="360" w:lineRule="exact"/>
                    <w:ind w:firstLine="0" w:firstLineChars="0"/>
                    <w:jc w:val="center"/>
                    <w:rPr>
                      <w:sz w:val="21"/>
                    </w:rPr>
                  </w:pPr>
                  <w:r>
                    <w:rPr>
                      <w:rFonts w:hint="eastAsia"/>
                      <w:sz w:val="21"/>
                    </w:rPr>
                    <w:t>3.5～4.5</w:t>
                  </w:r>
                </w:p>
              </w:tc>
              <w:tc>
                <w:tcPr>
                  <w:tcW w:w="1094" w:type="dxa"/>
                  <w:shd w:val="clear" w:color="auto" w:fill="auto"/>
                  <w:vAlign w:val="center"/>
                </w:tcPr>
                <w:p>
                  <w:pPr>
                    <w:pStyle w:val="63"/>
                    <w:spacing w:line="360" w:lineRule="exact"/>
                    <w:ind w:firstLine="0" w:firstLineChars="0"/>
                    <w:jc w:val="center"/>
                    <w:rPr>
                      <w:sz w:val="21"/>
                    </w:rPr>
                  </w:pPr>
                  <w:r>
                    <w:rPr>
                      <w:rFonts w:hint="eastAsia"/>
                      <w:sz w:val="21"/>
                    </w:rPr>
                    <w:t>4.2～5.0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31" w:type="dxa"/>
                  <w:shd w:val="clear" w:color="auto" w:fill="auto"/>
                  <w:vAlign w:val="center"/>
                </w:tcPr>
                <w:p>
                  <w:pPr>
                    <w:pStyle w:val="63"/>
                    <w:spacing w:line="360" w:lineRule="exact"/>
                    <w:ind w:firstLine="0" w:firstLineChars="0"/>
                    <w:jc w:val="center"/>
                    <w:rPr>
                      <w:sz w:val="21"/>
                    </w:rPr>
                  </w:pPr>
                  <w:r>
                    <w:rPr>
                      <w:rFonts w:hint="eastAsia"/>
                      <w:sz w:val="21"/>
                    </w:rPr>
                    <w:t>4</w:t>
                  </w:r>
                </w:p>
              </w:tc>
              <w:tc>
                <w:tcPr>
                  <w:tcW w:w="3268" w:type="dxa"/>
                  <w:shd w:val="clear" w:color="auto" w:fill="auto"/>
                  <w:vAlign w:val="center"/>
                </w:tcPr>
                <w:p>
                  <w:pPr>
                    <w:pStyle w:val="63"/>
                    <w:spacing w:line="360" w:lineRule="exact"/>
                    <w:ind w:firstLine="0" w:firstLineChars="0"/>
                    <w:jc w:val="center"/>
                    <w:rPr>
                      <w:sz w:val="21"/>
                    </w:rPr>
                  </w:pPr>
                  <w:r>
                    <w:rPr>
                      <w:rFonts w:hint="eastAsia"/>
                      <w:sz w:val="21"/>
                    </w:rPr>
                    <w:t>一般古建筑与古迹</w:t>
                  </w:r>
                </w:p>
              </w:tc>
              <w:tc>
                <w:tcPr>
                  <w:tcW w:w="1336" w:type="dxa"/>
                  <w:shd w:val="clear" w:color="auto" w:fill="auto"/>
                  <w:vAlign w:val="center"/>
                </w:tcPr>
                <w:p>
                  <w:pPr>
                    <w:pStyle w:val="63"/>
                    <w:spacing w:line="360" w:lineRule="exact"/>
                    <w:ind w:firstLine="0" w:firstLineChars="0"/>
                    <w:jc w:val="center"/>
                    <w:rPr>
                      <w:sz w:val="21"/>
                    </w:rPr>
                  </w:pPr>
                  <w:r>
                    <w:rPr>
                      <w:rFonts w:hint="eastAsia"/>
                      <w:sz w:val="21"/>
                    </w:rPr>
                    <w:t>0.1～0.2</w:t>
                  </w:r>
                </w:p>
              </w:tc>
              <w:tc>
                <w:tcPr>
                  <w:tcW w:w="1920" w:type="dxa"/>
                  <w:shd w:val="clear" w:color="auto" w:fill="auto"/>
                  <w:vAlign w:val="center"/>
                </w:tcPr>
                <w:p>
                  <w:pPr>
                    <w:pStyle w:val="63"/>
                    <w:spacing w:line="360" w:lineRule="exact"/>
                    <w:ind w:firstLine="0" w:firstLineChars="0"/>
                    <w:jc w:val="center"/>
                    <w:rPr>
                      <w:sz w:val="21"/>
                    </w:rPr>
                  </w:pPr>
                  <w:r>
                    <w:rPr>
                      <w:rFonts w:hint="eastAsia"/>
                      <w:sz w:val="21"/>
                    </w:rPr>
                    <w:t>0.2～0.3</w:t>
                  </w:r>
                </w:p>
              </w:tc>
              <w:tc>
                <w:tcPr>
                  <w:tcW w:w="1094" w:type="dxa"/>
                  <w:shd w:val="clear" w:color="auto" w:fill="auto"/>
                  <w:vAlign w:val="center"/>
                </w:tcPr>
                <w:p>
                  <w:pPr>
                    <w:pStyle w:val="63"/>
                    <w:spacing w:line="360" w:lineRule="exact"/>
                    <w:ind w:firstLine="0" w:firstLineChars="0"/>
                    <w:jc w:val="center"/>
                    <w:rPr>
                      <w:sz w:val="21"/>
                    </w:rPr>
                  </w:pPr>
                  <w:r>
                    <w:rPr>
                      <w:rFonts w:hint="eastAsia"/>
                      <w:sz w:val="21"/>
                    </w:rPr>
                    <w:t>0.3～0.5</w:t>
                  </w:r>
                </w:p>
              </w:tc>
            </w:tr>
          </w:tbl>
          <w:p>
            <w:pPr>
              <w:pStyle w:val="63"/>
              <w:ind w:firstLine="480"/>
            </w:pPr>
            <w:r>
              <w:rPr>
                <w:rFonts w:hint="eastAsia"/>
              </w:rPr>
              <w:t>破振动传播距离在不同岩石条件下的影响也不同，根据水文地质报告，本矿山矿体为白云岩，岩性本身较硬，K、a取值范围为中硬岩石，本项目k取250，a取1.8，爆破振动频率为20~100Hz，主频率为36Hz，由表</w:t>
            </w:r>
            <w:r>
              <w:t>50</w:t>
            </w:r>
            <w:r>
              <w:rPr>
                <w:rFonts w:hint="eastAsia"/>
              </w:rPr>
              <w:t>，在此频率下一般民用建筑的安全允许质点振动速度为2.0~2.5cm/s，将该系数带入公式计算得一般民用建筑爆破振动安全距离为18</w:t>
            </w:r>
            <w:r>
              <w:t>8</w:t>
            </w:r>
            <w:r>
              <w:rPr>
                <w:rFonts w:hint="eastAsia"/>
              </w:rPr>
              <w:t>~2</w:t>
            </w:r>
            <w:r>
              <w:t>13</w:t>
            </w:r>
            <w:r>
              <w:rPr>
                <w:rFonts w:hint="eastAsia"/>
              </w:rPr>
              <w:t>m。</w:t>
            </w:r>
          </w:p>
          <w:p>
            <w:pPr>
              <w:pStyle w:val="63"/>
              <w:ind w:firstLine="480"/>
            </w:pPr>
            <w:r>
              <w:rPr>
                <w:rFonts w:hint="eastAsia"/>
              </w:rPr>
              <w:t>通过上述计算可知，项目采区单</w:t>
            </w:r>
            <w:r>
              <w:rPr>
                <w:rFonts w:hint="eastAsia"/>
                <w:lang w:val="en-US" w:eastAsia="zh-CN"/>
              </w:rPr>
              <w:t xml:space="preserve"> </w:t>
            </w:r>
            <w:r>
              <w:rPr>
                <w:rFonts w:hint="eastAsia"/>
              </w:rPr>
              <w:t>次炸药量最大</w:t>
            </w:r>
            <w:r>
              <w:t>3100</w:t>
            </w:r>
            <w:r>
              <w:rPr>
                <w:rFonts w:hint="eastAsia"/>
              </w:rPr>
              <w:t>kg，一般民用建筑爆破振动最大安全距离为</w:t>
            </w:r>
            <w:r>
              <w:t>213</w:t>
            </w:r>
            <w:r>
              <w:rPr>
                <w:rFonts w:hint="eastAsia"/>
              </w:rPr>
              <w:t>m，据现场调查，本项目采矿场周围1078m范围内无居民、学校等环境保护目标，可见项目开采爆破振动对其影响不大。</w:t>
            </w:r>
          </w:p>
          <w:p>
            <w:pPr>
              <w:pStyle w:val="63"/>
              <w:ind w:firstLine="480"/>
            </w:pPr>
            <w:r>
              <w:rPr>
                <w:rFonts w:hint="eastAsia"/>
              </w:rPr>
              <w:t>振动所产生的影响可能对周边邻近建筑物造成破坏。矿山开采范围内无建筑物，且项目每</w:t>
            </w:r>
            <w:r>
              <w:t>7</w:t>
            </w:r>
            <w:r>
              <w:rPr>
                <w:rFonts w:hint="eastAsia"/>
              </w:rPr>
              <w:t>天左右进行一次爆破，爆破作业次数较少，项目采用乳化炸药—数码电子雷管的起爆网路，采用微差控制爆破，严格控制每次爆破炸药量，炮孔逐孔起爆，单孔最大装药量</w:t>
            </w:r>
            <w:r>
              <w:t>120</w:t>
            </w:r>
            <w:r>
              <w:rPr>
                <w:rFonts w:hint="eastAsia"/>
              </w:rPr>
              <w:t>kg，爆破安全震动距离约64m，采用微差起爆技术，有效降低对周边振动影响。</w:t>
            </w:r>
          </w:p>
          <w:p>
            <w:pPr>
              <w:pStyle w:val="63"/>
              <w:ind w:firstLine="480"/>
            </w:pPr>
            <w:r>
              <w:rPr>
                <w:rFonts w:hint="eastAsia"/>
              </w:rPr>
              <w:t>爆破作业均在白天进行，采用多孔微差深孔爆破，持续时间很短，因此本矿山爆破作业产生的振动影响较小。</w:t>
            </w:r>
          </w:p>
          <w:p>
            <w:pPr>
              <w:pStyle w:val="63"/>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工业场地噪声预测结果</w:t>
            </w:r>
          </w:p>
          <w:p>
            <w:pPr>
              <w:pStyle w:val="28"/>
              <w:numPr>
                <w:ilvl w:val="0"/>
                <w:numId w:val="2"/>
              </w:numPr>
              <w:spacing w:line="400" w:lineRule="exact"/>
              <w:ind w:firstLineChars="0"/>
              <w:jc w:val="center"/>
              <w:rPr>
                <w:b/>
                <w:bCs/>
                <w:sz w:val="24"/>
              </w:rPr>
            </w:pPr>
            <w:r>
              <w:rPr>
                <w:rFonts w:hint="eastAsia"/>
                <w:b/>
                <w:bCs/>
                <w:sz w:val="24"/>
              </w:rPr>
              <w:t>项目运营期厂界噪声预测结果一览表    单位：Leq（dB(A)）</w:t>
            </w:r>
          </w:p>
          <w:tbl>
            <w:tblPr>
              <w:tblStyle w:val="22"/>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89"/>
              <w:gridCol w:w="1967"/>
              <w:gridCol w:w="1172"/>
              <w:gridCol w:w="1606"/>
              <w:gridCol w:w="141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50" w:hRule="atLeast"/>
                <w:jc w:val="center"/>
              </w:trPr>
              <w:tc>
                <w:tcPr>
                  <w:tcW w:w="4156" w:type="dxa"/>
                  <w:gridSpan w:val="2"/>
                  <w:shd w:val="clear" w:color="auto" w:fill="auto"/>
                  <w:vAlign w:val="center"/>
                </w:tcPr>
                <w:p>
                  <w:pPr>
                    <w:pStyle w:val="62"/>
                    <w:spacing w:line="360" w:lineRule="exact"/>
                    <w:rPr>
                      <w:rFonts w:ascii="Times New Roman" w:hAnsi="Times New Roman"/>
                      <w:kern w:val="2"/>
                      <w:szCs w:val="21"/>
                    </w:rPr>
                  </w:pPr>
                  <w:r>
                    <w:rPr>
                      <w:rFonts w:hint="eastAsia" w:ascii="Times New Roman" w:hAnsi="Times New Roman"/>
                    </w:rPr>
                    <w:t>点位序号</w:t>
                  </w:r>
                </w:p>
              </w:tc>
              <w:tc>
                <w:tcPr>
                  <w:tcW w:w="1172" w:type="dxa"/>
                  <w:tcBorders>
                    <w:left w:val="single" w:color="auto" w:sz="4" w:space="0"/>
                    <w:right w:val="single" w:color="auto" w:sz="4" w:space="0"/>
                  </w:tcBorders>
                  <w:shd w:val="clear" w:color="auto" w:fill="auto"/>
                  <w:vAlign w:val="center"/>
                </w:tcPr>
                <w:p>
                  <w:pPr>
                    <w:pStyle w:val="62"/>
                    <w:spacing w:line="360" w:lineRule="exact"/>
                    <w:rPr>
                      <w:rFonts w:ascii="Times New Roman" w:hAnsi="Times New Roman"/>
                    </w:rPr>
                  </w:pPr>
                  <w:r>
                    <w:rPr>
                      <w:rFonts w:hint="eastAsia" w:ascii="Times New Roman" w:hAnsi="Times New Roman"/>
                    </w:rPr>
                    <w:t>厂界噪声</w:t>
                  </w:r>
                </w:p>
              </w:tc>
              <w:tc>
                <w:tcPr>
                  <w:tcW w:w="1606" w:type="dxa"/>
                  <w:tcBorders>
                    <w:left w:val="single" w:color="auto" w:sz="4" w:space="0"/>
                  </w:tcBorders>
                  <w:shd w:val="clear" w:color="auto" w:fill="auto"/>
                  <w:vAlign w:val="center"/>
                </w:tcPr>
                <w:p>
                  <w:pPr>
                    <w:pStyle w:val="62"/>
                    <w:spacing w:line="360" w:lineRule="exact"/>
                    <w:rPr>
                      <w:rFonts w:ascii="Times New Roman" w:hAnsi="Times New Roman"/>
                    </w:rPr>
                  </w:pPr>
                  <w:r>
                    <w:rPr>
                      <w:rFonts w:hint="eastAsia" w:ascii="Times New Roman" w:hAnsi="Times New Roman"/>
                    </w:rPr>
                    <w:t>排放标准</w:t>
                  </w:r>
                </w:p>
              </w:tc>
              <w:tc>
                <w:tcPr>
                  <w:tcW w:w="1415" w:type="dxa"/>
                  <w:shd w:val="clear" w:color="auto" w:fill="auto"/>
                  <w:vAlign w:val="center"/>
                </w:tcPr>
                <w:p>
                  <w:pPr>
                    <w:pStyle w:val="62"/>
                    <w:spacing w:line="360" w:lineRule="exact"/>
                    <w:rPr>
                      <w:rFonts w:ascii="Times New Roman" w:hAnsi="Times New Roman"/>
                    </w:rPr>
                  </w:pPr>
                  <w:r>
                    <w:rPr>
                      <w:rFonts w:hint="eastAsia" w:ascii="Times New Roman" w:hAnsi="Times New Roman"/>
                    </w:rPr>
                    <w:t>评价结果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189" w:type="dxa"/>
                  <w:vMerge w:val="restart"/>
                  <w:shd w:val="clear" w:color="auto" w:fill="auto"/>
                  <w:vAlign w:val="center"/>
                </w:tcPr>
                <w:p>
                  <w:pPr>
                    <w:pStyle w:val="62"/>
                    <w:spacing w:line="360" w:lineRule="exact"/>
                    <w:rPr>
                      <w:rFonts w:ascii="Times New Roman" w:hAnsi="Times New Roman"/>
                    </w:rPr>
                  </w:pPr>
                  <w:r>
                    <w:rPr>
                      <w:rFonts w:hint="eastAsia" w:ascii="Times New Roman" w:hAnsi="Times New Roman"/>
                    </w:rPr>
                    <w:t>工业场地厂界噪声</w:t>
                  </w:r>
                </w:p>
              </w:tc>
              <w:tc>
                <w:tcPr>
                  <w:tcW w:w="1967" w:type="dxa"/>
                  <w:shd w:val="clear" w:color="auto" w:fill="auto"/>
                  <w:vAlign w:val="center"/>
                </w:tcPr>
                <w:p>
                  <w:pPr>
                    <w:pStyle w:val="62"/>
                    <w:spacing w:line="360" w:lineRule="exact"/>
                    <w:rPr>
                      <w:rFonts w:ascii="Times New Roman" w:hAnsi="Times New Roman"/>
                    </w:rPr>
                  </w:pPr>
                  <w:r>
                    <w:rPr>
                      <w:rFonts w:hint="eastAsia" w:ascii="Times New Roman" w:hAnsi="Times New Roman"/>
                    </w:rPr>
                    <w:t>1#厂界东</w:t>
                  </w:r>
                </w:p>
              </w:tc>
              <w:tc>
                <w:tcPr>
                  <w:tcW w:w="1172" w:type="dxa"/>
                  <w:shd w:val="clear" w:color="auto" w:fill="auto"/>
                  <w:vAlign w:val="center"/>
                </w:tcPr>
                <w:p>
                  <w:pPr>
                    <w:pStyle w:val="62"/>
                    <w:spacing w:line="360" w:lineRule="exact"/>
                    <w:rPr>
                      <w:rFonts w:ascii="Times New Roman" w:hAnsi="Times New Roman"/>
                    </w:rPr>
                  </w:pPr>
                  <w:r>
                    <w:rPr>
                      <w:rFonts w:ascii="Times New Roman" w:hAnsi="Times New Roman"/>
                    </w:rPr>
                    <w:t>50.9</w:t>
                  </w:r>
                </w:p>
              </w:tc>
              <w:tc>
                <w:tcPr>
                  <w:tcW w:w="1606" w:type="dxa"/>
                  <w:vMerge w:val="restart"/>
                  <w:shd w:val="clear" w:color="auto" w:fill="auto"/>
                  <w:vAlign w:val="center"/>
                </w:tcPr>
                <w:p>
                  <w:pPr>
                    <w:pStyle w:val="62"/>
                    <w:spacing w:line="360" w:lineRule="exact"/>
                    <w:rPr>
                      <w:rFonts w:ascii="Times New Roman" w:hAnsi="Times New Roman"/>
                    </w:rPr>
                  </w:pPr>
                  <w:r>
                    <w:rPr>
                      <w:rFonts w:hint="eastAsia" w:ascii="Times New Roman" w:hAnsi="Times New Roman"/>
                    </w:rPr>
                    <w:t>昼间60</w:t>
                  </w:r>
                </w:p>
              </w:tc>
              <w:tc>
                <w:tcPr>
                  <w:tcW w:w="1415" w:type="dxa"/>
                  <w:shd w:val="clear" w:color="auto" w:fill="auto"/>
                  <w:vAlign w:val="center"/>
                </w:tcPr>
                <w:p>
                  <w:pPr>
                    <w:pStyle w:val="62"/>
                    <w:spacing w:line="360" w:lineRule="exact"/>
                    <w:rPr>
                      <w:rFonts w:ascii="Times New Roman" w:hAnsi="Times New Roman"/>
                    </w:rPr>
                  </w:pPr>
                  <w:r>
                    <w:rPr>
                      <w:rFonts w:hint="eastAsia" w:ascii="Times New Roman" w:hAnsi="Times New Roman"/>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 w:hRule="atLeast"/>
                <w:jc w:val="center"/>
              </w:trPr>
              <w:tc>
                <w:tcPr>
                  <w:tcW w:w="2189" w:type="dxa"/>
                  <w:vMerge w:val="continue"/>
                  <w:shd w:val="clear" w:color="auto" w:fill="auto"/>
                  <w:vAlign w:val="center"/>
                </w:tcPr>
                <w:p>
                  <w:pPr>
                    <w:widowControl/>
                    <w:spacing w:line="360" w:lineRule="exact"/>
                    <w:jc w:val="center"/>
                    <w:rPr>
                      <w:szCs w:val="21"/>
                    </w:rPr>
                  </w:pPr>
                </w:p>
              </w:tc>
              <w:tc>
                <w:tcPr>
                  <w:tcW w:w="1967" w:type="dxa"/>
                  <w:shd w:val="clear" w:color="auto" w:fill="auto"/>
                  <w:vAlign w:val="center"/>
                </w:tcPr>
                <w:p>
                  <w:pPr>
                    <w:pStyle w:val="62"/>
                    <w:spacing w:line="360" w:lineRule="exact"/>
                    <w:rPr>
                      <w:rFonts w:ascii="Times New Roman" w:hAnsi="Times New Roman"/>
                    </w:rPr>
                  </w:pPr>
                  <w:r>
                    <w:rPr>
                      <w:rFonts w:hint="eastAsia" w:ascii="Times New Roman" w:hAnsi="Times New Roman"/>
                    </w:rPr>
                    <w:t>2#厂界南</w:t>
                  </w:r>
                </w:p>
              </w:tc>
              <w:tc>
                <w:tcPr>
                  <w:tcW w:w="1172" w:type="dxa"/>
                  <w:shd w:val="clear" w:color="auto" w:fill="auto"/>
                  <w:vAlign w:val="center"/>
                </w:tcPr>
                <w:p>
                  <w:pPr>
                    <w:pStyle w:val="62"/>
                    <w:spacing w:line="360" w:lineRule="exact"/>
                    <w:rPr>
                      <w:rFonts w:ascii="Times New Roman" w:hAnsi="Times New Roman"/>
                    </w:rPr>
                  </w:pPr>
                  <w:r>
                    <w:rPr>
                      <w:rFonts w:ascii="Times New Roman" w:hAnsi="Times New Roman"/>
                    </w:rPr>
                    <w:t>39.8</w:t>
                  </w:r>
                </w:p>
              </w:tc>
              <w:tc>
                <w:tcPr>
                  <w:tcW w:w="1606" w:type="dxa"/>
                  <w:vMerge w:val="continue"/>
                  <w:shd w:val="clear" w:color="auto" w:fill="auto"/>
                  <w:vAlign w:val="center"/>
                </w:tcPr>
                <w:p>
                  <w:pPr>
                    <w:widowControl/>
                    <w:spacing w:line="360" w:lineRule="exact"/>
                    <w:jc w:val="center"/>
                    <w:rPr>
                      <w:szCs w:val="21"/>
                    </w:rPr>
                  </w:pPr>
                </w:p>
              </w:tc>
              <w:tc>
                <w:tcPr>
                  <w:tcW w:w="1415" w:type="dxa"/>
                  <w:shd w:val="clear" w:color="auto" w:fill="auto"/>
                  <w:vAlign w:val="center"/>
                </w:tcPr>
                <w:p>
                  <w:pPr>
                    <w:pStyle w:val="62"/>
                    <w:spacing w:line="360" w:lineRule="exact"/>
                    <w:rPr>
                      <w:rFonts w:ascii="Times New Roman" w:hAnsi="Times New Roman"/>
                    </w:rPr>
                  </w:pPr>
                  <w:r>
                    <w:rPr>
                      <w:rFonts w:hint="eastAsia" w:ascii="Times New Roman" w:hAnsi="Times New Roman"/>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 w:hRule="atLeast"/>
                <w:jc w:val="center"/>
              </w:trPr>
              <w:tc>
                <w:tcPr>
                  <w:tcW w:w="2189" w:type="dxa"/>
                  <w:vMerge w:val="continue"/>
                  <w:shd w:val="clear" w:color="auto" w:fill="auto"/>
                  <w:vAlign w:val="center"/>
                </w:tcPr>
                <w:p>
                  <w:pPr>
                    <w:widowControl/>
                    <w:spacing w:line="360" w:lineRule="exact"/>
                    <w:jc w:val="center"/>
                    <w:rPr>
                      <w:szCs w:val="21"/>
                    </w:rPr>
                  </w:pPr>
                </w:p>
              </w:tc>
              <w:tc>
                <w:tcPr>
                  <w:tcW w:w="1967" w:type="dxa"/>
                  <w:shd w:val="clear" w:color="auto" w:fill="auto"/>
                  <w:vAlign w:val="center"/>
                </w:tcPr>
                <w:p>
                  <w:pPr>
                    <w:pStyle w:val="62"/>
                    <w:spacing w:line="360" w:lineRule="exact"/>
                    <w:rPr>
                      <w:rFonts w:ascii="Times New Roman" w:hAnsi="Times New Roman"/>
                    </w:rPr>
                  </w:pPr>
                  <w:r>
                    <w:rPr>
                      <w:rFonts w:hint="eastAsia" w:ascii="Times New Roman" w:hAnsi="Times New Roman"/>
                    </w:rPr>
                    <w:t>3#厂界西</w:t>
                  </w:r>
                </w:p>
              </w:tc>
              <w:tc>
                <w:tcPr>
                  <w:tcW w:w="1172" w:type="dxa"/>
                  <w:shd w:val="clear" w:color="auto" w:fill="auto"/>
                  <w:vAlign w:val="center"/>
                </w:tcPr>
                <w:p>
                  <w:pPr>
                    <w:pStyle w:val="62"/>
                    <w:spacing w:line="360" w:lineRule="exact"/>
                    <w:rPr>
                      <w:rFonts w:ascii="Times New Roman" w:hAnsi="Times New Roman"/>
                    </w:rPr>
                  </w:pPr>
                  <w:r>
                    <w:rPr>
                      <w:rFonts w:ascii="Times New Roman" w:hAnsi="Times New Roman"/>
                    </w:rPr>
                    <w:t>23.7</w:t>
                  </w:r>
                </w:p>
              </w:tc>
              <w:tc>
                <w:tcPr>
                  <w:tcW w:w="1606" w:type="dxa"/>
                  <w:vMerge w:val="continue"/>
                  <w:shd w:val="clear" w:color="auto" w:fill="auto"/>
                  <w:vAlign w:val="center"/>
                </w:tcPr>
                <w:p>
                  <w:pPr>
                    <w:widowControl/>
                    <w:spacing w:line="360" w:lineRule="exact"/>
                    <w:jc w:val="center"/>
                    <w:rPr>
                      <w:szCs w:val="21"/>
                    </w:rPr>
                  </w:pPr>
                </w:p>
              </w:tc>
              <w:tc>
                <w:tcPr>
                  <w:tcW w:w="1415" w:type="dxa"/>
                  <w:shd w:val="clear" w:color="auto" w:fill="auto"/>
                  <w:vAlign w:val="center"/>
                </w:tcPr>
                <w:p>
                  <w:pPr>
                    <w:pStyle w:val="62"/>
                    <w:spacing w:line="360" w:lineRule="exact"/>
                    <w:rPr>
                      <w:rFonts w:ascii="Times New Roman" w:hAnsi="Times New Roman"/>
                    </w:rPr>
                  </w:pPr>
                  <w:r>
                    <w:rPr>
                      <w:rFonts w:hint="eastAsia" w:ascii="Times New Roman" w:hAnsi="Times New Roman"/>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 w:hRule="atLeast"/>
                <w:jc w:val="center"/>
              </w:trPr>
              <w:tc>
                <w:tcPr>
                  <w:tcW w:w="2189" w:type="dxa"/>
                  <w:vMerge w:val="continue"/>
                  <w:shd w:val="clear" w:color="auto" w:fill="auto"/>
                  <w:vAlign w:val="center"/>
                </w:tcPr>
                <w:p>
                  <w:pPr>
                    <w:widowControl/>
                    <w:spacing w:line="360" w:lineRule="exact"/>
                    <w:jc w:val="center"/>
                    <w:rPr>
                      <w:szCs w:val="21"/>
                    </w:rPr>
                  </w:pPr>
                </w:p>
              </w:tc>
              <w:tc>
                <w:tcPr>
                  <w:tcW w:w="1967" w:type="dxa"/>
                  <w:shd w:val="clear" w:color="auto" w:fill="auto"/>
                  <w:vAlign w:val="center"/>
                </w:tcPr>
                <w:p>
                  <w:pPr>
                    <w:pStyle w:val="62"/>
                    <w:spacing w:line="360" w:lineRule="exact"/>
                    <w:rPr>
                      <w:rFonts w:ascii="Times New Roman" w:hAnsi="Times New Roman"/>
                    </w:rPr>
                  </w:pPr>
                  <w:r>
                    <w:rPr>
                      <w:rFonts w:hint="eastAsia" w:ascii="Times New Roman" w:hAnsi="Times New Roman"/>
                    </w:rPr>
                    <w:t>4#厂界北</w:t>
                  </w:r>
                </w:p>
              </w:tc>
              <w:tc>
                <w:tcPr>
                  <w:tcW w:w="1172" w:type="dxa"/>
                  <w:shd w:val="clear" w:color="auto" w:fill="auto"/>
                  <w:vAlign w:val="center"/>
                </w:tcPr>
                <w:p>
                  <w:pPr>
                    <w:pStyle w:val="62"/>
                    <w:spacing w:line="360" w:lineRule="exact"/>
                    <w:rPr>
                      <w:rFonts w:ascii="Times New Roman" w:hAnsi="Times New Roman"/>
                    </w:rPr>
                  </w:pPr>
                  <w:r>
                    <w:rPr>
                      <w:rFonts w:ascii="Times New Roman" w:hAnsi="Times New Roman"/>
                    </w:rPr>
                    <w:t>19.1</w:t>
                  </w:r>
                </w:p>
              </w:tc>
              <w:tc>
                <w:tcPr>
                  <w:tcW w:w="1606" w:type="dxa"/>
                  <w:vMerge w:val="continue"/>
                  <w:shd w:val="clear" w:color="auto" w:fill="auto"/>
                  <w:vAlign w:val="center"/>
                </w:tcPr>
                <w:p>
                  <w:pPr>
                    <w:widowControl/>
                    <w:spacing w:line="360" w:lineRule="exact"/>
                    <w:jc w:val="center"/>
                    <w:rPr>
                      <w:szCs w:val="21"/>
                    </w:rPr>
                  </w:pPr>
                </w:p>
              </w:tc>
              <w:tc>
                <w:tcPr>
                  <w:tcW w:w="1415" w:type="dxa"/>
                  <w:shd w:val="clear" w:color="auto" w:fill="auto"/>
                  <w:vAlign w:val="center"/>
                </w:tcPr>
                <w:p>
                  <w:pPr>
                    <w:pStyle w:val="62"/>
                    <w:spacing w:line="360" w:lineRule="exact"/>
                    <w:rPr>
                      <w:rFonts w:ascii="Times New Roman" w:hAnsi="Times New Roman"/>
                    </w:rPr>
                  </w:pPr>
                  <w:r>
                    <w:rPr>
                      <w:rFonts w:hint="eastAsia" w:ascii="Times New Roman" w:hAnsi="Times New Roman"/>
                    </w:rPr>
                    <w:t>达标</w:t>
                  </w:r>
                </w:p>
              </w:tc>
            </w:tr>
          </w:tbl>
          <w:p>
            <w:pPr>
              <w:pStyle w:val="63"/>
              <w:ind w:firstLine="480"/>
            </w:pPr>
            <w:r>
              <w:rPr>
                <w:rFonts w:hint="eastAsia"/>
              </w:rPr>
              <w:t>由上表的预测结果可知：工程建成投产后工业场地厂界噪声在</w:t>
            </w:r>
            <w:r>
              <w:t>19.1</w:t>
            </w:r>
            <w:r>
              <w:rPr>
                <w:rFonts w:hint="eastAsia"/>
              </w:rPr>
              <w:t>~</w:t>
            </w:r>
            <w:r>
              <w:t>50.9</w:t>
            </w:r>
            <w:r>
              <w:rPr>
                <w:rFonts w:hint="eastAsia"/>
              </w:rPr>
              <w:t>dB之间，厂界噪声均未超过GB12348-2008《工业企业厂界环境噪声排放标准》昼间2类标准的要求，本项目噪声可排放达标。</w:t>
            </w:r>
          </w:p>
          <w:p>
            <w:pPr>
              <w:pStyle w:val="63"/>
              <w:ind w:firstLine="480"/>
            </w:pPr>
            <w:r>
              <w:rPr>
                <w:rFonts w:hint="eastAsia"/>
              </w:rPr>
              <w:t>本项目噪声监测计划表见下表。</w:t>
            </w:r>
          </w:p>
          <w:p>
            <w:pPr>
              <w:pStyle w:val="50"/>
              <w:numPr>
                <w:ilvl w:val="0"/>
                <w:numId w:val="2"/>
              </w:numPr>
              <w:snapToGrid w:val="0"/>
              <w:spacing w:line="240" w:lineRule="auto"/>
              <w:ind w:left="420" w:firstLineChars="0"/>
              <w:jc w:val="center"/>
              <w:rPr>
                <w:b/>
                <w:bCs/>
              </w:rPr>
            </w:pPr>
            <w:r>
              <w:rPr>
                <w:rFonts w:hint="eastAsia"/>
                <w:b/>
                <w:bCs/>
              </w:rPr>
              <w:t>本项目噪声监测计划表</w:t>
            </w:r>
          </w:p>
          <w:tbl>
            <w:tblPr>
              <w:tblStyle w:val="22"/>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83"/>
              <w:gridCol w:w="2784"/>
              <w:gridCol w:w="27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783" w:type="dxa"/>
                  <w:shd w:val="clear" w:color="auto" w:fill="auto"/>
                  <w:vAlign w:val="center"/>
                </w:tcPr>
                <w:p>
                  <w:pPr>
                    <w:spacing w:line="360" w:lineRule="exact"/>
                    <w:jc w:val="center"/>
                    <w:rPr>
                      <w:bCs/>
                      <w:szCs w:val="21"/>
                    </w:rPr>
                  </w:pPr>
                  <w:r>
                    <w:rPr>
                      <w:bCs/>
                      <w:szCs w:val="21"/>
                    </w:rPr>
                    <w:t>监测点位</w:t>
                  </w:r>
                </w:p>
              </w:tc>
              <w:tc>
                <w:tcPr>
                  <w:tcW w:w="2784" w:type="dxa"/>
                  <w:shd w:val="clear" w:color="auto" w:fill="auto"/>
                  <w:vAlign w:val="center"/>
                </w:tcPr>
                <w:p>
                  <w:pPr>
                    <w:spacing w:line="360" w:lineRule="exact"/>
                    <w:jc w:val="center"/>
                    <w:rPr>
                      <w:bCs/>
                      <w:szCs w:val="21"/>
                    </w:rPr>
                  </w:pPr>
                  <w:r>
                    <w:rPr>
                      <w:bCs/>
                      <w:szCs w:val="21"/>
                    </w:rPr>
                    <w:t>监测项目</w:t>
                  </w:r>
                </w:p>
              </w:tc>
              <w:tc>
                <w:tcPr>
                  <w:tcW w:w="2782" w:type="dxa"/>
                  <w:shd w:val="clear" w:color="auto" w:fill="auto"/>
                  <w:vAlign w:val="center"/>
                </w:tcPr>
                <w:p>
                  <w:pPr>
                    <w:spacing w:line="360" w:lineRule="exact"/>
                    <w:jc w:val="center"/>
                    <w:rPr>
                      <w:bCs/>
                      <w:szCs w:val="21"/>
                    </w:rPr>
                  </w:pPr>
                  <w:r>
                    <w:rPr>
                      <w:bCs/>
                      <w:szCs w:val="21"/>
                    </w:rPr>
                    <w:t>监测频次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783" w:type="dxa"/>
                  <w:shd w:val="clear" w:color="auto" w:fill="auto"/>
                  <w:vAlign w:val="center"/>
                </w:tcPr>
                <w:p>
                  <w:pPr>
                    <w:spacing w:line="360" w:lineRule="exact"/>
                    <w:jc w:val="center"/>
                    <w:rPr>
                      <w:szCs w:val="21"/>
                    </w:rPr>
                  </w:pPr>
                  <w:r>
                    <w:rPr>
                      <w:szCs w:val="21"/>
                    </w:rPr>
                    <w:t>东厂界</w:t>
                  </w:r>
                </w:p>
              </w:tc>
              <w:tc>
                <w:tcPr>
                  <w:tcW w:w="2784" w:type="dxa"/>
                  <w:vMerge w:val="restart"/>
                  <w:shd w:val="clear" w:color="auto" w:fill="auto"/>
                  <w:vAlign w:val="center"/>
                </w:tcPr>
                <w:p>
                  <w:pPr>
                    <w:spacing w:line="360" w:lineRule="exact"/>
                    <w:jc w:val="center"/>
                    <w:rPr>
                      <w:szCs w:val="21"/>
                    </w:rPr>
                  </w:pPr>
                  <w:r>
                    <w:rPr>
                      <w:szCs w:val="21"/>
                    </w:rPr>
                    <w:t>昼间等效连续A声级</w:t>
                  </w:r>
                </w:p>
              </w:tc>
              <w:tc>
                <w:tcPr>
                  <w:tcW w:w="2782" w:type="dxa"/>
                  <w:vMerge w:val="restart"/>
                  <w:shd w:val="clear" w:color="auto" w:fill="auto"/>
                  <w:vAlign w:val="center"/>
                </w:tcPr>
                <w:p>
                  <w:pPr>
                    <w:spacing w:line="360" w:lineRule="exact"/>
                    <w:jc w:val="center"/>
                    <w:rPr>
                      <w:szCs w:val="21"/>
                    </w:rPr>
                  </w:pPr>
                  <w:r>
                    <w:rPr>
                      <w:rFonts w:hint="eastAsia"/>
                      <w:szCs w:val="21"/>
                    </w:rPr>
                    <w:t>连续两天，</w:t>
                  </w:r>
                  <w:r>
                    <w:rPr>
                      <w:szCs w:val="21"/>
                    </w:rPr>
                    <w:t>1次/季度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783" w:type="dxa"/>
                  <w:shd w:val="clear" w:color="auto" w:fill="auto"/>
                  <w:vAlign w:val="center"/>
                </w:tcPr>
                <w:p>
                  <w:pPr>
                    <w:spacing w:line="360" w:lineRule="exact"/>
                    <w:jc w:val="center"/>
                    <w:rPr>
                      <w:szCs w:val="21"/>
                    </w:rPr>
                  </w:pPr>
                  <w:r>
                    <w:rPr>
                      <w:szCs w:val="21"/>
                    </w:rPr>
                    <w:t>南厂界</w:t>
                  </w:r>
                </w:p>
              </w:tc>
              <w:tc>
                <w:tcPr>
                  <w:tcW w:w="2784" w:type="dxa"/>
                  <w:vMerge w:val="continue"/>
                  <w:shd w:val="clear" w:color="auto" w:fill="auto"/>
                  <w:vAlign w:val="center"/>
                </w:tcPr>
                <w:p>
                  <w:pPr>
                    <w:widowControl/>
                    <w:spacing w:line="360" w:lineRule="exact"/>
                    <w:jc w:val="center"/>
                    <w:rPr>
                      <w:szCs w:val="21"/>
                    </w:rPr>
                  </w:pPr>
                </w:p>
              </w:tc>
              <w:tc>
                <w:tcPr>
                  <w:tcW w:w="2782" w:type="dxa"/>
                  <w:vMerge w:val="continue"/>
                  <w:shd w:val="clear" w:color="auto" w:fill="auto"/>
                  <w:vAlign w:val="center"/>
                </w:tcPr>
                <w:p>
                  <w:pPr>
                    <w:widowControl/>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783" w:type="dxa"/>
                  <w:shd w:val="clear" w:color="auto" w:fill="auto"/>
                  <w:vAlign w:val="center"/>
                </w:tcPr>
                <w:p>
                  <w:pPr>
                    <w:spacing w:line="360" w:lineRule="exact"/>
                    <w:jc w:val="center"/>
                    <w:rPr>
                      <w:szCs w:val="21"/>
                    </w:rPr>
                  </w:pPr>
                  <w:r>
                    <w:rPr>
                      <w:szCs w:val="21"/>
                    </w:rPr>
                    <w:t>西厂界</w:t>
                  </w:r>
                </w:p>
              </w:tc>
              <w:tc>
                <w:tcPr>
                  <w:tcW w:w="2784" w:type="dxa"/>
                  <w:vMerge w:val="continue"/>
                  <w:shd w:val="clear" w:color="auto" w:fill="auto"/>
                  <w:vAlign w:val="center"/>
                </w:tcPr>
                <w:p>
                  <w:pPr>
                    <w:widowControl/>
                    <w:spacing w:line="360" w:lineRule="exact"/>
                    <w:jc w:val="center"/>
                    <w:rPr>
                      <w:szCs w:val="21"/>
                    </w:rPr>
                  </w:pPr>
                </w:p>
              </w:tc>
              <w:tc>
                <w:tcPr>
                  <w:tcW w:w="2782" w:type="dxa"/>
                  <w:vMerge w:val="continue"/>
                  <w:shd w:val="clear" w:color="auto" w:fill="auto"/>
                  <w:vAlign w:val="center"/>
                </w:tcPr>
                <w:p>
                  <w:pPr>
                    <w:widowControl/>
                    <w:spacing w:line="360" w:lineRule="exact"/>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783" w:type="dxa"/>
                  <w:shd w:val="clear" w:color="auto" w:fill="auto"/>
                  <w:vAlign w:val="center"/>
                </w:tcPr>
                <w:p>
                  <w:pPr>
                    <w:spacing w:line="360" w:lineRule="exact"/>
                    <w:jc w:val="center"/>
                    <w:rPr>
                      <w:szCs w:val="21"/>
                    </w:rPr>
                  </w:pPr>
                  <w:r>
                    <w:rPr>
                      <w:szCs w:val="21"/>
                    </w:rPr>
                    <w:t>北厂界</w:t>
                  </w:r>
                </w:p>
              </w:tc>
              <w:tc>
                <w:tcPr>
                  <w:tcW w:w="2784" w:type="dxa"/>
                  <w:vMerge w:val="continue"/>
                  <w:shd w:val="clear" w:color="auto" w:fill="auto"/>
                  <w:vAlign w:val="center"/>
                </w:tcPr>
                <w:p>
                  <w:pPr>
                    <w:widowControl/>
                    <w:spacing w:line="360" w:lineRule="exact"/>
                    <w:jc w:val="center"/>
                    <w:rPr>
                      <w:szCs w:val="21"/>
                    </w:rPr>
                  </w:pPr>
                </w:p>
              </w:tc>
              <w:tc>
                <w:tcPr>
                  <w:tcW w:w="2782" w:type="dxa"/>
                  <w:vMerge w:val="continue"/>
                  <w:shd w:val="clear" w:color="auto" w:fill="auto"/>
                  <w:vAlign w:val="center"/>
                </w:tcPr>
                <w:p>
                  <w:pPr>
                    <w:widowControl/>
                    <w:spacing w:line="360" w:lineRule="exact"/>
                    <w:jc w:val="center"/>
                    <w:rPr>
                      <w:szCs w:val="21"/>
                    </w:rPr>
                  </w:pPr>
                </w:p>
              </w:tc>
            </w:tr>
          </w:tbl>
          <w:p>
            <w:pPr>
              <w:pStyle w:val="63"/>
              <w:ind w:firstLine="480"/>
            </w:pPr>
            <w:r>
              <w:rPr>
                <w:rFonts w:hint="eastAsia"/>
              </w:rPr>
              <w:t>（4）固体废物</w:t>
            </w:r>
          </w:p>
          <w:p>
            <w:pPr>
              <w:pStyle w:val="63"/>
              <w:ind w:firstLine="480"/>
            </w:pPr>
            <w:r>
              <w:rPr>
                <w:rFonts w:hint="eastAsia"/>
              </w:rPr>
              <w:t>项目剥离过程产生的剥离岩石量为1510.68万m</w:t>
            </w:r>
            <w:r>
              <w:rPr>
                <w:rFonts w:hint="eastAsia"/>
                <w:vertAlign w:val="superscript"/>
              </w:rPr>
              <w:t>3</w:t>
            </w:r>
            <w:r>
              <w:rPr>
                <w:rFonts w:hint="eastAsia"/>
              </w:rPr>
              <w:t>，属于中等坚硬岩，1060</w:t>
            </w:r>
            <w:r>
              <w:t>.0707</w:t>
            </w:r>
            <w:r>
              <w:rPr>
                <w:rFonts w:hint="eastAsia"/>
              </w:rPr>
              <w:t>万m</w:t>
            </w:r>
            <w:r>
              <w:rPr>
                <w:rFonts w:hint="eastAsia"/>
                <w:vertAlign w:val="superscript"/>
              </w:rPr>
              <w:t>3</w:t>
            </w:r>
            <w:r>
              <w:rPr>
                <w:rFonts w:hint="eastAsia"/>
              </w:rPr>
              <w:t>在工业场地破碎后作为建筑材料外售，91.91万m</w:t>
            </w:r>
            <w:r>
              <w:rPr>
                <w:rFonts w:hint="eastAsia"/>
                <w:vertAlign w:val="superscript"/>
              </w:rPr>
              <w:t>3</w:t>
            </w:r>
            <w:r>
              <w:rPr>
                <w:rFonts w:hint="eastAsia"/>
              </w:rPr>
              <w:t>在工业场地破碎后作为冶镁白云矿外售，</w:t>
            </w:r>
            <w:r>
              <w:t>355.6993</w:t>
            </w:r>
            <w:r>
              <w:rPr>
                <w:rFonts w:hint="eastAsia"/>
              </w:rPr>
              <w:t>万m</w:t>
            </w:r>
            <w:r>
              <w:rPr>
                <w:rFonts w:hint="eastAsia"/>
                <w:vertAlign w:val="superscript"/>
              </w:rPr>
              <w:t>3</w:t>
            </w:r>
            <w:r>
              <w:rPr>
                <w:rFonts w:hint="eastAsia"/>
              </w:rPr>
              <w:t>用于采空区及工业场地冲沟回填使用，剥离表土9.47万m</w:t>
            </w:r>
            <w:r>
              <w:rPr>
                <w:rFonts w:hint="eastAsia"/>
                <w:vertAlign w:val="superscript"/>
              </w:rPr>
              <w:t>3</w:t>
            </w:r>
            <w:r>
              <w:rPr>
                <w:rFonts w:hint="eastAsia"/>
              </w:rPr>
              <w:t>，运往排土场，一部分及时进行绿化，另一部分用于后期复垦使用，矿石筛分、破碎过程除尘器收集尘产生量为</w:t>
            </w:r>
            <w:r>
              <w:t>12625</w:t>
            </w:r>
            <w:r>
              <w:rPr>
                <w:rFonts w:hint="eastAsia"/>
              </w:rPr>
              <w:t>t/a，外售用作白云粉生产原料。项目年产生活垃圾约19.8t，集中收集后送政府指定场所统一处理。含油废抹布0</w:t>
            </w:r>
            <w:r>
              <w:t>.01t/a</w:t>
            </w:r>
            <w:r>
              <w:rPr>
                <w:rFonts w:hint="eastAsia"/>
              </w:rPr>
              <w:t>，自卸卡车、挖掘机、装载机、潜孔钻机维修时产生废润滑油，废润滑油产生量1t/a，废油桶产生量约5个，0.025t/a（2</w:t>
            </w:r>
            <w:r>
              <w:t>00L</w:t>
            </w:r>
            <w:r>
              <w:rPr>
                <w:rFonts w:hint="eastAsia"/>
              </w:rPr>
              <w:t>容积塑料桶），根据《国家危险废物名录（2021年版）》，废润滑油废油桶均属于危险废物，其中废润滑油废物代码为HW08废矿物油与含矿物油废物：900-214-08、废油桶废物代码为900-041-49，废润滑油、废油桶委托有资质单位处置。废弃的含油抹布、劳保用品废物代码为</w:t>
            </w:r>
            <w:r>
              <w:t>900-041-49</w:t>
            </w:r>
            <w:r>
              <w:rPr>
                <w:rFonts w:hint="eastAsia"/>
              </w:rPr>
              <w:t>，未分类收集的，豁免环节：全部环节，豁免内容：全过程不按危险废物管理。</w:t>
            </w:r>
          </w:p>
          <w:p>
            <w:pPr>
              <w:pStyle w:val="63"/>
              <w:ind w:firstLine="480"/>
            </w:pPr>
            <w:r>
              <w:rPr>
                <w:rFonts w:hint="eastAsia"/>
              </w:rPr>
              <w:t>因此，本项目固体废物均得到妥善处置。项目固体废物产生情况见表下表。</w:t>
            </w:r>
          </w:p>
          <w:p>
            <w:pPr>
              <w:pStyle w:val="28"/>
              <w:numPr>
                <w:ilvl w:val="0"/>
                <w:numId w:val="2"/>
              </w:numPr>
              <w:spacing w:line="480" w:lineRule="exact"/>
              <w:ind w:firstLineChars="0"/>
              <w:jc w:val="center"/>
              <w:rPr>
                <w:b/>
                <w:bCs/>
                <w:sz w:val="24"/>
              </w:rPr>
            </w:pPr>
            <w:r>
              <w:rPr>
                <w:rFonts w:hint="eastAsia"/>
                <w:b/>
                <w:bCs/>
                <w:sz w:val="24"/>
              </w:rPr>
              <w:t>项目固体废物产生情况一览表</w:t>
            </w:r>
          </w:p>
          <w:tbl>
            <w:tblPr>
              <w:tblStyle w:val="22"/>
              <w:tblW w:w="8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510"/>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 w:type="dxa"/>
                  <w:vAlign w:val="center"/>
                </w:tcPr>
                <w:p>
                  <w:pPr>
                    <w:jc w:val="center"/>
                    <w:rPr>
                      <w:b/>
                      <w:kern w:val="1"/>
                      <w:szCs w:val="21"/>
                    </w:rPr>
                  </w:pPr>
                  <w:r>
                    <w:rPr>
                      <w:rFonts w:hint="eastAsia"/>
                      <w:b/>
                      <w:kern w:val="1"/>
                      <w:szCs w:val="21"/>
                    </w:rPr>
                    <w:t>固废名称</w:t>
                  </w:r>
                </w:p>
              </w:tc>
              <w:tc>
                <w:tcPr>
                  <w:tcW w:w="1510" w:type="dxa"/>
                  <w:vAlign w:val="center"/>
                </w:tcPr>
                <w:p>
                  <w:pPr>
                    <w:jc w:val="center"/>
                    <w:rPr>
                      <w:b/>
                      <w:kern w:val="1"/>
                      <w:szCs w:val="21"/>
                    </w:rPr>
                  </w:pPr>
                  <w:r>
                    <w:rPr>
                      <w:rFonts w:hint="eastAsia"/>
                      <w:b/>
                      <w:kern w:val="1"/>
                      <w:szCs w:val="21"/>
                    </w:rPr>
                    <w:t>数量</w:t>
                  </w:r>
                </w:p>
              </w:tc>
              <w:tc>
                <w:tcPr>
                  <w:tcW w:w="5381" w:type="dxa"/>
                  <w:vAlign w:val="center"/>
                </w:tcPr>
                <w:p>
                  <w:pPr>
                    <w:jc w:val="center"/>
                    <w:rPr>
                      <w:b/>
                      <w:kern w:val="1"/>
                      <w:szCs w:val="21"/>
                    </w:rPr>
                  </w:pPr>
                  <w:r>
                    <w:rPr>
                      <w:rFonts w:hint="eastAsia"/>
                      <w:b/>
                      <w:kern w:val="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78" w:type="dxa"/>
                  <w:vMerge w:val="restart"/>
                  <w:vAlign w:val="center"/>
                </w:tcPr>
                <w:p>
                  <w:pPr>
                    <w:jc w:val="center"/>
                    <w:rPr>
                      <w:kern w:val="1"/>
                      <w:szCs w:val="21"/>
                    </w:rPr>
                  </w:pPr>
                  <w:r>
                    <w:rPr>
                      <w:rFonts w:hint="eastAsia"/>
                      <w:kern w:val="1"/>
                      <w:szCs w:val="21"/>
                    </w:rPr>
                    <w:t>剥离岩石</w:t>
                  </w:r>
                </w:p>
              </w:tc>
              <w:tc>
                <w:tcPr>
                  <w:tcW w:w="1510" w:type="dxa"/>
                  <w:vMerge w:val="restart"/>
                  <w:vAlign w:val="center"/>
                </w:tcPr>
                <w:p>
                  <w:pPr>
                    <w:jc w:val="center"/>
                    <w:rPr>
                      <w:kern w:val="1"/>
                      <w:szCs w:val="21"/>
                    </w:rPr>
                  </w:pPr>
                  <w:r>
                    <w:rPr>
                      <w:rFonts w:hint="eastAsia"/>
                      <w:kern w:val="1"/>
                      <w:szCs w:val="21"/>
                    </w:rPr>
                    <w:t>15</w:t>
                  </w:r>
                  <w:r>
                    <w:rPr>
                      <w:kern w:val="1"/>
                      <w:szCs w:val="21"/>
                    </w:rPr>
                    <w:t>07</w:t>
                  </w:r>
                  <w:r>
                    <w:rPr>
                      <w:rFonts w:hint="eastAsia"/>
                      <w:kern w:val="1"/>
                      <w:szCs w:val="21"/>
                    </w:rPr>
                    <w:t>.68万</w:t>
                  </w:r>
                  <w:r>
                    <w:rPr>
                      <w:rFonts w:hint="eastAsia"/>
                    </w:rPr>
                    <w:t>m</w:t>
                  </w:r>
                  <w:r>
                    <w:rPr>
                      <w:rFonts w:hint="eastAsia"/>
                      <w:vertAlign w:val="superscript"/>
                    </w:rPr>
                    <w:t>3</w:t>
                  </w:r>
                </w:p>
              </w:tc>
              <w:tc>
                <w:tcPr>
                  <w:tcW w:w="5381" w:type="dxa"/>
                  <w:vAlign w:val="center"/>
                </w:tcPr>
                <w:p>
                  <w:pPr>
                    <w:jc w:val="center"/>
                    <w:rPr>
                      <w:kern w:val="1"/>
                      <w:szCs w:val="21"/>
                    </w:rPr>
                  </w:pPr>
                  <w:r>
                    <w:rPr>
                      <w:kern w:val="1"/>
                      <w:szCs w:val="21"/>
                    </w:rPr>
                    <w:t>1060.0707</w:t>
                  </w:r>
                  <w:r>
                    <w:rPr>
                      <w:rFonts w:hint="eastAsia"/>
                      <w:kern w:val="1"/>
                      <w:szCs w:val="21"/>
                    </w:rPr>
                    <w:t>万</w:t>
                  </w:r>
                  <w:r>
                    <w:rPr>
                      <w:rFonts w:hint="eastAsia"/>
                    </w:rPr>
                    <w:t>m</w:t>
                  </w:r>
                  <w:r>
                    <w:rPr>
                      <w:rFonts w:hint="eastAsia"/>
                      <w:vertAlign w:val="superscript"/>
                    </w:rPr>
                    <w:t>3</w:t>
                  </w:r>
                  <w:r>
                    <w:rPr>
                      <w:rFonts w:hint="eastAsia"/>
                      <w:kern w:val="1"/>
                      <w:szCs w:val="21"/>
                    </w:rPr>
                    <w:t>在工业场地破碎后作为建筑材料外售。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78" w:type="dxa"/>
                  <w:vMerge w:val="continue"/>
                  <w:vAlign w:val="center"/>
                </w:tcPr>
                <w:p>
                  <w:pPr>
                    <w:jc w:val="center"/>
                    <w:rPr>
                      <w:kern w:val="1"/>
                      <w:szCs w:val="21"/>
                    </w:rPr>
                  </w:pPr>
                </w:p>
              </w:tc>
              <w:tc>
                <w:tcPr>
                  <w:tcW w:w="1510" w:type="dxa"/>
                  <w:vMerge w:val="continue"/>
                  <w:vAlign w:val="center"/>
                </w:tcPr>
                <w:p>
                  <w:pPr>
                    <w:jc w:val="center"/>
                    <w:rPr>
                      <w:kern w:val="1"/>
                      <w:szCs w:val="21"/>
                    </w:rPr>
                  </w:pPr>
                </w:p>
              </w:tc>
              <w:tc>
                <w:tcPr>
                  <w:tcW w:w="5381" w:type="dxa"/>
                  <w:vAlign w:val="center"/>
                </w:tcPr>
                <w:p>
                  <w:pPr>
                    <w:jc w:val="center"/>
                    <w:rPr>
                      <w:kern w:val="1"/>
                      <w:szCs w:val="21"/>
                    </w:rPr>
                  </w:pPr>
                  <w:r>
                    <w:rPr>
                      <w:rFonts w:hint="eastAsia"/>
                      <w:kern w:val="1"/>
                      <w:szCs w:val="21"/>
                    </w:rPr>
                    <w:t>91.91万</w:t>
                  </w:r>
                  <w:r>
                    <w:rPr>
                      <w:rFonts w:hint="eastAsia"/>
                    </w:rPr>
                    <w:t>m</w:t>
                  </w:r>
                  <w:r>
                    <w:rPr>
                      <w:rFonts w:hint="eastAsia"/>
                      <w:vertAlign w:val="superscript"/>
                    </w:rPr>
                    <w:t>3</w:t>
                  </w:r>
                  <w:r>
                    <w:rPr>
                      <w:rFonts w:hint="eastAsia"/>
                      <w:kern w:val="1"/>
                      <w:szCs w:val="21"/>
                    </w:rPr>
                    <w:t>在工业场地破碎后作为冶镁白云矿外售。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78" w:type="dxa"/>
                  <w:vMerge w:val="continue"/>
                  <w:vAlign w:val="center"/>
                </w:tcPr>
                <w:p>
                  <w:pPr>
                    <w:jc w:val="center"/>
                    <w:rPr>
                      <w:kern w:val="1"/>
                      <w:szCs w:val="21"/>
                    </w:rPr>
                  </w:pPr>
                </w:p>
              </w:tc>
              <w:tc>
                <w:tcPr>
                  <w:tcW w:w="1510" w:type="dxa"/>
                  <w:vMerge w:val="continue"/>
                  <w:vAlign w:val="center"/>
                </w:tcPr>
                <w:p>
                  <w:pPr>
                    <w:jc w:val="center"/>
                    <w:rPr>
                      <w:kern w:val="1"/>
                      <w:szCs w:val="21"/>
                    </w:rPr>
                  </w:pPr>
                </w:p>
              </w:tc>
              <w:tc>
                <w:tcPr>
                  <w:tcW w:w="5381" w:type="dxa"/>
                  <w:vAlign w:val="center"/>
                </w:tcPr>
                <w:p>
                  <w:pPr>
                    <w:jc w:val="center"/>
                    <w:rPr>
                      <w:kern w:val="1"/>
                      <w:szCs w:val="21"/>
                    </w:rPr>
                  </w:pPr>
                  <w:r>
                    <w:rPr>
                      <w:kern w:val="1"/>
                      <w:szCs w:val="21"/>
                    </w:rPr>
                    <w:t>355.6993</w:t>
                  </w:r>
                  <w:r>
                    <w:rPr>
                      <w:rFonts w:hint="eastAsia"/>
                      <w:kern w:val="1"/>
                      <w:szCs w:val="21"/>
                    </w:rPr>
                    <w:t>万</w:t>
                  </w:r>
                  <w:r>
                    <w:rPr>
                      <w:rFonts w:hint="eastAsia"/>
                    </w:rPr>
                    <w:t>m</w:t>
                  </w:r>
                  <w:r>
                    <w:rPr>
                      <w:rFonts w:hint="eastAsia"/>
                      <w:vertAlign w:val="superscript"/>
                    </w:rPr>
                    <w:t>3</w:t>
                  </w:r>
                  <w:r>
                    <w:rPr>
                      <w:rFonts w:hint="eastAsia"/>
                      <w:kern w:val="1"/>
                      <w:szCs w:val="21"/>
                    </w:rPr>
                    <w:t>用于采空区及工业场地冲沟回填使用。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78" w:type="dxa"/>
                  <w:vAlign w:val="center"/>
                </w:tcPr>
                <w:p>
                  <w:pPr>
                    <w:jc w:val="center"/>
                    <w:rPr>
                      <w:kern w:val="1"/>
                      <w:szCs w:val="21"/>
                    </w:rPr>
                  </w:pPr>
                  <w:r>
                    <w:rPr>
                      <w:rFonts w:hint="eastAsia"/>
                      <w:kern w:val="1"/>
                      <w:szCs w:val="21"/>
                    </w:rPr>
                    <w:t>剥离表土</w:t>
                  </w:r>
                </w:p>
              </w:tc>
              <w:tc>
                <w:tcPr>
                  <w:tcW w:w="1510" w:type="dxa"/>
                  <w:vAlign w:val="center"/>
                </w:tcPr>
                <w:p>
                  <w:pPr>
                    <w:jc w:val="center"/>
                    <w:rPr>
                      <w:kern w:val="1"/>
                      <w:szCs w:val="21"/>
                    </w:rPr>
                  </w:pPr>
                  <w:r>
                    <w:rPr>
                      <w:rFonts w:hint="eastAsia"/>
                      <w:kern w:val="1"/>
                      <w:szCs w:val="21"/>
                    </w:rPr>
                    <w:t>9.47万</w:t>
                  </w:r>
                  <w:r>
                    <w:rPr>
                      <w:rFonts w:hint="eastAsia"/>
                    </w:rPr>
                    <w:t>m</w:t>
                  </w:r>
                  <w:r>
                    <w:rPr>
                      <w:rFonts w:hint="eastAsia"/>
                      <w:vertAlign w:val="superscript"/>
                    </w:rPr>
                    <w:t>3</w:t>
                  </w:r>
                </w:p>
              </w:tc>
              <w:tc>
                <w:tcPr>
                  <w:tcW w:w="5381" w:type="dxa"/>
                  <w:vAlign w:val="center"/>
                </w:tcPr>
                <w:p>
                  <w:pPr>
                    <w:jc w:val="center"/>
                    <w:rPr>
                      <w:szCs w:val="21"/>
                    </w:rPr>
                  </w:pPr>
                  <w:r>
                    <w:rPr>
                      <w:rFonts w:hint="eastAsia"/>
                      <w:szCs w:val="21"/>
                    </w:rPr>
                    <w:t>剥离表土运往排土场，一部分及时进行绿化，另一部分用于后期复垦使用。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 w:type="dxa"/>
                  <w:vAlign w:val="center"/>
                </w:tcPr>
                <w:p>
                  <w:pPr>
                    <w:jc w:val="center"/>
                    <w:rPr>
                      <w:kern w:val="1"/>
                      <w:szCs w:val="21"/>
                    </w:rPr>
                  </w:pPr>
                  <w:r>
                    <w:rPr>
                      <w:rFonts w:hint="eastAsia"/>
                      <w:kern w:val="1"/>
                      <w:szCs w:val="21"/>
                    </w:rPr>
                    <w:t>除尘器收集尘</w:t>
                  </w:r>
                </w:p>
              </w:tc>
              <w:tc>
                <w:tcPr>
                  <w:tcW w:w="1510" w:type="dxa"/>
                  <w:vAlign w:val="center"/>
                </w:tcPr>
                <w:p>
                  <w:pPr>
                    <w:jc w:val="center"/>
                    <w:rPr>
                      <w:kern w:val="1"/>
                      <w:szCs w:val="21"/>
                    </w:rPr>
                  </w:pPr>
                  <w:r>
                    <w:rPr>
                      <w:kern w:val="1"/>
                      <w:szCs w:val="21"/>
                    </w:rPr>
                    <w:t>12625</w:t>
                  </w:r>
                  <w:r>
                    <w:rPr>
                      <w:rFonts w:hint="eastAsia"/>
                      <w:kern w:val="1"/>
                      <w:szCs w:val="21"/>
                    </w:rPr>
                    <w:t>t/a</w:t>
                  </w:r>
                </w:p>
              </w:tc>
              <w:tc>
                <w:tcPr>
                  <w:tcW w:w="5381" w:type="dxa"/>
                  <w:vAlign w:val="center"/>
                </w:tcPr>
                <w:p>
                  <w:pPr>
                    <w:jc w:val="center"/>
                    <w:rPr>
                      <w:kern w:val="1"/>
                      <w:szCs w:val="21"/>
                    </w:rPr>
                  </w:pPr>
                  <w:r>
                    <w:rPr>
                      <w:rFonts w:hint="eastAsia"/>
                      <w:szCs w:val="21"/>
                    </w:rPr>
                    <w:t>外售用作白云粉生产原料。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 w:type="dxa"/>
                  <w:vAlign w:val="center"/>
                </w:tcPr>
                <w:p>
                  <w:pPr>
                    <w:jc w:val="center"/>
                    <w:rPr>
                      <w:kern w:val="1"/>
                      <w:szCs w:val="21"/>
                    </w:rPr>
                  </w:pPr>
                  <w:r>
                    <w:rPr>
                      <w:rFonts w:hint="eastAsia"/>
                      <w:kern w:val="1"/>
                      <w:szCs w:val="21"/>
                    </w:rPr>
                    <w:t>生活垃圾</w:t>
                  </w:r>
                </w:p>
              </w:tc>
              <w:tc>
                <w:tcPr>
                  <w:tcW w:w="1510" w:type="dxa"/>
                  <w:vAlign w:val="center"/>
                </w:tcPr>
                <w:p>
                  <w:pPr>
                    <w:jc w:val="center"/>
                    <w:rPr>
                      <w:kern w:val="1"/>
                      <w:szCs w:val="21"/>
                    </w:rPr>
                  </w:pPr>
                  <w:r>
                    <w:rPr>
                      <w:rFonts w:hint="eastAsia"/>
                      <w:kern w:val="1"/>
                      <w:szCs w:val="21"/>
                    </w:rPr>
                    <w:t>19.8t/a</w:t>
                  </w:r>
                </w:p>
              </w:tc>
              <w:tc>
                <w:tcPr>
                  <w:tcW w:w="5381" w:type="dxa"/>
                  <w:vAlign w:val="center"/>
                </w:tcPr>
                <w:p>
                  <w:pPr>
                    <w:jc w:val="center"/>
                    <w:rPr>
                      <w:kern w:val="1"/>
                      <w:szCs w:val="21"/>
                    </w:rPr>
                  </w:pPr>
                  <w:r>
                    <w:rPr>
                      <w:rFonts w:hint="eastAsia"/>
                      <w:kern w:val="1"/>
                      <w:szCs w:val="21"/>
                    </w:rPr>
                    <w:t>集中收集后总政府指定场所统一处理。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 w:type="dxa"/>
                  <w:vAlign w:val="center"/>
                </w:tcPr>
                <w:p>
                  <w:pPr>
                    <w:jc w:val="center"/>
                    <w:rPr>
                      <w:kern w:val="1"/>
                      <w:szCs w:val="21"/>
                    </w:rPr>
                  </w:pPr>
                  <w:r>
                    <w:rPr>
                      <w:rFonts w:hint="eastAsia"/>
                      <w:kern w:val="1"/>
                      <w:szCs w:val="21"/>
                    </w:rPr>
                    <w:t>废弃的含油抹布</w:t>
                  </w:r>
                </w:p>
              </w:tc>
              <w:tc>
                <w:tcPr>
                  <w:tcW w:w="1510" w:type="dxa"/>
                  <w:vAlign w:val="center"/>
                </w:tcPr>
                <w:p>
                  <w:pPr>
                    <w:jc w:val="center"/>
                    <w:rPr>
                      <w:kern w:val="1"/>
                      <w:szCs w:val="21"/>
                    </w:rPr>
                  </w:pPr>
                  <w:r>
                    <w:rPr>
                      <w:kern w:val="1"/>
                      <w:szCs w:val="21"/>
                    </w:rPr>
                    <w:t>0.01t/a</w:t>
                  </w:r>
                </w:p>
              </w:tc>
              <w:tc>
                <w:tcPr>
                  <w:tcW w:w="5381" w:type="dxa"/>
                  <w:vAlign w:val="center"/>
                </w:tcPr>
                <w:p>
                  <w:pPr>
                    <w:jc w:val="center"/>
                    <w:rPr>
                      <w:kern w:val="1"/>
                      <w:szCs w:val="21"/>
                    </w:rPr>
                  </w:pPr>
                  <w:r>
                    <w:rPr>
                      <w:rFonts w:hint="eastAsia"/>
                      <w:kern w:val="1"/>
                      <w:szCs w:val="21"/>
                    </w:rPr>
                    <w:t>混入生活垃圾按生活垃圾处理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 w:type="dxa"/>
                  <w:vAlign w:val="center"/>
                </w:tcPr>
                <w:p>
                  <w:pPr>
                    <w:jc w:val="center"/>
                    <w:rPr>
                      <w:kern w:val="1"/>
                      <w:szCs w:val="21"/>
                    </w:rPr>
                  </w:pPr>
                  <w:r>
                    <w:rPr>
                      <w:rFonts w:hint="eastAsia"/>
                      <w:kern w:val="1"/>
                      <w:szCs w:val="21"/>
                    </w:rPr>
                    <w:t>废润滑油</w:t>
                  </w:r>
                </w:p>
              </w:tc>
              <w:tc>
                <w:tcPr>
                  <w:tcW w:w="1510" w:type="dxa"/>
                  <w:vAlign w:val="center"/>
                </w:tcPr>
                <w:p>
                  <w:pPr>
                    <w:jc w:val="center"/>
                    <w:rPr>
                      <w:kern w:val="1"/>
                      <w:szCs w:val="21"/>
                    </w:rPr>
                  </w:pPr>
                  <w:r>
                    <w:rPr>
                      <w:rFonts w:hint="eastAsia"/>
                      <w:kern w:val="1"/>
                      <w:szCs w:val="21"/>
                    </w:rPr>
                    <w:t>1t/a</w:t>
                  </w:r>
                </w:p>
              </w:tc>
              <w:tc>
                <w:tcPr>
                  <w:tcW w:w="5381" w:type="dxa"/>
                  <w:vMerge w:val="restart"/>
                  <w:vAlign w:val="center"/>
                </w:tcPr>
                <w:p>
                  <w:pPr>
                    <w:jc w:val="center"/>
                    <w:rPr>
                      <w:kern w:val="1"/>
                      <w:szCs w:val="21"/>
                    </w:rPr>
                  </w:pPr>
                  <w:r>
                    <w:rPr>
                      <w:rFonts w:hint="eastAsia"/>
                      <w:kern w:val="1"/>
                      <w:szCs w:val="21"/>
                    </w:rPr>
                    <w:t>暂存于危废暂存间，定期委托有资质单位妥善处置。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 w:type="dxa"/>
                  <w:vAlign w:val="center"/>
                </w:tcPr>
                <w:p>
                  <w:pPr>
                    <w:jc w:val="center"/>
                    <w:rPr>
                      <w:kern w:val="1"/>
                      <w:szCs w:val="21"/>
                    </w:rPr>
                  </w:pPr>
                  <w:r>
                    <w:rPr>
                      <w:rFonts w:hint="eastAsia"/>
                      <w:kern w:val="1"/>
                      <w:szCs w:val="21"/>
                    </w:rPr>
                    <w:t>废油桶</w:t>
                  </w:r>
                </w:p>
              </w:tc>
              <w:tc>
                <w:tcPr>
                  <w:tcW w:w="1510" w:type="dxa"/>
                  <w:vAlign w:val="center"/>
                </w:tcPr>
                <w:p>
                  <w:pPr>
                    <w:jc w:val="center"/>
                    <w:rPr>
                      <w:kern w:val="1"/>
                      <w:szCs w:val="21"/>
                    </w:rPr>
                  </w:pPr>
                  <w:r>
                    <w:rPr>
                      <w:rFonts w:hint="eastAsia"/>
                      <w:kern w:val="1"/>
                      <w:szCs w:val="21"/>
                    </w:rPr>
                    <w:t>5个</w:t>
                  </w:r>
                </w:p>
              </w:tc>
              <w:tc>
                <w:tcPr>
                  <w:tcW w:w="5381" w:type="dxa"/>
                  <w:vMerge w:val="continue"/>
                  <w:vAlign w:val="center"/>
                </w:tcPr>
                <w:p>
                  <w:pPr>
                    <w:jc w:val="center"/>
                    <w:rPr>
                      <w:kern w:val="1"/>
                      <w:szCs w:val="21"/>
                    </w:rPr>
                  </w:pPr>
                </w:p>
              </w:tc>
            </w:tr>
          </w:tbl>
          <w:p>
            <w:pPr>
              <w:pStyle w:val="47"/>
              <w:ind w:firstLine="482"/>
              <w:rPr>
                <w:b/>
                <w:bCs/>
                <w:color w:val="auto"/>
              </w:rPr>
            </w:pPr>
            <w:r>
              <w:rPr>
                <w:rFonts w:hint="eastAsia"/>
                <w:b/>
                <w:bCs/>
                <w:color w:val="auto"/>
              </w:rPr>
              <w:t>（5）生态影响因素分析</w:t>
            </w:r>
          </w:p>
          <w:p>
            <w:pPr>
              <w:pStyle w:val="47"/>
              <w:ind w:firstLine="480"/>
              <w:rPr>
                <w:color w:val="auto"/>
              </w:rPr>
            </w:pPr>
            <w:r>
              <w:rPr>
                <w:rFonts w:hint="eastAsia"/>
                <w:color w:val="auto"/>
              </w:rPr>
              <w:t>根据矿山开发建设项目的特点，结合采场所在地的自然环境、环境质量现状，项目在开采过程中，对生态环境的影响主要表现在以下方面：地形地貌、土壤侵蚀、野生动物种群及分布、野生植被连续性、土地利用结构和景观格局产生影响。</w:t>
            </w:r>
          </w:p>
          <w:p>
            <w:pPr>
              <w:pStyle w:val="76"/>
              <w:spacing w:line="360" w:lineRule="auto"/>
              <w:ind w:firstLine="482"/>
              <w:rPr>
                <w:rFonts w:ascii="Times New Roman" w:hAnsi="Times New Roman" w:eastAsia="宋体"/>
                <w:color w:val="auto"/>
                <w:kern w:val="2"/>
              </w:rPr>
            </w:pPr>
            <w:r>
              <w:rPr>
                <w:rFonts w:hint="eastAsia" w:ascii="Times New Roman" w:hAnsi="Times New Roman" w:eastAsia="宋体"/>
                <w:color w:val="auto"/>
                <w:kern w:val="2"/>
              </w:rPr>
              <w:t>本项目所在的区域，长期以来由于气候、地理、地质等自然条件与生物作用，已经形成自然生态系统。系统中各个要素之间已经形成一种相对的平衡，可以协调发展。而项目的建设，必然要占地、开挖动土，产生矿坑，扰动破坏植被、土壤等，人为打破现有生态系统的现有平衡状态，影响区域的生态环境。矿区规划中主要工程项目对生态环境造成的影响，见下表。</w:t>
            </w:r>
          </w:p>
          <w:p>
            <w:pPr>
              <w:pStyle w:val="50"/>
              <w:numPr>
                <w:ilvl w:val="0"/>
                <w:numId w:val="2"/>
              </w:numPr>
              <w:snapToGrid w:val="0"/>
              <w:spacing w:line="240" w:lineRule="auto"/>
              <w:ind w:firstLineChars="0"/>
              <w:jc w:val="center"/>
              <w:rPr>
                <w:b/>
                <w:bCs/>
              </w:rPr>
            </w:pPr>
            <w:r>
              <w:rPr>
                <w:rFonts w:hint="eastAsia"/>
                <w:b/>
                <w:bCs/>
              </w:rPr>
              <w:t>露天矿对生态环境影响项目表</w:t>
            </w:r>
          </w:p>
          <w:tbl>
            <w:tblPr>
              <w:tblStyle w:val="22"/>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79"/>
              <w:gridCol w:w="617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2179" w:type="dxa"/>
                  <w:vAlign w:val="center"/>
                </w:tcPr>
                <w:p>
                  <w:pPr>
                    <w:pStyle w:val="83"/>
                    <w:keepNext w:val="0"/>
                    <w:topLinePunct/>
                    <w:adjustRightInd/>
                    <w:spacing w:line="240" w:lineRule="auto"/>
                    <w:ind w:left="0" w:leftChars="0" w:right="0" w:rightChars="0"/>
                    <w:rPr>
                      <w:rFonts w:cs="Times New Roman"/>
                      <w:b/>
                      <w:bCs/>
                      <w:kern w:val="2"/>
                      <w:sz w:val="21"/>
                      <w:szCs w:val="21"/>
                    </w:rPr>
                  </w:pPr>
                  <w:r>
                    <w:rPr>
                      <w:rFonts w:hint="eastAsia" w:cs="Times New Roman"/>
                      <w:b/>
                      <w:bCs/>
                      <w:kern w:val="2"/>
                      <w:sz w:val="21"/>
                      <w:szCs w:val="21"/>
                    </w:rPr>
                    <w:t>主要影响活动及项目</w:t>
                  </w:r>
                </w:p>
              </w:tc>
              <w:tc>
                <w:tcPr>
                  <w:tcW w:w="6170" w:type="dxa"/>
                  <w:vAlign w:val="center"/>
                </w:tcPr>
                <w:p>
                  <w:pPr>
                    <w:pStyle w:val="83"/>
                    <w:keepNext w:val="0"/>
                    <w:topLinePunct/>
                    <w:adjustRightInd/>
                    <w:spacing w:line="240" w:lineRule="auto"/>
                    <w:ind w:left="0" w:leftChars="0" w:right="0" w:rightChars="0"/>
                    <w:rPr>
                      <w:rFonts w:cs="Times New Roman"/>
                      <w:kern w:val="2"/>
                      <w:sz w:val="21"/>
                      <w:szCs w:val="21"/>
                    </w:rPr>
                  </w:pPr>
                  <w:r>
                    <w:rPr>
                      <w:rFonts w:hint="eastAsia" w:cs="Times New Roman"/>
                      <w:b/>
                      <w:bCs/>
                      <w:kern w:val="2"/>
                      <w:sz w:val="21"/>
                      <w:szCs w:val="21"/>
                    </w:rPr>
                    <w:t>运营期影响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67" w:hRule="atLeast"/>
                <w:jc w:val="center"/>
              </w:trPr>
              <w:tc>
                <w:tcPr>
                  <w:tcW w:w="2179" w:type="dxa"/>
                  <w:vAlign w:val="center"/>
                </w:tcPr>
                <w:p>
                  <w:pPr>
                    <w:pStyle w:val="83"/>
                    <w:keepNext w:val="0"/>
                    <w:topLinePunct/>
                    <w:adjustRightInd/>
                    <w:spacing w:line="240" w:lineRule="auto"/>
                    <w:ind w:left="0" w:leftChars="0" w:right="0" w:rightChars="0"/>
                    <w:rPr>
                      <w:rFonts w:cs="Times New Roman"/>
                      <w:b/>
                      <w:bCs/>
                      <w:kern w:val="2"/>
                      <w:sz w:val="21"/>
                      <w:szCs w:val="21"/>
                    </w:rPr>
                  </w:pPr>
                  <w:r>
                    <w:rPr>
                      <w:rFonts w:hint="eastAsia" w:cs="Times New Roman"/>
                      <w:b/>
                      <w:bCs/>
                      <w:kern w:val="2"/>
                      <w:sz w:val="21"/>
                      <w:szCs w:val="21"/>
                    </w:rPr>
                    <w:t>采掘土岩</w:t>
                  </w:r>
                </w:p>
              </w:tc>
              <w:tc>
                <w:tcPr>
                  <w:tcW w:w="6170" w:type="dxa"/>
                  <w:vAlign w:val="center"/>
                </w:tcPr>
                <w:p>
                  <w:pPr>
                    <w:pStyle w:val="83"/>
                    <w:keepNext w:val="0"/>
                    <w:topLinePunct/>
                    <w:adjustRightInd/>
                    <w:spacing w:line="240" w:lineRule="auto"/>
                    <w:ind w:left="0" w:leftChars="0" w:right="0" w:rightChars="0"/>
                    <w:jc w:val="left"/>
                    <w:rPr>
                      <w:rFonts w:cs="Times New Roman"/>
                      <w:kern w:val="2"/>
                      <w:sz w:val="21"/>
                      <w:szCs w:val="21"/>
                    </w:rPr>
                  </w:pPr>
                  <w:r>
                    <w:rPr>
                      <w:rFonts w:hint="eastAsia" w:cs="Times New Roman"/>
                      <w:kern w:val="2"/>
                      <w:sz w:val="21"/>
                      <w:szCs w:val="21"/>
                    </w:rPr>
                    <w:t>占用土地、地表挖损、地表压占，改变土地利用类型、改变地形地貌和地表物质组成结构、自然景观，影响土壤质量，加剧水土流失，减少植被、野生生物的数量；形成新的生态环境。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79" w:type="dxa"/>
                  <w:vAlign w:val="center"/>
                </w:tcPr>
                <w:p>
                  <w:pPr>
                    <w:pStyle w:val="83"/>
                    <w:keepNext w:val="0"/>
                    <w:topLinePunct/>
                    <w:adjustRightInd/>
                    <w:ind w:left="0" w:leftChars="0" w:right="0" w:rightChars="0"/>
                    <w:rPr>
                      <w:rFonts w:cs="Times New Roman"/>
                      <w:b/>
                      <w:bCs/>
                      <w:kern w:val="2"/>
                      <w:sz w:val="21"/>
                      <w:szCs w:val="21"/>
                    </w:rPr>
                  </w:pPr>
                  <w:r>
                    <w:rPr>
                      <w:rFonts w:hint="eastAsia" w:cs="Times New Roman"/>
                      <w:b/>
                      <w:bCs/>
                      <w:kern w:val="2"/>
                      <w:sz w:val="21"/>
                      <w:szCs w:val="21"/>
                    </w:rPr>
                    <w:t>汽车运输</w:t>
                  </w:r>
                </w:p>
              </w:tc>
              <w:tc>
                <w:tcPr>
                  <w:tcW w:w="6170" w:type="dxa"/>
                  <w:vAlign w:val="center"/>
                </w:tcPr>
                <w:p>
                  <w:pPr>
                    <w:pStyle w:val="83"/>
                    <w:keepNext w:val="0"/>
                    <w:topLinePunct/>
                    <w:adjustRightInd/>
                    <w:ind w:left="0" w:leftChars="0" w:right="0" w:rightChars="0"/>
                    <w:jc w:val="left"/>
                    <w:rPr>
                      <w:rFonts w:cs="Times New Roman"/>
                      <w:kern w:val="2"/>
                      <w:sz w:val="21"/>
                      <w:szCs w:val="21"/>
                    </w:rPr>
                  </w:pPr>
                  <w:r>
                    <w:rPr>
                      <w:rFonts w:hint="eastAsia" w:cs="Times New Roman"/>
                      <w:kern w:val="2"/>
                      <w:sz w:val="21"/>
                      <w:szCs w:val="21"/>
                    </w:rPr>
                    <w:t>汽车尾气、扬尘影响植物生长，噪声干扰野生动物的生存活动。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23" w:hRule="atLeast"/>
                <w:jc w:val="center"/>
              </w:trPr>
              <w:tc>
                <w:tcPr>
                  <w:tcW w:w="2179" w:type="dxa"/>
                  <w:vAlign w:val="center"/>
                </w:tcPr>
                <w:p>
                  <w:pPr>
                    <w:pStyle w:val="83"/>
                    <w:keepNext w:val="0"/>
                    <w:topLinePunct/>
                    <w:adjustRightInd/>
                    <w:ind w:left="0" w:leftChars="0" w:right="0" w:rightChars="0"/>
                    <w:rPr>
                      <w:rFonts w:cs="Times New Roman"/>
                      <w:b/>
                      <w:bCs/>
                      <w:kern w:val="2"/>
                      <w:sz w:val="21"/>
                      <w:szCs w:val="21"/>
                    </w:rPr>
                  </w:pPr>
                  <w:r>
                    <w:rPr>
                      <w:rFonts w:hint="eastAsia" w:cs="Times New Roman"/>
                      <w:b/>
                      <w:bCs/>
                      <w:kern w:val="2"/>
                      <w:sz w:val="21"/>
                      <w:szCs w:val="21"/>
                    </w:rPr>
                    <w:t>排土场</w:t>
                  </w:r>
                </w:p>
              </w:tc>
              <w:tc>
                <w:tcPr>
                  <w:tcW w:w="6170" w:type="dxa"/>
                  <w:vAlign w:val="center"/>
                </w:tcPr>
                <w:p>
                  <w:pPr>
                    <w:pStyle w:val="83"/>
                    <w:keepNext w:val="0"/>
                    <w:topLinePunct/>
                    <w:adjustRightInd/>
                    <w:ind w:left="0" w:leftChars="0" w:right="0" w:rightChars="0"/>
                    <w:jc w:val="left"/>
                    <w:rPr>
                      <w:rFonts w:cs="Times New Roman"/>
                      <w:kern w:val="2"/>
                      <w:sz w:val="21"/>
                      <w:szCs w:val="21"/>
                    </w:rPr>
                  </w:pPr>
                  <w:r>
                    <w:rPr>
                      <w:rFonts w:hint="eastAsia" w:cs="Times New Roman"/>
                      <w:kern w:val="2"/>
                      <w:sz w:val="21"/>
                      <w:szCs w:val="21"/>
                    </w:rPr>
                    <w:t>占用土地，影响周围土壤的质量，无植被覆盖，水土流失严重影响周围草场的质量，生产力下降；使局部环境恶化。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57" w:hRule="atLeast"/>
                <w:jc w:val="center"/>
              </w:trPr>
              <w:tc>
                <w:tcPr>
                  <w:tcW w:w="2179" w:type="dxa"/>
                  <w:vAlign w:val="center"/>
                </w:tcPr>
                <w:p>
                  <w:pPr>
                    <w:pStyle w:val="83"/>
                    <w:keepNext w:val="0"/>
                    <w:topLinePunct/>
                    <w:adjustRightInd/>
                    <w:ind w:left="0" w:leftChars="0" w:right="0" w:rightChars="0"/>
                    <w:rPr>
                      <w:rFonts w:cs="Times New Roman"/>
                      <w:b/>
                      <w:bCs/>
                      <w:kern w:val="2"/>
                      <w:sz w:val="21"/>
                      <w:szCs w:val="21"/>
                    </w:rPr>
                  </w:pPr>
                  <w:r>
                    <w:rPr>
                      <w:rFonts w:hint="eastAsia" w:cs="Times New Roman"/>
                      <w:b/>
                      <w:bCs/>
                      <w:kern w:val="2"/>
                      <w:sz w:val="21"/>
                      <w:szCs w:val="21"/>
                    </w:rPr>
                    <w:t>其他辅助工程、</w:t>
                  </w:r>
                </w:p>
                <w:p>
                  <w:pPr>
                    <w:pStyle w:val="83"/>
                    <w:keepNext w:val="0"/>
                    <w:topLinePunct/>
                    <w:adjustRightInd/>
                    <w:ind w:left="0" w:leftChars="0" w:right="0" w:rightChars="0"/>
                    <w:rPr>
                      <w:rFonts w:cs="Times New Roman"/>
                      <w:b/>
                      <w:bCs/>
                      <w:kern w:val="2"/>
                      <w:sz w:val="21"/>
                      <w:szCs w:val="21"/>
                    </w:rPr>
                  </w:pPr>
                  <w:r>
                    <w:rPr>
                      <w:rFonts w:hint="eastAsia" w:cs="Times New Roman"/>
                      <w:b/>
                      <w:bCs/>
                      <w:kern w:val="2"/>
                      <w:sz w:val="21"/>
                      <w:szCs w:val="21"/>
                    </w:rPr>
                    <w:t>公用工程</w:t>
                  </w:r>
                </w:p>
              </w:tc>
              <w:tc>
                <w:tcPr>
                  <w:tcW w:w="6170" w:type="dxa"/>
                  <w:vAlign w:val="center"/>
                </w:tcPr>
                <w:p>
                  <w:pPr>
                    <w:pStyle w:val="83"/>
                    <w:keepNext w:val="0"/>
                    <w:topLinePunct/>
                    <w:adjustRightInd/>
                    <w:ind w:left="0" w:leftChars="0" w:right="0" w:rightChars="0"/>
                    <w:jc w:val="left"/>
                    <w:rPr>
                      <w:rFonts w:cs="Times New Roman"/>
                      <w:kern w:val="2"/>
                      <w:sz w:val="21"/>
                      <w:szCs w:val="21"/>
                    </w:rPr>
                  </w:pPr>
                  <w:r>
                    <w:rPr>
                      <w:rFonts w:hint="eastAsia" w:cs="Times New Roman"/>
                      <w:kern w:val="2"/>
                      <w:sz w:val="21"/>
                      <w:szCs w:val="21"/>
                    </w:rPr>
                    <w:t>占用土地面积，改变已有的自然景观，影响野生生物的生存空间，建立新的系统结构，改变系统的功能。</w:t>
                  </w:r>
                </w:p>
              </w:tc>
            </w:tr>
          </w:tbl>
          <w:p>
            <w:pPr>
              <w:pStyle w:val="77"/>
              <w:spacing w:line="360" w:lineRule="auto"/>
              <w:ind w:left="835"/>
              <w:jc w:val="both"/>
              <w:rPr>
                <w:bCs/>
                <w:color w:val="auto"/>
                <w:kern w:val="2"/>
              </w:rPr>
            </w:pPr>
            <w:r>
              <w:rPr>
                <w:rFonts w:hint="eastAsia"/>
                <w:bCs/>
                <w:color w:val="auto"/>
                <w:kern w:val="2"/>
              </w:rPr>
              <w:t>1）土地利用变化的影响分析</w:t>
            </w:r>
          </w:p>
          <w:p>
            <w:pPr>
              <w:pStyle w:val="76"/>
              <w:spacing w:line="360" w:lineRule="auto"/>
              <w:ind w:firstLine="482"/>
              <w:rPr>
                <w:rFonts w:ascii="Times New Roman" w:hAnsi="Times New Roman" w:eastAsia="宋体"/>
                <w:color w:val="auto"/>
                <w:kern w:val="2"/>
              </w:rPr>
            </w:pPr>
            <w:r>
              <w:rPr>
                <w:rFonts w:hint="eastAsia" w:ascii="Times New Roman" w:hAnsi="Times New Roman" w:eastAsia="宋体"/>
                <w:color w:val="auto"/>
                <w:kern w:val="2"/>
              </w:rPr>
              <w:t>项目的实施对评价区域土地利用的现状格局将会产生一定影响。主要表现在由于工程的建设，将使部分未利用荒山转变为临时工矿用地。这种土地利用方式的变化，虽会使局部区域内土地利用现状结构发生一定程度的改变，但亦将使该区域土地利用率提高，土地的经济价值呈现，最终使土地的使用价值升高。这将有利于增强区域经济发展动力，为其它相关产业的发展奠定一定的基础。</w:t>
            </w:r>
          </w:p>
          <w:p>
            <w:pPr>
              <w:pStyle w:val="76"/>
              <w:spacing w:line="360" w:lineRule="auto"/>
              <w:ind w:firstLine="482"/>
              <w:rPr>
                <w:rFonts w:ascii="Times New Roman" w:hAnsi="Times New Roman" w:eastAsia="宋体"/>
                <w:color w:val="auto"/>
                <w:kern w:val="2"/>
              </w:rPr>
            </w:pPr>
            <w:r>
              <w:rPr>
                <w:rFonts w:hint="eastAsia" w:ascii="Times New Roman" w:hAnsi="Times New Roman" w:eastAsia="宋体"/>
                <w:color w:val="auto"/>
                <w:kern w:val="2"/>
              </w:rPr>
              <w:t>矿区开发对区域地形、地貌的影响：矿区开发挖损影响现有地形，项目建设后，使矿区内的地形、地貌、地表物质组成结构发生变化。这种形态上的变化，对区域性环境将产生一定的影响。排土场堆积松散，在无植被覆盖时，极易遭受风蚀和水蚀，威胁排土场周围的植被。</w:t>
            </w:r>
          </w:p>
          <w:p>
            <w:pPr>
              <w:pStyle w:val="77"/>
              <w:spacing w:line="360" w:lineRule="auto"/>
              <w:ind w:firstLine="475"/>
              <w:jc w:val="both"/>
              <w:rPr>
                <w:bCs/>
                <w:color w:val="auto"/>
                <w:kern w:val="2"/>
              </w:rPr>
            </w:pPr>
            <w:r>
              <w:rPr>
                <w:rFonts w:hint="eastAsia"/>
                <w:bCs/>
                <w:color w:val="auto"/>
                <w:kern w:val="2"/>
              </w:rPr>
              <w:t>矿山开采结束后，建设单位按照编制的矿山地质环境保护与土地复垦方案，矿山闭坑后经过拆除回填、土地治理后并进行种植草籽绿化，按照因地制宜原则将矿山损毁的旱地和灌木林地复垦为原地类，将损毁的天然牧草地、其他草地、采矿用地、农村道路、裸土地和裸岩石砾地全部复垦为人工牧草地，公路用地保持不变；露天采场边坡（面积11.30hm2）由于坡度较陡，复垦难度较大，因此土地利用方向为裸岩石砾地。矿山修复后达到与周围地形地貌协调、恢复植被的要求。</w:t>
            </w:r>
          </w:p>
          <w:p>
            <w:pPr>
              <w:pStyle w:val="77"/>
              <w:spacing w:line="360" w:lineRule="auto"/>
              <w:ind w:firstLine="475"/>
              <w:jc w:val="both"/>
              <w:rPr>
                <w:bCs/>
                <w:color w:val="auto"/>
                <w:kern w:val="2"/>
              </w:rPr>
            </w:pPr>
            <w:r>
              <w:rPr>
                <w:rFonts w:hint="eastAsia"/>
                <w:bCs/>
                <w:color w:val="auto"/>
                <w:kern w:val="2"/>
              </w:rPr>
              <w:t>2）对植被的影响分析</w:t>
            </w:r>
          </w:p>
          <w:p>
            <w:pPr>
              <w:pStyle w:val="77"/>
              <w:spacing w:line="360" w:lineRule="auto"/>
              <w:ind w:firstLine="475"/>
              <w:jc w:val="both"/>
              <w:rPr>
                <w:bCs/>
                <w:color w:val="auto"/>
                <w:kern w:val="2"/>
              </w:rPr>
            </w:pPr>
            <w:r>
              <w:rPr>
                <w:rFonts w:hint="eastAsia"/>
                <w:bCs/>
                <w:color w:val="auto"/>
                <w:kern w:val="2"/>
              </w:rPr>
              <w:t>由于本项目建设的主要内容为露天剥采，将对原始的自然植被产生不良的影响，以典型荒漠为主的生态系统将由于矿山开采破坏原始植被而发生根本性变化。</w:t>
            </w:r>
          </w:p>
          <w:p>
            <w:pPr>
              <w:pStyle w:val="77"/>
              <w:spacing w:line="360" w:lineRule="auto"/>
              <w:ind w:firstLine="475"/>
              <w:jc w:val="both"/>
              <w:rPr>
                <w:bCs/>
                <w:color w:val="auto"/>
                <w:kern w:val="2"/>
              </w:rPr>
            </w:pPr>
            <w:r>
              <w:rPr>
                <w:rFonts w:hint="eastAsia"/>
                <w:bCs/>
                <w:color w:val="auto"/>
                <w:kern w:val="2"/>
              </w:rPr>
              <w:t>白云岩矿的开发建设将破坏、扰动原地形地貌和植被，白云岩矿建设占地对植被的破坏是永久性的，这部分植被将永远失去生产能力，带之而来的是白云岩矿生产。因而在运行过程中要注意保护植被，减少植被破坏面积，并尽快进行复垦，恢复植被，项目采取“边开采、边治理、边恢复”的原则，按照编制环境保护与土地复垦方案采取最合理的方式进行废弃地复垦</w:t>
            </w:r>
            <w:r>
              <w:rPr>
                <w:rFonts w:hint="eastAsia"/>
                <w:color w:val="auto"/>
              </w:rPr>
              <w:t>，</w:t>
            </w:r>
            <w:r>
              <w:rPr>
                <w:rFonts w:hint="eastAsia"/>
                <w:bCs/>
                <w:color w:val="auto"/>
                <w:kern w:val="2"/>
              </w:rPr>
              <w:t>减少对植被的破坏影响。</w:t>
            </w:r>
          </w:p>
          <w:p>
            <w:pPr>
              <w:pStyle w:val="47"/>
              <w:ind w:firstLine="480"/>
              <w:rPr>
                <w:color w:val="auto"/>
              </w:rPr>
            </w:pPr>
            <w:r>
              <w:rPr>
                <w:rFonts w:hint="eastAsia"/>
                <w:color w:val="auto"/>
              </w:rPr>
              <w:t>3）景观结构与功能变化</w:t>
            </w:r>
          </w:p>
          <w:p>
            <w:pPr>
              <w:pStyle w:val="76"/>
              <w:spacing w:line="360" w:lineRule="auto"/>
              <w:ind w:firstLine="482"/>
              <w:jc w:val="both"/>
              <w:rPr>
                <w:rFonts w:ascii="Times New Roman" w:hAnsi="Times New Roman" w:eastAsia="宋体"/>
                <w:color w:val="auto"/>
                <w:kern w:val="2"/>
              </w:rPr>
            </w:pPr>
            <w:r>
              <w:rPr>
                <w:rFonts w:hint="eastAsia" w:ascii="Times New Roman" w:hAnsi="Times New Roman" w:eastAsia="宋体"/>
                <w:color w:val="auto"/>
                <w:kern w:val="2"/>
              </w:rPr>
              <w:t>项目评价区的景观类型主要包括荒漠草原景观和人工景观。项目建设将在一定程度上影响矿区内现有的景观格局，改变项目区的景观结构。采区占地面积为31hm</w:t>
            </w:r>
            <w:r>
              <w:rPr>
                <w:rFonts w:hint="eastAsia" w:ascii="Times New Roman" w:hAnsi="Times New Roman" w:eastAsia="宋体"/>
                <w:color w:val="auto"/>
                <w:kern w:val="2"/>
                <w:vertAlign w:val="superscript"/>
              </w:rPr>
              <w:t>2</w:t>
            </w:r>
            <w:r>
              <w:rPr>
                <w:rFonts w:hint="eastAsia" w:ascii="Times New Roman" w:hAnsi="Times New Roman" w:eastAsia="宋体"/>
                <w:color w:val="auto"/>
                <w:kern w:val="2"/>
              </w:rPr>
              <w:t>，这部分草原景观将逐渐演变为采掘场景观，导致整个评价区的景观斑块数和斑块密度增加，人工的数目、面积和优势度值均增加，而以荒漠为主的典型荒漠景观的面积和优势度值均减少。</w:t>
            </w:r>
          </w:p>
          <w:p>
            <w:pPr>
              <w:pStyle w:val="76"/>
              <w:spacing w:line="360" w:lineRule="auto"/>
              <w:ind w:firstLine="482"/>
              <w:jc w:val="both"/>
              <w:rPr>
                <w:rFonts w:ascii="Times New Roman" w:hAnsi="Times New Roman" w:eastAsia="宋体"/>
                <w:color w:val="auto"/>
                <w:kern w:val="2"/>
              </w:rPr>
            </w:pPr>
            <w:r>
              <w:rPr>
                <w:rFonts w:hint="eastAsia" w:ascii="Times New Roman" w:hAnsi="Times New Roman" w:eastAsia="宋体"/>
                <w:color w:val="auto"/>
                <w:kern w:val="2"/>
              </w:rPr>
              <w:t>露天矿建设占地将使植被减少、地表的完整性与平整性变差。使原来的自然景观类型变为采矿用地、工业用地、道路、供电通讯线路等人工景观，而且会对原来的景观进行分隔，造成空间上的非连续性和一些人为的劣质景观，造成与周围自然环境的不相协调。</w:t>
            </w:r>
          </w:p>
          <w:p>
            <w:pPr>
              <w:pStyle w:val="76"/>
              <w:spacing w:line="360" w:lineRule="auto"/>
              <w:ind w:firstLine="482"/>
              <w:jc w:val="both"/>
              <w:rPr>
                <w:rFonts w:ascii="Times New Roman" w:hAnsi="Times New Roman" w:eastAsia="宋体"/>
                <w:color w:val="auto"/>
                <w:kern w:val="2"/>
              </w:rPr>
            </w:pPr>
            <w:r>
              <w:rPr>
                <w:rFonts w:hint="eastAsia" w:ascii="Times New Roman" w:hAnsi="Times New Roman" w:eastAsia="宋体"/>
                <w:color w:val="auto"/>
                <w:kern w:val="2"/>
              </w:rPr>
              <w:t>在运营期对该白云岩矿地区边界1km范围内景观格局的影响最大，其剥离作业系统所涉及的区域的深度和广度均逐渐达到最大值，景观格局破碎化程度达最大值，景观基质的转化率达最大值，即在原来比较脆弱的以针茅为主的草原生态系统景观的基础上，出现采掘场、排土场、道路、工业场地等工矿景观。在这个过程中，如不加任何治理，天然草场的物种会逐渐减少，草群的生产力会逐年下降，草原土壤微结构趋于紧实，有效水分含量低，地表面干燥加剧。有些地区的土壤质地偏沙性，受风的侵蚀容易成为沙地。</w:t>
            </w:r>
          </w:p>
          <w:p>
            <w:pPr>
              <w:pStyle w:val="47"/>
              <w:ind w:firstLine="480"/>
              <w:rPr>
                <w:color w:val="auto"/>
              </w:rPr>
            </w:pPr>
            <w:r>
              <w:rPr>
                <w:rFonts w:hint="eastAsia"/>
                <w:color w:val="auto"/>
              </w:rPr>
              <w:t>4）对野生动物的影响分析</w:t>
            </w:r>
          </w:p>
          <w:p>
            <w:pPr>
              <w:pStyle w:val="55"/>
              <w:spacing w:line="360" w:lineRule="auto"/>
              <w:ind w:firstLine="480" w:firstLineChars="200"/>
              <w:jc w:val="both"/>
              <w:rPr>
                <w:color w:val="auto"/>
                <w:kern w:val="2"/>
              </w:rPr>
            </w:pPr>
            <w:r>
              <w:rPr>
                <w:rFonts w:hint="eastAsia"/>
                <w:color w:val="auto"/>
                <w:kern w:val="2"/>
              </w:rPr>
              <w:t>运营期，工程的建设，将使部分未利用荒山转变为临时工矿用地，改变了项目区域野生动物的栖息环境，减少了现有的野生动物栖息与活动的范围，迫使一部分野生动物向四周迁移，经现场调查，项目区域未见野生保护动物，无珍惜、频危及国家级和自治区及野生动物栖息地和繁殖地。因此，一段时间内，基地外围的一些小型动物的种群密度会上升。同时矿区的开发使得人类活动的增多，将会干扰基地周围的自然环境，影响野生动物的栖息地和活动场所，对周围的野生动物产生不利影响。</w:t>
            </w:r>
          </w:p>
          <w:p>
            <w:pPr>
              <w:pStyle w:val="47"/>
              <w:ind w:firstLine="480"/>
              <w:rPr>
                <w:color w:val="auto"/>
              </w:rPr>
            </w:pPr>
            <w:r>
              <w:rPr>
                <w:rFonts w:hint="eastAsia"/>
                <w:color w:val="auto"/>
              </w:rPr>
              <w:t>6）对土壤的影响分析</w:t>
            </w:r>
          </w:p>
          <w:p>
            <w:pPr>
              <w:spacing w:line="360" w:lineRule="auto"/>
              <w:ind w:firstLine="480" w:firstLineChars="200"/>
              <w:rPr>
                <w:rFonts w:ascii="宋体" w:hAnsi="宋体"/>
                <w:sz w:val="24"/>
              </w:rPr>
            </w:pPr>
            <w:r>
              <w:rPr>
                <w:rFonts w:hint="eastAsia" w:ascii="宋体" w:hAnsi="宋体"/>
                <w:sz w:val="24"/>
              </w:rPr>
              <w:t>生产运营期间，大量的弃土弃渣排往排土场，其边坡表层尚未经过长期沉降，土壤还十分疏松，所以易产生风蚀和水蚀。同时路面和道旁等处形成侵蚀沟后，造成径流集中，引起水土流失。生产系统未进行措施防护前，也将产生一部分水土流失。另外，采矿以及运输所产生的扬尘也是造成这一时段水土流失的来源。项目建设可能产生的土壤侵蚀形式见下表。</w:t>
            </w:r>
          </w:p>
          <w:p>
            <w:pPr>
              <w:pStyle w:val="50"/>
              <w:numPr>
                <w:ilvl w:val="0"/>
                <w:numId w:val="2"/>
              </w:numPr>
              <w:snapToGrid w:val="0"/>
              <w:spacing w:line="240" w:lineRule="auto"/>
              <w:ind w:firstLineChars="0"/>
              <w:jc w:val="center"/>
              <w:rPr>
                <w:b/>
                <w:bCs/>
              </w:rPr>
            </w:pPr>
            <w:r>
              <w:rPr>
                <w:rFonts w:hint="eastAsia"/>
                <w:bCs/>
              </w:rPr>
              <w:t xml:space="preserve">  </w:t>
            </w:r>
            <w:r>
              <w:rPr>
                <w:rFonts w:hint="eastAsia"/>
                <w:b/>
                <w:bCs/>
              </w:rPr>
              <w:t>建设项目可能产生的土壤侵蚀形式</w:t>
            </w:r>
          </w:p>
          <w:tbl>
            <w:tblPr>
              <w:tblStyle w:val="22"/>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197"/>
              <w:gridCol w:w="3565"/>
              <w:gridCol w:w="29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636" w:type="dxa"/>
                  <w:vAlign w:val="center"/>
                </w:tcPr>
                <w:p>
                  <w:pPr>
                    <w:pStyle w:val="83"/>
                    <w:keepNext w:val="0"/>
                    <w:topLinePunct/>
                    <w:adjustRightInd/>
                    <w:ind w:left="0" w:leftChars="0" w:right="0" w:rightChars="0"/>
                    <w:textAlignment w:val="center"/>
                    <w:rPr>
                      <w:rFonts w:cs="Times New Roman"/>
                      <w:b/>
                      <w:bCs/>
                      <w:kern w:val="2"/>
                      <w:sz w:val="21"/>
                      <w:szCs w:val="21"/>
                    </w:rPr>
                  </w:pPr>
                  <w:r>
                    <w:rPr>
                      <w:rFonts w:hint="eastAsia" w:cs="Times New Roman"/>
                      <w:b/>
                      <w:bCs/>
                      <w:kern w:val="2"/>
                      <w:sz w:val="21"/>
                      <w:szCs w:val="21"/>
                    </w:rPr>
                    <w:t>时段</w:t>
                  </w:r>
                </w:p>
              </w:tc>
              <w:tc>
                <w:tcPr>
                  <w:tcW w:w="1197" w:type="dxa"/>
                  <w:vAlign w:val="center"/>
                </w:tcPr>
                <w:p>
                  <w:pPr>
                    <w:pStyle w:val="83"/>
                    <w:keepNext w:val="0"/>
                    <w:topLinePunct/>
                    <w:adjustRightInd/>
                    <w:ind w:left="0" w:leftChars="0" w:right="0" w:rightChars="0"/>
                    <w:textAlignment w:val="center"/>
                    <w:rPr>
                      <w:rFonts w:cs="Times New Roman"/>
                      <w:b/>
                      <w:bCs/>
                      <w:kern w:val="2"/>
                      <w:sz w:val="21"/>
                      <w:szCs w:val="21"/>
                    </w:rPr>
                  </w:pPr>
                  <w:r>
                    <w:rPr>
                      <w:rFonts w:hint="eastAsia" w:cs="Times New Roman"/>
                      <w:b/>
                      <w:bCs/>
                      <w:kern w:val="2"/>
                      <w:sz w:val="21"/>
                      <w:szCs w:val="21"/>
                    </w:rPr>
                    <w:t>发生区域</w:t>
                  </w:r>
                </w:p>
              </w:tc>
              <w:tc>
                <w:tcPr>
                  <w:tcW w:w="3565" w:type="dxa"/>
                  <w:vAlign w:val="center"/>
                </w:tcPr>
                <w:p>
                  <w:pPr>
                    <w:pStyle w:val="83"/>
                    <w:keepNext w:val="0"/>
                    <w:topLinePunct/>
                    <w:adjustRightInd/>
                    <w:ind w:left="0" w:leftChars="0" w:right="0" w:rightChars="0"/>
                    <w:textAlignment w:val="center"/>
                    <w:rPr>
                      <w:rFonts w:cs="Times New Roman"/>
                      <w:b/>
                      <w:bCs/>
                      <w:kern w:val="2"/>
                      <w:sz w:val="21"/>
                      <w:szCs w:val="21"/>
                    </w:rPr>
                  </w:pPr>
                  <w:r>
                    <w:rPr>
                      <w:rFonts w:hint="eastAsia" w:cs="Times New Roman"/>
                      <w:b/>
                      <w:bCs/>
                      <w:kern w:val="2"/>
                      <w:sz w:val="21"/>
                      <w:szCs w:val="21"/>
                    </w:rPr>
                    <w:t>工程建设特点</w:t>
                  </w:r>
                </w:p>
              </w:tc>
              <w:tc>
                <w:tcPr>
                  <w:tcW w:w="2951" w:type="dxa"/>
                  <w:vAlign w:val="center"/>
                </w:tcPr>
                <w:p>
                  <w:pPr>
                    <w:pStyle w:val="83"/>
                    <w:keepNext w:val="0"/>
                    <w:topLinePunct/>
                    <w:adjustRightInd/>
                    <w:ind w:left="0" w:leftChars="0" w:right="0" w:rightChars="0"/>
                    <w:textAlignment w:val="center"/>
                    <w:rPr>
                      <w:rFonts w:cs="Times New Roman"/>
                      <w:b/>
                      <w:bCs/>
                      <w:kern w:val="2"/>
                      <w:sz w:val="21"/>
                      <w:szCs w:val="21"/>
                    </w:rPr>
                  </w:pPr>
                  <w:r>
                    <w:rPr>
                      <w:rFonts w:hint="eastAsia" w:cs="Times New Roman"/>
                      <w:b/>
                      <w:bCs/>
                      <w:kern w:val="2"/>
                      <w:sz w:val="21"/>
                      <w:szCs w:val="21"/>
                    </w:rPr>
                    <w:t>侵蚀形式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636" w:type="dxa"/>
                  <w:vMerge w:val="restart"/>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生产运营期</w:t>
                  </w:r>
                </w:p>
              </w:tc>
              <w:tc>
                <w:tcPr>
                  <w:tcW w:w="1197"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排土场</w:t>
                  </w:r>
                </w:p>
              </w:tc>
              <w:tc>
                <w:tcPr>
                  <w:tcW w:w="3565"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土体疏松堆放，无植被保护，边坡表面裸露</w:t>
                  </w:r>
                </w:p>
              </w:tc>
              <w:tc>
                <w:tcPr>
                  <w:tcW w:w="2951"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击溅、层次面蚀、沟蚀、重力侵蚀、滑坡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636" w:type="dxa"/>
                  <w:vMerge w:val="continue"/>
                  <w:vAlign w:val="center"/>
                </w:tcPr>
                <w:p>
                  <w:pPr>
                    <w:pStyle w:val="83"/>
                    <w:keepNext w:val="0"/>
                    <w:topLinePunct/>
                    <w:adjustRightInd/>
                    <w:ind w:left="0" w:leftChars="0" w:right="0" w:rightChars="0"/>
                    <w:textAlignment w:val="center"/>
                    <w:rPr>
                      <w:rFonts w:cs="Times New Roman"/>
                      <w:kern w:val="2"/>
                      <w:sz w:val="21"/>
                      <w:szCs w:val="21"/>
                    </w:rPr>
                  </w:pPr>
                </w:p>
              </w:tc>
              <w:tc>
                <w:tcPr>
                  <w:tcW w:w="1197"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采区</w:t>
                  </w:r>
                </w:p>
              </w:tc>
              <w:tc>
                <w:tcPr>
                  <w:tcW w:w="3565"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土体、岩石剥离、堆积和扰动</w:t>
                  </w:r>
                </w:p>
              </w:tc>
              <w:tc>
                <w:tcPr>
                  <w:tcW w:w="2951"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面蚀、沟蚀、重力侵蚀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636" w:type="dxa"/>
                  <w:vMerge w:val="continue"/>
                  <w:vAlign w:val="center"/>
                </w:tcPr>
                <w:p>
                  <w:pPr>
                    <w:pStyle w:val="83"/>
                    <w:keepNext w:val="0"/>
                    <w:topLinePunct/>
                    <w:adjustRightInd/>
                    <w:ind w:left="0" w:leftChars="0" w:right="0" w:rightChars="0"/>
                    <w:textAlignment w:val="center"/>
                    <w:rPr>
                      <w:rFonts w:cs="Times New Roman"/>
                      <w:kern w:val="2"/>
                      <w:sz w:val="21"/>
                      <w:szCs w:val="21"/>
                    </w:rPr>
                  </w:pPr>
                </w:p>
              </w:tc>
              <w:tc>
                <w:tcPr>
                  <w:tcW w:w="1197"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道路系统</w:t>
                  </w:r>
                </w:p>
              </w:tc>
              <w:tc>
                <w:tcPr>
                  <w:tcW w:w="3565"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运输时造成的路面碾压以及扬尘</w:t>
                  </w:r>
                </w:p>
              </w:tc>
              <w:tc>
                <w:tcPr>
                  <w:tcW w:w="2951" w:type="dxa"/>
                  <w:vAlign w:val="center"/>
                </w:tcPr>
                <w:p>
                  <w:pPr>
                    <w:pStyle w:val="83"/>
                    <w:keepNext w:val="0"/>
                    <w:topLinePunct/>
                    <w:adjustRightInd/>
                    <w:ind w:left="0" w:leftChars="0" w:right="0" w:rightChars="0"/>
                    <w:textAlignment w:val="center"/>
                    <w:rPr>
                      <w:rFonts w:cs="Times New Roman"/>
                      <w:kern w:val="2"/>
                      <w:sz w:val="21"/>
                      <w:szCs w:val="21"/>
                    </w:rPr>
                  </w:pPr>
                  <w:r>
                    <w:rPr>
                      <w:rFonts w:hint="eastAsia" w:cs="Times New Roman"/>
                      <w:kern w:val="2"/>
                      <w:sz w:val="21"/>
                      <w:szCs w:val="21"/>
                    </w:rPr>
                    <w:t>风蚀、水蚀</w:t>
                  </w:r>
                </w:p>
              </w:tc>
            </w:tr>
          </w:tbl>
          <w:p>
            <w:pPr>
              <w:ind w:firstLine="420" w:firstLineChars="200"/>
              <w:rPr>
                <w:rFonts w:hAnsi="宋体"/>
              </w:rPr>
            </w:pPr>
          </w:p>
          <w:p>
            <w:pPr>
              <w:spacing w:line="360" w:lineRule="auto"/>
              <w:ind w:firstLine="480" w:firstLineChars="200"/>
              <w:rPr>
                <w:rFonts w:ascii="宋体" w:hAnsi="宋体"/>
                <w:sz w:val="24"/>
              </w:rPr>
            </w:pPr>
            <w:r>
              <w:rPr>
                <w:rFonts w:hint="eastAsia" w:ascii="宋体" w:hAnsi="宋体"/>
                <w:sz w:val="24"/>
              </w:rPr>
              <w:t>矿区的开发建设活动不可避免地将破坏现有自然植被和土地资源，导致土壤肥力明显下降，水土流失危害程度显著增强。</w:t>
            </w:r>
          </w:p>
          <w:p>
            <w:pPr>
              <w:spacing w:line="360" w:lineRule="auto"/>
              <w:ind w:firstLine="480" w:firstLineChars="200"/>
              <w:rPr>
                <w:rFonts w:ascii="宋体" w:hAnsi="宋体"/>
                <w:sz w:val="24"/>
              </w:rPr>
            </w:pPr>
            <w:r>
              <w:rPr>
                <w:rFonts w:hint="eastAsia" w:ascii="宋体" w:hAnsi="宋体"/>
                <w:sz w:val="24"/>
              </w:rPr>
              <w:t>项目运营过程中，随着土地复垦、生态恢复工程的实施，土壤侵蚀过程将基本得到控制。</w:t>
            </w:r>
          </w:p>
          <w:p>
            <w:pPr>
              <w:spacing w:line="360" w:lineRule="auto"/>
              <w:ind w:firstLine="480" w:firstLineChars="200"/>
              <w:rPr>
                <w:rFonts w:ascii="宋体" w:hAnsi="宋体"/>
                <w:sz w:val="24"/>
              </w:rPr>
            </w:pPr>
            <w:r>
              <w:rPr>
                <w:rFonts w:hint="eastAsia" w:ascii="宋体" w:hAnsi="宋体"/>
                <w:sz w:val="24"/>
              </w:rPr>
              <w:t>矿区的开发建设活动将不可避免地破坏现有自然植被的土地资源，露天采区的开挖破坏、排土场的设置、附属建筑物以及道路的建设将新增大量的水土流失，导致水土流失危害程度显著增强，矿区生态环境恶化。矿区经过不断的生态建设、水土保持和土地复垦生态建设工作后，土壤侵蚀将会大为减少，水土流失得到控制。</w:t>
            </w:r>
          </w:p>
          <w:p>
            <w:pPr>
              <w:pStyle w:val="47"/>
              <w:ind w:firstLine="480"/>
              <w:rPr>
                <w:color w:val="auto"/>
              </w:rPr>
            </w:pPr>
            <w:r>
              <w:rPr>
                <w:rFonts w:hint="eastAsia"/>
                <w:color w:val="auto"/>
              </w:rPr>
              <w:t>7）排土场生态影响分析</w:t>
            </w:r>
          </w:p>
          <w:p>
            <w:pPr>
              <w:spacing w:line="360" w:lineRule="auto"/>
              <w:ind w:firstLine="480" w:firstLineChars="200"/>
              <w:rPr>
                <w:rFonts w:ascii="宋体" w:hAnsi="宋体"/>
                <w:sz w:val="24"/>
              </w:rPr>
            </w:pPr>
            <w:r>
              <w:rPr>
                <w:rFonts w:hint="eastAsia"/>
                <w:kern w:val="1"/>
                <w:sz w:val="24"/>
              </w:rPr>
              <w:t>项目不设置外排土场，仅在露天二采区内废弃采坑内设置表土单独存放场，</w:t>
            </w:r>
            <w:r>
              <w:rPr>
                <w:rFonts w:hint="eastAsia" w:ascii="宋体" w:hAnsi="宋体"/>
                <w:sz w:val="24"/>
              </w:rPr>
              <w:t>占地面积约</w:t>
            </w:r>
            <w:r>
              <w:rPr>
                <w:rFonts w:hint="eastAsia"/>
                <w:sz w:val="24"/>
              </w:rPr>
              <w:t>0.6hm</w:t>
            </w:r>
            <w:r>
              <w:rPr>
                <w:rFonts w:hint="eastAsia"/>
                <w:sz w:val="24"/>
                <w:vertAlign w:val="superscript"/>
              </w:rPr>
              <w:t>2</w:t>
            </w:r>
            <w:r>
              <w:rPr>
                <w:rFonts w:hint="eastAsia" w:ascii="宋体" w:hAnsi="宋体"/>
                <w:sz w:val="24"/>
              </w:rPr>
              <w:t>。由于剥离物的排弃，增加了矿区的水土流失量。排土场是人工巨型松散岩土堆积体，平台岩土由大型机械分层压实，而边坡自然堆积岩土松散。排土场范围内原地貌、土壤、植被全被压埋其下。排土场非均匀沉降明显，多裂缝和陷穴，暴雨造成排土场剧烈的水土流失，由于径流的汇集灌缝，还可加剧沉陷并引起滑坡。因此成为矿区水土流失的最主要源地，属于重点治理区域。该区水土流失治理主要是通过分散径流、土地整治措施和复垦绿化措施控制平台沉陷、斜坡水蚀、风力侵蚀和重力侵蚀，最终达到恢复植被的目的。随着排土场生态恢复措施的逐步实施，水土流失影响将随之降低。</w:t>
            </w:r>
          </w:p>
          <w:p>
            <w:pPr>
              <w:pStyle w:val="47"/>
              <w:ind w:firstLine="480"/>
              <w:rPr>
                <w:color w:val="auto"/>
              </w:rPr>
            </w:pPr>
            <w:r>
              <w:rPr>
                <w:rFonts w:hint="eastAsia" w:ascii="宋体" w:hAnsi="宋体"/>
                <w:color w:val="auto"/>
              </w:rPr>
              <w:t>8）</w:t>
            </w:r>
            <w:r>
              <w:rPr>
                <w:rFonts w:hint="eastAsia"/>
                <w:color w:val="auto"/>
              </w:rPr>
              <w:t>生态系统完整性分析</w:t>
            </w:r>
          </w:p>
          <w:p>
            <w:pPr>
              <w:spacing w:line="360" w:lineRule="auto"/>
              <w:ind w:firstLine="480" w:firstLineChars="200"/>
              <w:rPr>
                <w:kern w:val="1"/>
                <w:sz w:val="24"/>
              </w:rPr>
            </w:pPr>
            <w:r>
              <w:rPr>
                <w:rFonts w:hint="eastAsia"/>
                <w:kern w:val="1"/>
                <w:sz w:val="24"/>
              </w:rPr>
              <w:t>矿区建设后原来地貌发生了变化，在部分排土场和其它废弃地区域开展生态重建工程形成新的人工生态系统，代替了原来生态系统，使生态系统的组成和结构发生了根本变化。原来处于相对脆弱的系统结构，被人工生态系统和自然恢复的生态系统代替，生态系统更加趋于多样，生态系统控制土壤侵蚀的功能得到有效发挥。</w:t>
            </w:r>
          </w:p>
          <w:p>
            <w:pPr>
              <w:spacing w:line="360" w:lineRule="auto"/>
              <w:ind w:firstLine="480" w:firstLineChars="200"/>
              <w:rPr>
                <w:kern w:val="1"/>
                <w:sz w:val="24"/>
              </w:rPr>
            </w:pPr>
            <w:r>
              <w:rPr>
                <w:rFonts w:hint="eastAsia"/>
                <w:kern w:val="1"/>
                <w:sz w:val="24"/>
              </w:rPr>
              <w:t>9）本项目生态监测计划表见下表。</w:t>
            </w:r>
          </w:p>
          <w:p>
            <w:pPr>
              <w:pStyle w:val="50"/>
              <w:numPr>
                <w:ilvl w:val="0"/>
                <w:numId w:val="2"/>
              </w:numPr>
              <w:snapToGrid w:val="0"/>
              <w:spacing w:line="240" w:lineRule="auto"/>
              <w:ind w:left="420" w:firstLineChars="0"/>
              <w:jc w:val="center"/>
              <w:rPr>
                <w:b/>
                <w:bCs/>
              </w:rPr>
            </w:pPr>
            <w:r>
              <w:rPr>
                <w:rFonts w:hint="eastAsia"/>
                <w:b/>
                <w:bCs/>
              </w:rPr>
              <w:t>本项目生态监测计划一栏表</w:t>
            </w:r>
          </w:p>
          <w:tbl>
            <w:tblPr>
              <w:tblStyle w:val="22"/>
              <w:tblW w:w="829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35"/>
              <w:gridCol w:w="2410"/>
              <w:gridCol w:w="2268"/>
              <w:gridCol w:w="851"/>
              <w:gridCol w:w="567"/>
              <w:gridCol w:w="567"/>
              <w:gridCol w:w="10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535" w:type="dxa"/>
                  <w:vAlign w:val="center"/>
                </w:tcPr>
                <w:p>
                  <w:pPr>
                    <w:pStyle w:val="33"/>
                    <w:spacing w:line="360" w:lineRule="exact"/>
                    <w:jc w:val="center"/>
                    <w:rPr>
                      <w:szCs w:val="21"/>
                    </w:rPr>
                  </w:pPr>
                  <w:r>
                    <w:rPr>
                      <w:rFonts w:hint="eastAsia"/>
                      <w:szCs w:val="21"/>
                    </w:rPr>
                    <w:t>序号</w:t>
                  </w:r>
                </w:p>
              </w:tc>
              <w:tc>
                <w:tcPr>
                  <w:tcW w:w="2410" w:type="dxa"/>
                  <w:vAlign w:val="center"/>
                </w:tcPr>
                <w:p>
                  <w:pPr>
                    <w:pStyle w:val="33"/>
                    <w:spacing w:line="360" w:lineRule="exact"/>
                    <w:jc w:val="center"/>
                    <w:rPr>
                      <w:szCs w:val="21"/>
                    </w:rPr>
                  </w:pPr>
                  <w:r>
                    <w:rPr>
                      <w:rFonts w:hint="eastAsia"/>
                      <w:szCs w:val="21"/>
                    </w:rPr>
                    <w:t>监测点位置</w:t>
                  </w:r>
                </w:p>
              </w:tc>
              <w:tc>
                <w:tcPr>
                  <w:tcW w:w="2268" w:type="dxa"/>
                  <w:shd w:val="clear" w:color="auto" w:fill="auto"/>
                  <w:vAlign w:val="center"/>
                </w:tcPr>
                <w:p>
                  <w:pPr>
                    <w:pStyle w:val="33"/>
                    <w:spacing w:line="360" w:lineRule="exact"/>
                    <w:jc w:val="center"/>
                    <w:rPr>
                      <w:szCs w:val="21"/>
                    </w:rPr>
                  </w:pPr>
                  <w:r>
                    <w:rPr>
                      <w:rFonts w:hint="eastAsia"/>
                      <w:szCs w:val="21"/>
                    </w:rPr>
                    <w:t>监测内容</w:t>
                  </w:r>
                </w:p>
              </w:tc>
              <w:tc>
                <w:tcPr>
                  <w:tcW w:w="851" w:type="dxa"/>
                  <w:shd w:val="clear" w:color="auto" w:fill="auto"/>
                  <w:vAlign w:val="center"/>
                </w:tcPr>
                <w:p>
                  <w:pPr>
                    <w:pStyle w:val="33"/>
                    <w:spacing w:line="360" w:lineRule="exact"/>
                    <w:jc w:val="center"/>
                    <w:rPr>
                      <w:szCs w:val="21"/>
                    </w:rPr>
                  </w:pPr>
                  <w:r>
                    <w:rPr>
                      <w:rFonts w:hint="eastAsia"/>
                      <w:szCs w:val="21"/>
                    </w:rPr>
                    <w:t>监测点类型</w:t>
                  </w:r>
                </w:p>
              </w:tc>
              <w:tc>
                <w:tcPr>
                  <w:tcW w:w="567" w:type="dxa"/>
                  <w:shd w:val="clear" w:color="auto" w:fill="auto"/>
                  <w:vAlign w:val="center"/>
                </w:tcPr>
                <w:p>
                  <w:pPr>
                    <w:pStyle w:val="33"/>
                    <w:spacing w:line="360" w:lineRule="exact"/>
                    <w:jc w:val="center"/>
                    <w:rPr>
                      <w:szCs w:val="21"/>
                    </w:rPr>
                  </w:pPr>
                  <w:r>
                    <w:rPr>
                      <w:rFonts w:hint="eastAsia"/>
                      <w:szCs w:val="21"/>
                    </w:rPr>
                    <w:t>监测点数量</w:t>
                  </w:r>
                </w:p>
              </w:tc>
              <w:tc>
                <w:tcPr>
                  <w:tcW w:w="567" w:type="dxa"/>
                  <w:shd w:val="clear" w:color="auto" w:fill="auto"/>
                  <w:vAlign w:val="center"/>
                </w:tcPr>
                <w:p>
                  <w:pPr>
                    <w:pStyle w:val="33"/>
                    <w:spacing w:line="360" w:lineRule="exact"/>
                    <w:jc w:val="center"/>
                    <w:rPr>
                      <w:szCs w:val="21"/>
                    </w:rPr>
                  </w:pPr>
                  <w:r>
                    <w:rPr>
                      <w:rFonts w:hint="eastAsia"/>
                      <w:szCs w:val="21"/>
                    </w:rPr>
                    <w:t>监测频率</w:t>
                  </w:r>
                </w:p>
              </w:tc>
              <w:tc>
                <w:tcPr>
                  <w:tcW w:w="1095" w:type="dxa"/>
                  <w:shd w:val="clear" w:color="auto" w:fill="auto"/>
                  <w:vAlign w:val="center"/>
                </w:tcPr>
                <w:p>
                  <w:pPr>
                    <w:pStyle w:val="33"/>
                    <w:spacing w:line="360" w:lineRule="exact"/>
                    <w:jc w:val="center"/>
                    <w:rPr>
                      <w:szCs w:val="21"/>
                    </w:rPr>
                  </w:pPr>
                  <w:r>
                    <w:rPr>
                      <w:rFonts w:hint="eastAsia"/>
                      <w:szCs w:val="21"/>
                    </w:rPr>
                    <w:t>方案适用期内监测工</w:t>
                  </w:r>
                </w:p>
                <w:p>
                  <w:pPr>
                    <w:pStyle w:val="33"/>
                    <w:spacing w:line="360" w:lineRule="exact"/>
                    <w:jc w:val="center"/>
                    <w:rPr>
                      <w:szCs w:val="21"/>
                    </w:rPr>
                  </w:pPr>
                  <w:r>
                    <w:rPr>
                      <w:rFonts w:hint="eastAsia"/>
                      <w:szCs w:val="21"/>
                    </w:rPr>
                    <w:t>程量（次）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535" w:type="dxa"/>
                  <w:vMerge w:val="restart"/>
                  <w:vAlign w:val="center"/>
                </w:tcPr>
                <w:p>
                  <w:pPr>
                    <w:pStyle w:val="33"/>
                    <w:spacing w:line="360" w:lineRule="exact"/>
                    <w:jc w:val="center"/>
                    <w:rPr>
                      <w:szCs w:val="21"/>
                    </w:rPr>
                  </w:pPr>
                  <w:r>
                    <w:rPr>
                      <w:rFonts w:hint="eastAsia"/>
                      <w:szCs w:val="21"/>
                    </w:rPr>
                    <w:t>1</w:t>
                  </w:r>
                </w:p>
              </w:tc>
              <w:tc>
                <w:tcPr>
                  <w:tcW w:w="2410" w:type="dxa"/>
                  <w:vMerge w:val="restart"/>
                  <w:vAlign w:val="center"/>
                </w:tcPr>
                <w:p>
                  <w:pPr>
                    <w:pStyle w:val="33"/>
                    <w:spacing w:line="360" w:lineRule="exact"/>
                    <w:jc w:val="center"/>
                    <w:rPr>
                      <w:szCs w:val="21"/>
                    </w:rPr>
                  </w:pPr>
                  <w:r>
                    <w:rPr>
                      <w:rFonts w:hint="eastAsia"/>
                      <w:szCs w:val="21"/>
                    </w:rPr>
                    <w:t>在塌陷区移动带范围内，地面设置钢桩的方法，布</w:t>
                  </w:r>
                  <w:r>
                    <w:rPr>
                      <w:szCs w:val="21"/>
                    </w:rPr>
                    <w:t>5</w:t>
                  </w:r>
                  <w:r>
                    <w:rPr>
                      <w:rFonts w:hint="eastAsia"/>
                      <w:szCs w:val="21"/>
                    </w:rPr>
                    <w:t>个地面水准监测点（Ⅱ等精度）。主要布设在预测塌陷区的四周及中间</w:t>
                  </w:r>
                </w:p>
              </w:tc>
              <w:tc>
                <w:tcPr>
                  <w:tcW w:w="2268" w:type="dxa"/>
                  <w:vMerge w:val="restart"/>
                  <w:shd w:val="clear" w:color="auto" w:fill="auto"/>
                  <w:vAlign w:val="center"/>
                </w:tcPr>
                <w:p>
                  <w:pPr>
                    <w:pStyle w:val="33"/>
                    <w:spacing w:line="360" w:lineRule="exact"/>
                    <w:jc w:val="center"/>
                    <w:rPr>
                      <w:szCs w:val="21"/>
                    </w:rPr>
                  </w:pPr>
                  <w:r>
                    <w:rPr>
                      <w:rFonts w:hint="eastAsia"/>
                      <w:szCs w:val="21"/>
                    </w:rPr>
                    <w:t>地面塌陷及地裂缝监测（地面塌陷坑的立体形态、塌陷面积、深度、积水情况和土地的变形情况）</w:t>
                  </w:r>
                </w:p>
              </w:tc>
              <w:tc>
                <w:tcPr>
                  <w:tcW w:w="851" w:type="dxa"/>
                  <w:shd w:val="clear" w:color="auto" w:fill="auto"/>
                  <w:vAlign w:val="center"/>
                </w:tcPr>
                <w:p>
                  <w:pPr>
                    <w:pStyle w:val="33"/>
                    <w:spacing w:line="360" w:lineRule="exact"/>
                    <w:jc w:val="center"/>
                    <w:rPr>
                      <w:szCs w:val="21"/>
                    </w:rPr>
                  </w:pPr>
                  <w:r>
                    <w:rPr>
                      <w:rFonts w:hint="eastAsia"/>
                      <w:szCs w:val="21"/>
                    </w:rPr>
                    <w:t>专业监测点</w:t>
                  </w:r>
                </w:p>
              </w:tc>
              <w:tc>
                <w:tcPr>
                  <w:tcW w:w="567" w:type="dxa"/>
                  <w:shd w:val="clear" w:color="auto" w:fill="auto"/>
                  <w:vAlign w:val="center"/>
                </w:tcPr>
                <w:p>
                  <w:pPr>
                    <w:pStyle w:val="33"/>
                    <w:spacing w:line="360" w:lineRule="exact"/>
                    <w:jc w:val="center"/>
                    <w:rPr>
                      <w:szCs w:val="21"/>
                    </w:rPr>
                  </w:pPr>
                  <w:r>
                    <w:rPr>
                      <w:szCs w:val="21"/>
                    </w:rPr>
                    <w:t>1</w:t>
                  </w:r>
                </w:p>
              </w:tc>
              <w:tc>
                <w:tcPr>
                  <w:tcW w:w="567" w:type="dxa"/>
                  <w:shd w:val="clear" w:color="auto" w:fill="auto"/>
                  <w:vAlign w:val="center"/>
                </w:tcPr>
                <w:p>
                  <w:pPr>
                    <w:pStyle w:val="33"/>
                    <w:spacing w:line="360" w:lineRule="exact"/>
                    <w:jc w:val="center"/>
                    <w:rPr>
                      <w:szCs w:val="21"/>
                    </w:rPr>
                  </w:pPr>
                  <w:r>
                    <w:rPr>
                      <w:szCs w:val="21"/>
                    </w:rPr>
                    <w:t xml:space="preserve">2 </w:t>
                  </w:r>
                  <w:r>
                    <w:rPr>
                      <w:rFonts w:hint="eastAsia"/>
                      <w:szCs w:val="21"/>
                    </w:rPr>
                    <w:t>次</w:t>
                  </w:r>
                  <w:r>
                    <w:rPr>
                      <w:szCs w:val="21"/>
                    </w:rPr>
                    <w:t>/</w:t>
                  </w:r>
                  <w:r>
                    <w:rPr>
                      <w:rFonts w:hint="eastAsia"/>
                      <w:szCs w:val="21"/>
                    </w:rPr>
                    <w:t>年</w:t>
                  </w:r>
                </w:p>
              </w:tc>
              <w:tc>
                <w:tcPr>
                  <w:tcW w:w="1095" w:type="dxa"/>
                  <w:shd w:val="clear" w:color="auto" w:fill="auto"/>
                  <w:vAlign w:val="center"/>
                </w:tcPr>
                <w:p>
                  <w:pPr>
                    <w:pStyle w:val="33"/>
                    <w:spacing w:line="360" w:lineRule="exact"/>
                    <w:jc w:val="center"/>
                    <w:rPr>
                      <w:szCs w:val="21"/>
                    </w:rPr>
                  </w:pPr>
                  <w:r>
                    <w:rPr>
                      <w:szCs w:val="21"/>
                    </w:rPr>
                    <w:t>132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1" w:hRule="atLeast"/>
                <w:jc w:val="center"/>
              </w:trPr>
              <w:tc>
                <w:tcPr>
                  <w:tcW w:w="535" w:type="dxa"/>
                  <w:vMerge w:val="continue"/>
                  <w:vAlign w:val="center"/>
                </w:tcPr>
                <w:p>
                  <w:pPr>
                    <w:widowControl/>
                    <w:spacing w:line="360" w:lineRule="exact"/>
                    <w:jc w:val="center"/>
                    <w:rPr>
                      <w:szCs w:val="21"/>
                    </w:rPr>
                  </w:pPr>
                </w:p>
              </w:tc>
              <w:tc>
                <w:tcPr>
                  <w:tcW w:w="2410" w:type="dxa"/>
                  <w:vMerge w:val="continue"/>
                  <w:vAlign w:val="center"/>
                </w:tcPr>
                <w:p>
                  <w:pPr>
                    <w:widowControl/>
                    <w:spacing w:line="360" w:lineRule="exact"/>
                    <w:jc w:val="center"/>
                    <w:rPr>
                      <w:szCs w:val="21"/>
                    </w:rPr>
                  </w:pPr>
                </w:p>
              </w:tc>
              <w:tc>
                <w:tcPr>
                  <w:tcW w:w="2268" w:type="dxa"/>
                  <w:vMerge w:val="continue"/>
                  <w:shd w:val="clear" w:color="auto" w:fill="auto"/>
                  <w:vAlign w:val="center"/>
                </w:tcPr>
                <w:p>
                  <w:pPr>
                    <w:widowControl/>
                    <w:spacing w:line="360" w:lineRule="exact"/>
                    <w:jc w:val="center"/>
                    <w:rPr>
                      <w:szCs w:val="21"/>
                    </w:rPr>
                  </w:pPr>
                </w:p>
              </w:tc>
              <w:tc>
                <w:tcPr>
                  <w:tcW w:w="851" w:type="dxa"/>
                  <w:shd w:val="clear" w:color="auto" w:fill="auto"/>
                  <w:vAlign w:val="center"/>
                </w:tcPr>
                <w:p>
                  <w:pPr>
                    <w:pStyle w:val="33"/>
                    <w:spacing w:line="360" w:lineRule="exact"/>
                    <w:jc w:val="center"/>
                    <w:rPr>
                      <w:szCs w:val="21"/>
                    </w:rPr>
                  </w:pPr>
                  <w:r>
                    <w:rPr>
                      <w:rFonts w:hint="eastAsia"/>
                      <w:szCs w:val="21"/>
                    </w:rPr>
                    <w:t>简易专业点</w:t>
                  </w:r>
                </w:p>
              </w:tc>
              <w:tc>
                <w:tcPr>
                  <w:tcW w:w="567" w:type="dxa"/>
                  <w:shd w:val="clear" w:color="auto" w:fill="auto"/>
                  <w:vAlign w:val="center"/>
                </w:tcPr>
                <w:p>
                  <w:pPr>
                    <w:pStyle w:val="33"/>
                    <w:spacing w:line="360" w:lineRule="exact"/>
                    <w:jc w:val="center"/>
                    <w:rPr>
                      <w:szCs w:val="21"/>
                    </w:rPr>
                  </w:pPr>
                  <w:r>
                    <w:rPr>
                      <w:szCs w:val="21"/>
                    </w:rPr>
                    <w:t>4</w:t>
                  </w:r>
                </w:p>
              </w:tc>
              <w:tc>
                <w:tcPr>
                  <w:tcW w:w="567" w:type="dxa"/>
                  <w:shd w:val="clear" w:color="auto" w:fill="auto"/>
                  <w:vAlign w:val="center"/>
                </w:tcPr>
                <w:p>
                  <w:pPr>
                    <w:pStyle w:val="33"/>
                    <w:spacing w:line="360" w:lineRule="exact"/>
                    <w:jc w:val="center"/>
                    <w:rPr>
                      <w:szCs w:val="21"/>
                    </w:rPr>
                  </w:pPr>
                  <w:r>
                    <w:rPr>
                      <w:szCs w:val="21"/>
                    </w:rPr>
                    <w:t>1</w:t>
                  </w:r>
                  <w:r>
                    <w:rPr>
                      <w:rFonts w:hint="eastAsia"/>
                      <w:szCs w:val="21"/>
                    </w:rPr>
                    <w:t>次</w:t>
                  </w:r>
                  <w:r>
                    <w:rPr>
                      <w:szCs w:val="21"/>
                    </w:rPr>
                    <w:t>/</w:t>
                  </w:r>
                  <w:r>
                    <w:rPr>
                      <w:rFonts w:hint="eastAsia"/>
                      <w:szCs w:val="21"/>
                    </w:rPr>
                    <w:t>月</w:t>
                  </w:r>
                </w:p>
              </w:tc>
              <w:tc>
                <w:tcPr>
                  <w:tcW w:w="1095" w:type="dxa"/>
                  <w:shd w:val="clear" w:color="auto" w:fill="auto"/>
                  <w:vAlign w:val="center"/>
                </w:tcPr>
                <w:p>
                  <w:pPr>
                    <w:pStyle w:val="33"/>
                    <w:spacing w:line="360" w:lineRule="exact"/>
                    <w:jc w:val="center"/>
                    <w:rPr>
                      <w:szCs w:val="21"/>
                    </w:rPr>
                  </w:pPr>
                  <w:r>
                    <w:rPr>
                      <w:szCs w:val="21"/>
                    </w:rPr>
                    <w:t>3188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535" w:type="dxa"/>
                  <w:vAlign w:val="center"/>
                </w:tcPr>
                <w:p>
                  <w:pPr>
                    <w:pStyle w:val="33"/>
                    <w:spacing w:line="360" w:lineRule="exact"/>
                    <w:jc w:val="center"/>
                    <w:rPr>
                      <w:szCs w:val="21"/>
                    </w:rPr>
                  </w:pPr>
                  <w:r>
                    <w:rPr>
                      <w:rFonts w:hint="eastAsia"/>
                      <w:szCs w:val="21"/>
                    </w:rPr>
                    <w:t>2</w:t>
                  </w:r>
                </w:p>
              </w:tc>
              <w:tc>
                <w:tcPr>
                  <w:tcW w:w="2410" w:type="dxa"/>
                  <w:vAlign w:val="center"/>
                </w:tcPr>
                <w:p>
                  <w:pPr>
                    <w:pStyle w:val="33"/>
                    <w:spacing w:line="360" w:lineRule="exact"/>
                    <w:jc w:val="center"/>
                    <w:rPr>
                      <w:szCs w:val="21"/>
                    </w:rPr>
                  </w:pPr>
                  <w:r>
                    <w:rPr>
                      <w:rFonts w:hint="eastAsia"/>
                      <w:szCs w:val="21"/>
                    </w:rPr>
                    <w:t>在露天采场设置3个监测点，工业场地和矿山道路</w:t>
                  </w:r>
                </w:p>
                <w:p>
                  <w:pPr>
                    <w:pStyle w:val="33"/>
                    <w:spacing w:line="360" w:lineRule="exact"/>
                    <w:jc w:val="center"/>
                    <w:rPr>
                      <w:szCs w:val="21"/>
                    </w:rPr>
                  </w:pPr>
                  <w:r>
                    <w:rPr>
                      <w:rFonts w:hint="eastAsia"/>
                      <w:szCs w:val="21"/>
                    </w:rPr>
                    <w:t>各布置1个监测点，共计5个简易监测点。</w:t>
                  </w:r>
                </w:p>
              </w:tc>
              <w:tc>
                <w:tcPr>
                  <w:tcW w:w="2268" w:type="dxa"/>
                  <w:shd w:val="clear" w:color="auto" w:fill="auto"/>
                  <w:vAlign w:val="center"/>
                </w:tcPr>
                <w:p>
                  <w:pPr>
                    <w:pStyle w:val="33"/>
                    <w:spacing w:line="360" w:lineRule="exact"/>
                    <w:jc w:val="center"/>
                    <w:rPr>
                      <w:szCs w:val="21"/>
                    </w:rPr>
                  </w:pPr>
                  <w:r>
                    <w:rPr>
                      <w:rFonts w:hint="eastAsia"/>
                      <w:szCs w:val="21"/>
                    </w:rPr>
                    <w:t>地形地貌与土地资源监测（监测露天采场、工业场地、矿山道路等挖损和压占土地的类型和面积）</w:t>
                  </w:r>
                </w:p>
              </w:tc>
              <w:tc>
                <w:tcPr>
                  <w:tcW w:w="851" w:type="dxa"/>
                  <w:shd w:val="clear" w:color="auto" w:fill="auto"/>
                  <w:vAlign w:val="center"/>
                </w:tcPr>
                <w:p>
                  <w:pPr>
                    <w:pStyle w:val="33"/>
                    <w:spacing w:line="360" w:lineRule="exact"/>
                    <w:jc w:val="center"/>
                    <w:rPr>
                      <w:szCs w:val="21"/>
                    </w:rPr>
                  </w:pPr>
                  <w:r>
                    <w:rPr>
                      <w:rFonts w:hint="eastAsia"/>
                      <w:szCs w:val="21"/>
                    </w:rPr>
                    <w:t>简易专业点</w:t>
                  </w:r>
                </w:p>
              </w:tc>
              <w:tc>
                <w:tcPr>
                  <w:tcW w:w="567" w:type="dxa"/>
                  <w:shd w:val="clear" w:color="auto" w:fill="auto"/>
                  <w:vAlign w:val="center"/>
                </w:tcPr>
                <w:p>
                  <w:pPr>
                    <w:pStyle w:val="33"/>
                    <w:spacing w:line="360" w:lineRule="exact"/>
                    <w:jc w:val="center"/>
                    <w:rPr>
                      <w:szCs w:val="21"/>
                    </w:rPr>
                  </w:pPr>
                  <w:r>
                    <w:rPr>
                      <w:szCs w:val="21"/>
                    </w:rPr>
                    <w:t>5</w:t>
                  </w:r>
                </w:p>
              </w:tc>
              <w:tc>
                <w:tcPr>
                  <w:tcW w:w="567" w:type="dxa"/>
                  <w:shd w:val="clear" w:color="auto" w:fill="auto"/>
                  <w:vAlign w:val="center"/>
                </w:tcPr>
                <w:p>
                  <w:pPr>
                    <w:pStyle w:val="33"/>
                    <w:spacing w:line="360" w:lineRule="exact"/>
                    <w:jc w:val="center"/>
                    <w:rPr>
                      <w:szCs w:val="21"/>
                    </w:rPr>
                  </w:pPr>
                  <w:r>
                    <w:rPr>
                      <w:szCs w:val="21"/>
                    </w:rPr>
                    <w:t>2</w:t>
                  </w:r>
                  <w:r>
                    <w:rPr>
                      <w:rFonts w:hint="eastAsia"/>
                      <w:szCs w:val="21"/>
                    </w:rPr>
                    <w:t>次</w:t>
                  </w:r>
                  <w:r>
                    <w:rPr>
                      <w:szCs w:val="21"/>
                    </w:rPr>
                    <w:t>/</w:t>
                  </w:r>
                  <w:r>
                    <w:rPr>
                      <w:rFonts w:hint="eastAsia"/>
                      <w:szCs w:val="21"/>
                    </w:rPr>
                    <w:t>年</w:t>
                  </w:r>
                </w:p>
              </w:tc>
              <w:tc>
                <w:tcPr>
                  <w:tcW w:w="1095" w:type="dxa"/>
                  <w:shd w:val="clear" w:color="auto" w:fill="auto"/>
                  <w:vAlign w:val="center"/>
                </w:tcPr>
                <w:p>
                  <w:pPr>
                    <w:pStyle w:val="33"/>
                    <w:spacing w:line="360" w:lineRule="exact"/>
                    <w:jc w:val="center"/>
                    <w:rPr>
                      <w:szCs w:val="21"/>
                    </w:rPr>
                  </w:pPr>
                  <w:r>
                    <w:rPr>
                      <w:szCs w:val="21"/>
                    </w:rPr>
                    <w:t>664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535" w:type="dxa"/>
                  <w:vMerge w:val="restart"/>
                  <w:vAlign w:val="center"/>
                </w:tcPr>
                <w:p>
                  <w:pPr>
                    <w:pStyle w:val="33"/>
                    <w:spacing w:line="360" w:lineRule="exact"/>
                    <w:jc w:val="center"/>
                    <w:rPr>
                      <w:szCs w:val="21"/>
                    </w:rPr>
                  </w:pPr>
                  <w:r>
                    <w:rPr>
                      <w:rFonts w:hint="eastAsia"/>
                      <w:szCs w:val="21"/>
                    </w:rPr>
                    <w:t>3</w:t>
                  </w:r>
                </w:p>
              </w:tc>
              <w:tc>
                <w:tcPr>
                  <w:tcW w:w="2410" w:type="dxa"/>
                  <w:vMerge w:val="restart"/>
                  <w:vAlign w:val="center"/>
                </w:tcPr>
                <w:p>
                  <w:pPr>
                    <w:pStyle w:val="33"/>
                    <w:spacing w:line="360" w:lineRule="exact"/>
                    <w:jc w:val="center"/>
                    <w:rPr>
                      <w:szCs w:val="21"/>
                    </w:rPr>
                  </w:pPr>
                  <w:r>
                    <w:rPr>
                      <w:rFonts w:hint="eastAsia"/>
                      <w:szCs w:val="21"/>
                    </w:rPr>
                    <w:t>共布设1</w:t>
                  </w:r>
                  <w:r>
                    <w:rPr>
                      <w:szCs w:val="21"/>
                    </w:rPr>
                    <w:t>0</w:t>
                  </w:r>
                  <w:r>
                    <w:rPr>
                      <w:rFonts w:hint="eastAsia"/>
                      <w:szCs w:val="21"/>
                    </w:rPr>
                    <w:t>个监测点，其中露天开采区设置4个监测点，工业场地、矿山道路各布设1个，露天开采区以外的预测塌陷区布设</w:t>
                  </w:r>
                  <w:r>
                    <w:rPr>
                      <w:szCs w:val="21"/>
                    </w:rPr>
                    <w:t>4</w:t>
                  </w:r>
                  <w:r>
                    <w:rPr>
                      <w:rFonts w:hint="eastAsia"/>
                      <w:szCs w:val="21"/>
                    </w:rPr>
                    <w:t>个监测点。</w:t>
                  </w:r>
                </w:p>
              </w:tc>
              <w:tc>
                <w:tcPr>
                  <w:tcW w:w="2268" w:type="dxa"/>
                  <w:shd w:val="clear" w:color="auto" w:fill="auto"/>
                  <w:vAlign w:val="center"/>
                </w:tcPr>
                <w:p>
                  <w:pPr>
                    <w:pStyle w:val="33"/>
                    <w:spacing w:line="360" w:lineRule="exact"/>
                    <w:jc w:val="center"/>
                    <w:rPr>
                      <w:szCs w:val="21"/>
                    </w:rPr>
                  </w:pPr>
                  <w:r>
                    <w:rPr>
                      <w:rFonts w:hint="eastAsia"/>
                      <w:szCs w:val="21"/>
                    </w:rPr>
                    <w:t>旱地复垦区监测内容耕地土壤质量监测、田间道路损毁监测；</w:t>
                  </w:r>
                </w:p>
              </w:tc>
              <w:tc>
                <w:tcPr>
                  <w:tcW w:w="851" w:type="dxa"/>
                  <w:shd w:val="clear" w:color="auto" w:fill="auto"/>
                  <w:vAlign w:val="center"/>
                </w:tcPr>
                <w:p>
                  <w:pPr>
                    <w:pStyle w:val="33"/>
                    <w:spacing w:line="360" w:lineRule="exact"/>
                    <w:jc w:val="center"/>
                    <w:rPr>
                      <w:szCs w:val="21"/>
                    </w:rPr>
                  </w:pPr>
                  <w:r>
                    <w:rPr>
                      <w:rFonts w:hint="eastAsia"/>
                      <w:szCs w:val="21"/>
                    </w:rPr>
                    <w:t>/</w:t>
                  </w:r>
                </w:p>
              </w:tc>
              <w:tc>
                <w:tcPr>
                  <w:tcW w:w="567" w:type="dxa"/>
                  <w:shd w:val="clear" w:color="auto" w:fill="auto"/>
                  <w:vAlign w:val="center"/>
                </w:tcPr>
                <w:p>
                  <w:pPr>
                    <w:pStyle w:val="33"/>
                    <w:spacing w:line="360" w:lineRule="exact"/>
                    <w:jc w:val="center"/>
                    <w:rPr>
                      <w:szCs w:val="21"/>
                    </w:rPr>
                  </w:pPr>
                  <w:r>
                    <w:rPr>
                      <w:szCs w:val="21"/>
                    </w:rPr>
                    <w:t>2</w:t>
                  </w:r>
                </w:p>
              </w:tc>
              <w:tc>
                <w:tcPr>
                  <w:tcW w:w="567" w:type="dxa"/>
                  <w:shd w:val="clear" w:color="auto" w:fill="auto"/>
                  <w:vAlign w:val="center"/>
                </w:tcPr>
                <w:p>
                  <w:pPr>
                    <w:pStyle w:val="33"/>
                    <w:spacing w:line="360" w:lineRule="exact"/>
                    <w:jc w:val="center"/>
                    <w:rPr>
                      <w:szCs w:val="21"/>
                    </w:rPr>
                  </w:pPr>
                  <w:r>
                    <w:rPr>
                      <w:szCs w:val="21"/>
                    </w:rPr>
                    <w:t xml:space="preserve">1 </w:t>
                  </w:r>
                  <w:r>
                    <w:rPr>
                      <w:rFonts w:hint="eastAsia" w:ascii="宋体" w:hAnsi="宋体"/>
                      <w:szCs w:val="21"/>
                    </w:rPr>
                    <w:t>次</w:t>
                  </w:r>
                  <w:r>
                    <w:rPr>
                      <w:szCs w:val="21"/>
                    </w:rPr>
                    <w:t>/</w:t>
                  </w:r>
                  <w:r>
                    <w:rPr>
                      <w:rFonts w:hint="eastAsia" w:ascii="宋体" w:hAnsi="宋体"/>
                      <w:szCs w:val="21"/>
                    </w:rPr>
                    <w:t>年</w:t>
                  </w:r>
                </w:p>
              </w:tc>
              <w:tc>
                <w:tcPr>
                  <w:tcW w:w="1095" w:type="dxa"/>
                  <w:shd w:val="clear" w:color="auto" w:fill="auto"/>
                  <w:vAlign w:val="center"/>
                </w:tcPr>
                <w:p>
                  <w:pPr>
                    <w:pStyle w:val="33"/>
                    <w:spacing w:line="360" w:lineRule="exact"/>
                    <w:jc w:val="center"/>
                    <w:rPr>
                      <w:szCs w:val="21"/>
                    </w:rPr>
                  </w:pPr>
                  <w:r>
                    <w:rPr>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535" w:type="dxa"/>
                  <w:vMerge w:val="continue"/>
                  <w:vAlign w:val="center"/>
                </w:tcPr>
                <w:p>
                  <w:pPr>
                    <w:pStyle w:val="33"/>
                    <w:spacing w:line="360" w:lineRule="exact"/>
                    <w:jc w:val="center"/>
                    <w:rPr>
                      <w:szCs w:val="21"/>
                    </w:rPr>
                  </w:pPr>
                </w:p>
              </w:tc>
              <w:tc>
                <w:tcPr>
                  <w:tcW w:w="2410" w:type="dxa"/>
                  <w:vMerge w:val="continue"/>
                  <w:vAlign w:val="center"/>
                </w:tcPr>
                <w:p>
                  <w:pPr>
                    <w:pStyle w:val="33"/>
                    <w:spacing w:line="360" w:lineRule="exact"/>
                    <w:jc w:val="center"/>
                    <w:rPr>
                      <w:szCs w:val="21"/>
                    </w:rPr>
                  </w:pPr>
                </w:p>
              </w:tc>
              <w:tc>
                <w:tcPr>
                  <w:tcW w:w="2268" w:type="dxa"/>
                  <w:shd w:val="clear" w:color="auto" w:fill="auto"/>
                  <w:vAlign w:val="center"/>
                </w:tcPr>
                <w:p>
                  <w:pPr>
                    <w:pStyle w:val="33"/>
                    <w:spacing w:line="360" w:lineRule="exact"/>
                    <w:jc w:val="center"/>
                    <w:rPr>
                      <w:szCs w:val="21"/>
                    </w:rPr>
                  </w:pPr>
                  <w:r>
                    <w:rPr>
                      <w:rFonts w:hint="eastAsia"/>
                      <w:szCs w:val="21"/>
                    </w:rPr>
                    <w:t>草地复垦区对土地复垦责任范围内的植被生长状况进行监测，包括水土流失、土地损毁情况、土地复垦情况、植被成活率监测等。</w:t>
                  </w:r>
                </w:p>
              </w:tc>
              <w:tc>
                <w:tcPr>
                  <w:tcW w:w="851" w:type="dxa"/>
                  <w:shd w:val="clear" w:color="auto" w:fill="auto"/>
                  <w:vAlign w:val="center"/>
                </w:tcPr>
                <w:p>
                  <w:pPr>
                    <w:pStyle w:val="33"/>
                    <w:spacing w:line="360" w:lineRule="exact"/>
                    <w:jc w:val="center"/>
                    <w:rPr>
                      <w:szCs w:val="21"/>
                    </w:rPr>
                  </w:pPr>
                  <w:r>
                    <w:rPr>
                      <w:rFonts w:hint="eastAsia"/>
                      <w:szCs w:val="21"/>
                    </w:rPr>
                    <w:t>/</w:t>
                  </w:r>
                </w:p>
              </w:tc>
              <w:tc>
                <w:tcPr>
                  <w:tcW w:w="567" w:type="dxa"/>
                  <w:shd w:val="clear" w:color="auto" w:fill="auto"/>
                  <w:vAlign w:val="center"/>
                </w:tcPr>
                <w:p>
                  <w:pPr>
                    <w:pStyle w:val="33"/>
                    <w:spacing w:line="360" w:lineRule="exact"/>
                    <w:jc w:val="center"/>
                    <w:rPr>
                      <w:szCs w:val="21"/>
                    </w:rPr>
                  </w:pPr>
                  <w:r>
                    <w:rPr>
                      <w:rFonts w:hint="eastAsia" w:ascii="宋体" w:hAnsi="宋体"/>
                      <w:szCs w:val="21"/>
                    </w:rPr>
                    <w:t>人工巡查</w:t>
                  </w:r>
                </w:p>
              </w:tc>
              <w:tc>
                <w:tcPr>
                  <w:tcW w:w="567" w:type="dxa"/>
                  <w:shd w:val="clear" w:color="auto" w:fill="auto"/>
                  <w:vAlign w:val="center"/>
                </w:tcPr>
                <w:p>
                  <w:pPr>
                    <w:pStyle w:val="33"/>
                    <w:spacing w:line="360" w:lineRule="exact"/>
                    <w:jc w:val="center"/>
                    <w:rPr>
                      <w:szCs w:val="21"/>
                    </w:rPr>
                  </w:pPr>
                  <w:r>
                    <w:rPr>
                      <w:szCs w:val="21"/>
                    </w:rPr>
                    <w:t xml:space="preserve">1 </w:t>
                  </w:r>
                  <w:r>
                    <w:rPr>
                      <w:rFonts w:hint="eastAsia" w:ascii="宋体" w:hAnsi="宋体"/>
                      <w:szCs w:val="21"/>
                    </w:rPr>
                    <w:t>次</w:t>
                  </w:r>
                  <w:r>
                    <w:rPr>
                      <w:szCs w:val="21"/>
                    </w:rPr>
                    <w:t>/</w:t>
                  </w:r>
                  <w:r>
                    <w:rPr>
                      <w:rFonts w:hint="eastAsia" w:ascii="宋体" w:hAnsi="宋体"/>
                      <w:szCs w:val="21"/>
                    </w:rPr>
                    <w:t>年</w:t>
                  </w:r>
                </w:p>
              </w:tc>
              <w:tc>
                <w:tcPr>
                  <w:tcW w:w="1095" w:type="dxa"/>
                  <w:shd w:val="clear" w:color="auto" w:fill="auto"/>
                  <w:vAlign w:val="center"/>
                </w:tcPr>
                <w:p>
                  <w:pPr>
                    <w:pStyle w:val="33"/>
                    <w:spacing w:line="360" w:lineRule="exact"/>
                    <w:jc w:val="center"/>
                    <w:rPr>
                      <w:szCs w:val="21"/>
                    </w:rPr>
                  </w:pPr>
                  <w:r>
                    <w:rPr>
                      <w:szCs w:val="21"/>
                    </w:rPr>
                    <w:t>924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535" w:type="dxa"/>
                  <w:vMerge w:val="continue"/>
                  <w:vAlign w:val="center"/>
                </w:tcPr>
                <w:p>
                  <w:pPr>
                    <w:pStyle w:val="33"/>
                    <w:spacing w:line="360" w:lineRule="exact"/>
                    <w:jc w:val="center"/>
                    <w:rPr>
                      <w:szCs w:val="21"/>
                    </w:rPr>
                  </w:pPr>
                </w:p>
              </w:tc>
              <w:tc>
                <w:tcPr>
                  <w:tcW w:w="2410" w:type="dxa"/>
                  <w:vMerge w:val="continue"/>
                  <w:vAlign w:val="center"/>
                </w:tcPr>
                <w:p>
                  <w:pPr>
                    <w:pStyle w:val="33"/>
                    <w:spacing w:line="360" w:lineRule="exact"/>
                    <w:jc w:val="center"/>
                    <w:rPr>
                      <w:szCs w:val="21"/>
                    </w:rPr>
                  </w:pPr>
                </w:p>
              </w:tc>
              <w:tc>
                <w:tcPr>
                  <w:tcW w:w="2268" w:type="dxa"/>
                  <w:shd w:val="clear" w:color="auto" w:fill="auto"/>
                  <w:vAlign w:val="center"/>
                </w:tcPr>
                <w:p>
                  <w:pPr>
                    <w:pStyle w:val="33"/>
                    <w:spacing w:line="360" w:lineRule="exact"/>
                    <w:jc w:val="center"/>
                    <w:rPr>
                      <w:szCs w:val="21"/>
                    </w:rPr>
                  </w:pPr>
                  <w:r>
                    <w:rPr>
                      <w:rFonts w:hint="eastAsia"/>
                      <w:szCs w:val="21"/>
                    </w:rPr>
                    <w:t>其他复垦区监测</w:t>
                  </w:r>
                </w:p>
              </w:tc>
              <w:tc>
                <w:tcPr>
                  <w:tcW w:w="851" w:type="dxa"/>
                  <w:shd w:val="clear" w:color="auto" w:fill="auto"/>
                  <w:vAlign w:val="center"/>
                </w:tcPr>
                <w:p>
                  <w:pPr>
                    <w:pStyle w:val="33"/>
                    <w:spacing w:line="360" w:lineRule="exact"/>
                    <w:jc w:val="center"/>
                    <w:rPr>
                      <w:szCs w:val="21"/>
                    </w:rPr>
                  </w:pPr>
                  <w:r>
                    <w:rPr>
                      <w:rFonts w:hint="eastAsia"/>
                      <w:szCs w:val="21"/>
                    </w:rPr>
                    <w:t>/</w:t>
                  </w:r>
                </w:p>
              </w:tc>
              <w:tc>
                <w:tcPr>
                  <w:tcW w:w="567" w:type="dxa"/>
                  <w:shd w:val="clear" w:color="auto" w:fill="auto"/>
                  <w:vAlign w:val="center"/>
                </w:tcPr>
                <w:p>
                  <w:pPr>
                    <w:pStyle w:val="33"/>
                    <w:spacing w:line="360" w:lineRule="exact"/>
                    <w:jc w:val="center"/>
                    <w:rPr>
                      <w:szCs w:val="21"/>
                    </w:rPr>
                  </w:pPr>
                  <w:r>
                    <w:rPr>
                      <w:rFonts w:hint="eastAsia" w:ascii="宋体" w:hAnsi="宋体"/>
                      <w:szCs w:val="21"/>
                    </w:rPr>
                    <w:t>人工巡查</w:t>
                  </w:r>
                </w:p>
              </w:tc>
              <w:tc>
                <w:tcPr>
                  <w:tcW w:w="567" w:type="dxa"/>
                  <w:shd w:val="clear" w:color="auto" w:fill="auto"/>
                  <w:vAlign w:val="center"/>
                </w:tcPr>
                <w:p>
                  <w:pPr>
                    <w:pStyle w:val="33"/>
                    <w:spacing w:line="360" w:lineRule="exact"/>
                    <w:jc w:val="center"/>
                    <w:rPr>
                      <w:szCs w:val="21"/>
                    </w:rPr>
                  </w:pPr>
                  <w:r>
                    <w:rPr>
                      <w:szCs w:val="21"/>
                    </w:rPr>
                    <w:t xml:space="preserve">1 </w:t>
                  </w:r>
                  <w:r>
                    <w:rPr>
                      <w:rFonts w:hint="eastAsia" w:ascii="宋体" w:hAnsi="宋体"/>
                      <w:szCs w:val="21"/>
                    </w:rPr>
                    <w:t>次</w:t>
                  </w:r>
                  <w:r>
                    <w:rPr>
                      <w:szCs w:val="21"/>
                    </w:rPr>
                    <w:t>/</w:t>
                  </w:r>
                  <w:r>
                    <w:rPr>
                      <w:rFonts w:hint="eastAsia" w:ascii="宋体" w:hAnsi="宋体"/>
                      <w:szCs w:val="21"/>
                    </w:rPr>
                    <w:t>年</w:t>
                  </w:r>
                </w:p>
              </w:tc>
              <w:tc>
                <w:tcPr>
                  <w:tcW w:w="1095" w:type="dxa"/>
                  <w:shd w:val="clear" w:color="auto" w:fill="auto"/>
                  <w:vAlign w:val="center"/>
                </w:tcPr>
                <w:p>
                  <w:pPr>
                    <w:pStyle w:val="33"/>
                    <w:spacing w:line="360" w:lineRule="exact"/>
                    <w:jc w:val="center"/>
                    <w:rPr>
                      <w:szCs w:val="21"/>
                    </w:rPr>
                  </w:pPr>
                  <w:r>
                    <w:rPr>
                      <w:szCs w:val="21"/>
                    </w:rPr>
                    <w:t>924</w:t>
                  </w:r>
                </w:p>
              </w:tc>
            </w:tr>
          </w:tbl>
          <w:p>
            <w:pPr>
              <w:pStyle w:val="50"/>
              <w:ind w:firstLine="482"/>
              <w:rPr>
                <w:b/>
                <w:bCs/>
                <w:szCs w:val="24"/>
              </w:rPr>
            </w:pPr>
            <w:bookmarkStart w:id="11" w:name="_Toc367083849"/>
            <w:bookmarkEnd w:id="11"/>
            <w:r>
              <w:rPr>
                <w:rFonts w:hint="eastAsia"/>
                <w:b/>
                <w:bCs/>
                <w:szCs w:val="24"/>
              </w:rPr>
              <w:t>6、矿物外运交通影响分析</w:t>
            </w:r>
          </w:p>
          <w:p>
            <w:pPr>
              <w:tabs>
                <w:tab w:val="left" w:pos="4830"/>
              </w:tabs>
              <w:spacing w:line="360" w:lineRule="auto"/>
              <w:ind w:firstLine="480" w:firstLineChars="200"/>
              <w:rPr>
                <w:sz w:val="24"/>
              </w:rPr>
            </w:pPr>
            <w:r>
              <w:rPr>
                <w:rFonts w:hint="eastAsia"/>
                <w:sz w:val="24"/>
              </w:rPr>
              <w:t>本项目建成后产品外运量为550万t/a，车型以25t载重车辆为主，平均每年需外运220000辆次，折合733辆次/d。项目货运主干道矿山大道为新修建道路，主要是为沿线各类矿山服务，车流量整体较小，项目建成后虽然会对矿山大道增加一定的车辆负荷，但总体影响不大。因此本项目矿物外运产生的交通影响较小。</w:t>
            </w:r>
          </w:p>
          <w:p>
            <w:pPr>
              <w:pStyle w:val="50"/>
              <w:ind w:firstLine="482"/>
              <w:rPr>
                <w:b/>
                <w:bCs/>
                <w:szCs w:val="24"/>
              </w:rPr>
            </w:pPr>
            <w:r>
              <w:rPr>
                <w:rFonts w:hint="eastAsia"/>
                <w:b/>
                <w:bCs/>
                <w:szCs w:val="24"/>
              </w:rPr>
              <w:t>7、环境风险影响分析</w:t>
            </w:r>
          </w:p>
          <w:p>
            <w:pPr>
              <w:pStyle w:val="63"/>
              <w:ind w:firstLine="480"/>
              <w:rPr>
                <w:rFonts w:ascii="黑体" w:hAnsi="黑体" w:eastAsia="黑体"/>
                <w:bCs/>
                <w:szCs w:val="21"/>
              </w:rPr>
            </w:pPr>
            <w:r>
              <w:rPr>
                <w:rFonts w:hint="eastAsia" w:ascii="黑体" w:hAnsi="黑体" w:eastAsia="黑体"/>
              </w:rPr>
              <w:t>7.1建设项目风</w:t>
            </w:r>
            <w:r>
              <w:rPr>
                <w:rFonts w:hint="eastAsia" w:ascii="黑体" w:hAnsi="黑体" w:eastAsia="黑体"/>
                <w:bCs/>
                <w:szCs w:val="21"/>
              </w:rPr>
              <w:t>险源调查</w:t>
            </w:r>
          </w:p>
          <w:p>
            <w:pPr>
              <w:spacing w:line="480" w:lineRule="exact"/>
              <w:ind w:firstLine="480" w:firstLineChars="200"/>
              <w:jc w:val="left"/>
              <w:rPr>
                <w:sz w:val="24"/>
                <w:szCs w:val="22"/>
              </w:rPr>
            </w:pPr>
            <w:r>
              <w:rPr>
                <w:rFonts w:hint="eastAsia"/>
                <w:sz w:val="24"/>
                <w:szCs w:val="22"/>
              </w:rPr>
              <w:t>项目使用的炸药量为</w:t>
            </w:r>
            <w:r>
              <w:rPr>
                <w:sz w:val="24"/>
                <w:szCs w:val="22"/>
              </w:rPr>
              <w:t>1336</w:t>
            </w:r>
            <w:r>
              <w:rPr>
                <w:rFonts w:hint="eastAsia"/>
                <w:sz w:val="24"/>
                <w:szCs w:val="22"/>
              </w:rPr>
              <w:t>t，委托有资质专业公司进行爆破作业，炸药不在场地内存放，不设炸药库。根据《建设项目环境风险评价技术导则》（HJ169-2018）附录B对项目所涉及的危险物质进行调查和识别，筛选出工程危险物质为柴油和废润滑。</w:t>
            </w:r>
          </w:p>
          <w:p>
            <w:pPr>
              <w:spacing w:line="480" w:lineRule="exact"/>
              <w:ind w:firstLine="480" w:firstLineChars="200"/>
              <w:jc w:val="left"/>
              <w:rPr>
                <w:sz w:val="24"/>
                <w:szCs w:val="22"/>
              </w:rPr>
            </w:pPr>
            <w:r>
              <w:rPr>
                <w:rFonts w:hint="eastAsia"/>
                <w:sz w:val="24"/>
                <w:szCs w:val="22"/>
              </w:rPr>
              <w:t>柴油用量约</w:t>
            </w:r>
            <w:r>
              <w:rPr>
                <w:sz w:val="24"/>
                <w:szCs w:val="22"/>
              </w:rPr>
              <w:t>2379</w:t>
            </w:r>
            <w:r>
              <w:rPr>
                <w:rFonts w:hint="eastAsia"/>
                <w:sz w:val="24"/>
                <w:szCs w:val="22"/>
              </w:rPr>
              <w:t>t/a，每天用量约7</w:t>
            </w:r>
            <w:r>
              <w:rPr>
                <w:sz w:val="24"/>
                <w:szCs w:val="22"/>
              </w:rPr>
              <w:t>.93t</w:t>
            </w:r>
            <w:r>
              <w:rPr>
                <w:rFonts w:hint="eastAsia"/>
                <w:sz w:val="24"/>
                <w:szCs w:val="22"/>
              </w:rPr>
              <w:t>，每天有1辆</w:t>
            </w:r>
            <w:r>
              <w:rPr>
                <w:sz w:val="24"/>
                <w:szCs w:val="22"/>
              </w:rPr>
              <w:t>10t</w:t>
            </w:r>
            <w:r>
              <w:rPr>
                <w:rFonts w:hint="eastAsia"/>
                <w:sz w:val="24"/>
                <w:szCs w:val="22"/>
              </w:rPr>
              <w:t>加油车进行加油，不在厂区贮存。</w:t>
            </w:r>
          </w:p>
          <w:p>
            <w:pPr>
              <w:pStyle w:val="63"/>
              <w:ind w:firstLine="480"/>
            </w:pPr>
            <w:r>
              <w:rPr>
                <w:rFonts w:hint="eastAsia"/>
              </w:rPr>
              <w:t>（1）主要物质及其分类</w:t>
            </w:r>
          </w:p>
          <w:p>
            <w:pPr>
              <w:pStyle w:val="63"/>
              <w:ind w:firstLine="480"/>
            </w:pPr>
            <w:r>
              <w:rPr>
                <w:rFonts w:hint="eastAsia"/>
              </w:rPr>
              <w:t>厂区危险品储存情况见下表。</w:t>
            </w:r>
          </w:p>
          <w:p>
            <w:pPr>
              <w:pStyle w:val="50"/>
              <w:numPr>
                <w:ilvl w:val="0"/>
                <w:numId w:val="2"/>
              </w:numPr>
              <w:snapToGrid w:val="0"/>
              <w:spacing w:line="240" w:lineRule="auto"/>
              <w:ind w:firstLineChars="0"/>
              <w:jc w:val="center"/>
              <w:rPr>
                <w:b/>
                <w:bCs/>
              </w:rPr>
            </w:pPr>
            <w:r>
              <w:rPr>
                <w:rFonts w:hint="eastAsia"/>
                <w:b/>
                <w:bCs/>
              </w:rPr>
              <w:t>厂区危险品储存情况一览表</w:t>
            </w:r>
          </w:p>
          <w:tbl>
            <w:tblPr>
              <w:tblStyle w:val="22"/>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29"/>
              <w:gridCol w:w="709"/>
              <w:gridCol w:w="1371"/>
              <w:gridCol w:w="1028"/>
              <w:gridCol w:w="816"/>
              <w:gridCol w:w="678"/>
              <w:gridCol w:w="1454"/>
              <w:gridCol w:w="126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029" w:type="dxa"/>
                  <w:vMerge w:val="restart"/>
                  <w:shd w:val="clear" w:color="auto" w:fill="auto"/>
                  <w:vAlign w:val="center"/>
                </w:tcPr>
                <w:p>
                  <w:pPr>
                    <w:topLinePunct/>
                    <w:spacing w:line="360" w:lineRule="exact"/>
                    <w:jc w:val="center"/>
                    <w:textAlignment w:val="center"/>
                    <w:rPr>
                      <w:szCs w:val="21"/>
                    </w:rPr>
                  </w:pPr>
                  <w:r>
                    <w:rPr>
                      <w:rFonts w:hint="eastAsia" w:cs="宋体"/>
                      <w:szCs w:val="21"/>
                      <w:lang w:bidi="ar"/>
                    </w:rPr>
                    <w:t>物质</w:t>
                  </w:r>
                </w:p>
              </w:tc>
              <w:tc>
                <w:tcPr>
                  <w:tcW w:w="709" w:type="dxa"/>
                  <w:vMerge w:val="restart"/>
                  <w:shd w:val="clear" w:color="auto" w:fill="auto"/>
                  <w:vAlign w:val="center"/>
                </w:tcPr>
                <w:p>
                  <w:pPr>
                    <w:topLinePunct/>
                    <w:spacing w:line="360" w:lineRule="exact"/>
                    <w:jc w:val="center"/>
                    <w:textAlignment w:val="center"/>
                    <w:rPr>
                      <w:szCs w:val="21"/>
                    </w:rPr>
                  </w:pPr>
                  <w:r>
                    <w:rPr>
                      <w:rFonts w:hint="eastAsia" w:cs="宋体"/>
                      <w:szCs w:val="21"/>
                      <w:lang w:bidi="ar"/>
                    </w:rPr>
                    <w:t>形态</w:t>
                  </w:r>
                </w:p>
              </w:tc>
              <w:tc>
                <w:tcPr>
                  <w:tcW w:w="1371" w:type="dxa"/>
                  <w:shd w:val="clear" w:color="auto" w:fill="auto"/>
                  <w:vAlign w:val="center"/>
                </w:tcPr>
                <w:p>
                  <w:pPr>
                    <w:topLinePunct/>
                    <w:spacing w:line="360" w:lineRule="exact"/>
                    <w:jc w:val="center"/>
                    <w:textAlignment w:val="center"/>
                    <w:rPr>
                      <w:szCs w:val="21"/>
                    </w:rPr>
                  </w:pPr>
                  <w:r>
                    <w:rPr>
                      <w:rFonts w:hint="eastAsia" w:cs="宋体"/>
                      <w:szCs w:val="21"/>
                      <w:lang w:bidi="ar"/>
                    </w:rPr>
                    <w:t>在线情况</w:t>
                  </w:r>
                </w:p>
              </w:tc>
              <w:tc>
                <w:tcPr>
                  <w:tcW w:w="5240" w:type="dxa"/>
                  <w:gridSpan w:val="5"/>
                  <w:shd w:val="clear" w:color="auto" w:fill="auto"/>
                  <w:vAlign w:val="center"/>
                </w:tcPr>
                <w:p>
                  <w:pPr>
                    <w:topLinePunct/>
                    <w:spacing w:line="360" w:lineRule="exact"/>
                    <w:jc w:val="center"/>
                    <w:textAlignment w:val="center"/>
                    <w:rPr>
                      <w:szCs w:val="21"/>
                    </w:rPr>
                  </w:pPr>
                  <w:r>
                    <w:rPr>
                      <w:rFonts w:hint="eastAsia" w:cs="宋体"/>
                      <w:szCs w:val="21"/>
                      <w:lang w:bidi="ar"/>
                    </w:rPr>
                    <w:t>存储情况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029" w:type="dxa"/>
                  <w:vMerge w:val="continue"/>
                  <w:shd w:val="clear" w:color="auto" w:fill="auto"/>
                  <w:vAlign w:val="center"/>
                </w:tcPr>
                <w:p>
                  <w:pPr>
                    <w:spacing w:line="360" w:lineRule="exact"/>
                    <w:jc w:val="center"/>
                    <w:rPr>
                      <w:szCs w:val="20"/>
                    </w:rPr>
                  </w:pPr>
                </w:p>
              </w:tc>
              <w:tc>
                <w:tcPr>
                  <w:tcW w:w="709" w:type="dxa"/>
                  <w:vMerge w:val="continue"/>
                  <w:shd w:val="clear" w:color="auto" w:fill="auto"/>
                  <w:vAlign w:val="center"/>
                </w:tcPr>
                <w:p>
                  <w:pPr>
                    <w:spacing w:line="360" w:lineRule="exact"/>
                    <w:jc w:val="center"/>
                    <w:rPr>
                      <w:szCs w:val="20"/>
                    </w:rPr>
                  </w:pPr>
                </w:p>
              </w:tc>
              <w:tc>
                <w:tcPr>
                  <w:tcW w:w="1371" w:type="dxa"/>
                  <w:shd w:val="clear" w:color="auto" w:fill="auto"/>
                  <w:vAlign w:val="center"/>
                </w:tcPr>
                <w:p>
                  <w:pPr>
                    <w:topLinePunct/>
                    <w:spacing w:line="360" w:lineRule="exact"/>
                    <w:jc w:val="center"/>
                    <w:textAlignment w:val="center"/>
                    <w:rPr>
                      <w:szCs w:val="21"/>
                    </w:rPr>
                  </w:pPr>
                  <w:r>
                    <w:rPr>
                      <w:rFonts w:hint="eastAsia" w:cs="宋体"/>
                      <w:szCs w:val="21"/>
                      <w:lang w:bidi="ar"/>
                    </w:rPr>
                    <w:t>在线量（</w:t>
                  </w:r>
                  <w:r>
                    <w:rPr>
                      <w:szCs w:val="21"/>
                      <w:lang w:bidi="ar"/>
                    </w:rPr>
                    <w:t>t</w:t>
                  </w:r>
                  <w:r>
                    <w:rPr>
                      <w:rFonts w:hint="eastAsia" w:cs="宋体"/>
                      <w:szCs w:val="21"/>
                      <w:lang w:bidi="ar"/>
                    </w:rPr>
                    <w:t>）</w:t>
                  </w:r>
                </w:p>
              </w:tc>
              <w:tc>
                <w:tcPr>
                  <w:tcW w:w="1028" w:type="dxa"/>
                  <w:shd w:val="clear" w:color="auto" w:fill="auto"/>
                  <w:vAlign w:val="center"/>
                </w:tcPr>
                <w:p>
                  <w:pPr>
                    <w:topLinePunct/>
                    <w:spacing w:line="360" w:lineRule="exact"/>
                    <w:jc w:val="center"/>
                    <w:textAlignment w:val="center"/>
                    <w:rPr>
                      <w:szCs w:val="21"/>
                    </w:rPr>
                  </w:pPr>
                  <w:r>
                    <w:rPr>
                      <w:rFonts w:hint="eastAsia" w:cs="宋体"/>
                      <w:szCs w:val="21"/>
                      <w:lang w:bidi="ar"/>
                    </w:rPr>
                    <w:t>存储方式</w:t>
                  </w:r>
                </w:p>
              </w:tc>
              <w:tc>
                <w:tcPr>
                  <w:tcW w:w="816" w:type="dxa"/>
                  <w:shd w:val="clear" w:color="auto" w:fill="auto"/>
                  <w:vAlign w:val="center"/>
                </w:tcPr>
                <w:p>
                  <w:pPr>
                    <w:topLinePunct/>
                    <w:spacing w:line="360" w:lineRule="exact"/>
                    <w:jc w:val="center"/>
                    <w:textAlignment w:val="center"/>
                    <w:rPr>
                      <w:szCs w:val="21"/>
                    </w:rPr>
                  </w:pPr>
                  <w:r>
                    <w:rPr>
                      <w:rFonts w:hint="eastAsia" w:cs="宋体"/>
                      <w:szCs w:val="21"/>
                      <w:lang w:bidi="ar"/>
                    </w:rPr>
                    <w:t>规格</w:t>
                  </w:r>
                </w:p>
              </w:tc>
              <w:tc>
                <w:tcPr>
                  <w:tcW w:w="678" w:type="dxa"/>
                  <w:shd w:val="clear" w:color="auto" w:fill="auto"/>
                  <w:vAlign w:val="center"/>
                </w:tcPr>
                <w:p>
                  <w:pPr>
                    <w:topLinePunct/>
                    <w:spacing w:line="360" w:lineRule="exact"/>
                    <w:jc w:val="center"/>
                    <w:textAlignment w:val="center"/>
                    <w:rPr>
                      <w:szCs w:val="21"/>
                    </w:rPr>
                  </w:pPr>
                  <w:r>
                    <w:rPr>
                      <w:rFonts w:hint="eastAsia" w:cs="宋体"/>
                      <w:szCs w:val="21"/>
                      <w:lang w:bidi="ar"/>
                    </w:rPr>
                    <w:t>数量</w:t>
                  </w:r>
                </w:p>
              </w:tc>
              <w:tc>
                <w:tcPr>
                  <w:tcW w:w="1454" w:type="dxa"/>
                  <w:shd w:val="clear" w:color="auto" w:fill="auto"/>
                  <w:vAlign w:val="center"/>
                </w:tcPr>
                <w:p>
                  <w:pPr>
                    <w:topLinePunct/>
                    <w:spacing w:line="360" w:lineRule="exact"/>
                    <w:jc w:val="center"/>
                    <w:textAlignment w:val="center"/>
                    <w:rPr>
                      <w:szCs w:val="21"/>
                    </w:rPr>
                  </w:pPr>
                  <w:r>
                    <w:rPr>
                      <w:rFonts w:hint="eastAsia" w:cs="宋体"/>
                      <w:szCs w:val="21"/>
                      <w:lang w:bidi="ar"/>
                    </w:rPr>
                    <w:t>一次最大贮存量（</w:t>
                  </w:r>
                  <w:r>
                    <w:rPr>
                      <w:szCs w:val="21"/>
                      <w:lang w:bidi="ar"/>
                    </w:rPr>
                    <w:t>t</w:t>
                  </w:r>
                  <w:r>
                    <w:rPr>
                      <w:rFonts w:hint="eastAsia" w:cs="宋体"/>
                      <w:szCs w:val="21"/>
                      <w:lang w:bidi="ar"/>
                    </w:rPr>
                    <w:t>）</w:t>
                  </w:r>
                </w:p>
              </w:tc>
              <w:tc>
                <w:tcPr>
                  <w:tcW w:w="1264" w:type="dxa"/>
                  <w:shd w:val="clear" w:color="auto" w:fill="auto"/>
                  <w:vAlign w:val="center"/>
                </w:tcPr>
                <w:p>
                  <w:pPr>
                    <w:topLinePunct/>
                    <w:spacing w:line="360" w:lineRule="exact"/>
                    <w:jc w:val="center"/>
                    <w:textAlignment w:val="center"/>
                    <w:rPr>
                      <w:szCs w:val="21"/>
                    </w:rPr>
                  </w:pPr>
                  <w:r>
                    <w:rPr>
                      <w:rFonts w:hint="eastAsia" w:cs="宋体"/>
                      <w:szCs w:val="21"/>
                      <w:lang w:bidi="ar"/>
                    </w:rPr>
                    <w:t>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029" w:type="dxa"/>
                  <w:shd w:val="clear" w:color="auto" w:fill="auto"/>
                  <w:vAlign w:val="center"/>
                </w:tcPr>
                <w:p>
                  <w:pPr>
                    <w:topLinePunct/>
                    <w:spacing w:line="360" w:lineRule="exact"/>
                    <w:jc w:val="center"/>
                    <w:textAlignment w:val="center"/>
                    <w:rPr>
                      <w:szCs w:val="21"/>
                    </w:rPr>
                  </w:pPr>
                  <w:r>
                    <w:rPr>
                      <w:rFonts w:hint="eastAsia"/>
                      <w:szCs w:val="21"/>
                      <w:lang w:bidi="ar"/>
                    </w:rPr>
                    <w:t>柴油</w:t>
                  </w:r>
                </w:p>
              </w:tc>
              <w:tc>
                <w:tcPr>
                  <w:tcW w:w="709" w:type="dxa"/>
                  <w:shd w:val="clear" w:color="auto" w:fill="auto"/>
                  <w:vAlign w:val="center"/>
                </w:tcPr>
                <w:p>
                  <w:pPr>
                    <w:topLinePunct/>
                    <w:spacing w:line="360" w:lineRule="exact"/>
                    <w:jc w:val="center"/>
                    <w:textAlignment w:val="center"/>
                    <w:rPr>
                      <w:szCs w:val="21"/>
                    </w:rPr>
                  </w:pPr>
                  <w:r>
                    <w:rPr>
                      <w:rFonts w:hint="eastAsia" w:cs="宋体"/>
                      <w:szCs w:val="21"/>
                      <w:lang w:bidi="ar"/>
                    </w:rPr>
                    <w:t>液态</w:t>
                  </w:r>
                </w:p>
              </w:tc>
              <w:tc>
                <w:tcPr>
                  <w:tcW w:w="1371" w:type="dxa"/>
                  <w:shd w:val="clear" w:color="auto" w:fill="auto"/>
                  <w:vAlign w:val="center"/>
                </w:tcPr>
                <w:p>
                  <w:pPr>
                    <w:topLinePunct/>
                    <w:spacing w:line="360" w:lineRule="exact"/>
                    <w:jc w:val="center"/>
                    <w:textAlignment w:val="center"/>
                    <w:rPr>
                      <w:szCs w:val="21"/>
                    </w:rPr>
                  </w:pPr>
                  <w:r>
                    <w:rPr>
                      <w:szCs w:val="21"/>
                      <w:lang w:bidi="ar"/>
                    </w:rPr>
                    <w:t>3</w:t>
                  </w:r>
                </w:p>
              </w:tc>
              <w:tc>
                <w:tcPr>
                  <w:tcW w:w="1028" w:type="dxa"/>
                  <w:shd w:val="clear" w:color="auto" w:fill="auto"/>
                  <w:vAlign w:val="center"/>
                </w:tcPr>
                <w:p>
                  <w:pPr>
                    <w:topLinePunct/>
                    <w:spacing w:line="360" w:lineRule="exact"/>
                    <w:jc w:val="center"/>
                    <w:textAlignment w:val="center"/>
                    <w:rPr>
                      <w:rFonts w:cs="宋体"/>
                      <w:szCs w:val="21"/>
                    </w:rPr>
                  </w:pPr>
                  <w:r>
                    <w:rPr>
                      <w:rFonts w:hint="eastAsia" w:cs="宋体"/>
                      <w:szCs w:val="21"/>
                      <w:lang w:bidi="ar"/>
                    </w:rPr>
                    <w:t>加油车</w:t>
                  </w:r>
                </w:p>
              </w:tc>
              <w:tc>
                <w:tcPr>
                  <w:tcW w:w="816" w:type="dxa"/>
                  <w:shd w:val="clear" w:color="auto" w:fill="auto"/>
                  <w:vAlign w:val="center"/>
                </w:tcPr>
                <w:p>
                  <w:pPr>
                    <w:topLinePunct/>
                    <w:spacing w:line="360" w:lineRule="exact"/>
                    <w:jc w:val="center"/>
                    <w:textAlignment w:val="center"/>
                    <w:rPr>
                      <w:szCs w:val="21"/>
                    </w:rPr>
                  </w:pPr>
                  <w:r>
                    <w:rPr>
                      <w:szCs w:val="21"/>
                      <w:lang w:bidi="ar"/>
                    </w:rPr>
                    <w:t>8.5t</w:t>
                  </w:r>
                </w:p>
              </w:tc>
              <w:tc>
                <w:tcPr>
                  <w:tcW w:w="678" w:type="dxa"/>
                  <w:shd w:val="clear" w:color="auto" w:fill="auto"/>
                  <w:vAlign w:val="center"/>
                </w:tcPr>
                <w:p>
                  <w:pPr>
                    <w:topLinePunct/>
                    <w:spacing w:line="360" w:lineRule="exact"/>
                    <w:jc w:val="center"/>
                    <w:textAlignment w:val="center"/>
                    <w:rPr>
                      <w:szCs w:val="21"/>
                    </w:rPr>
                  </w:pPr>
                  <w:r>
                    <w:rPr>
                      <w:szCs w:val="21"/>
                      <w:lang w:bidi="ar"/>
                    </w:rPr>
                    <w:t>1</w:t>
                  </w:r>
                </w:p>
              </w:tc>
              <w:tc>
                <w:tcPr>
                  <w:tcW w:w="1454" w:type="dxa"/>
                  <w:shd w:val="clear" w:color="auto" w:fill="auto"/>
                  <w:vAlign w:val="center"/>
                </w:tcPr>
                <w:p>
                  <w:pPr>
                    <w:topLinePunct/>
                    <w:spacing w:line="360" w:lineRule="exact"/>
                    <w:jc w:val="center"/>
                    <w:textAlignment w:val="center"/>
                    <w:rPr>
                      <w:szCs w:val="21"/>
                    </w:rPr>
                  </w:pPr>
                  <w:r>
                    <w:rPr>
                      <w:szCs w:val="21"/>
                      <w:lang w:bidi="ar"/>
                    </w:rPr>
                    <w:t>11.5</w:t>
                  </w:r>
                </w:p>
              </w:tc>
              <w:tc>
                <w:tcPr>
                  <w:tcW w:w="1264" w:type="dxa"/>
                  <w:shd w:val="clear" w:color="auto" w:fill="auto"/>
                  <w:vAlign w:val="center"/>
                </w:tcPr>
                <w:p>
                  <w:pPr>
                    <w:topLinePunct/>
                    <w:spacing w:line="360" w:lineRule="exact"/>
                    <w:jc w:val="center"/>
                    <w:textAlignment w:val="center"/>
                    <w:rPr>
                      <w:szCs w:val="21"/>
                    </w:rPr>
                  </w:pPr>
                  <w:r>
                    <w:rPr>
                      <w:rFonts w:hint="eastAsia" w:cs="宋体"/>
                      <w:szCs w:val="21"/>
                      <w:lang w:bidi="ar"/>
                    </w:rPr>
                    <w:t>采矿区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029" w:type="dxa"/>
                  <w:shd w:val="clear" w:color="auto" w:fill="auto"/>
                  <w:vAlign w:val="center"/>
                </w:tcPr>
                <w:p>
                  <w:pPr>
                    <w:topLinePunct/>
                    <w:spacing w:line="360" w:lineRule="exact"/>
                    <w:jc w:val="center"/>
                    <w:textAlignment w:val="center"/>
                    <w:rPr>
                      <w:szCs w:val="21"/>
                      <w:lang w:bidi="ar"/>
                    </w:rPr>
                  </w:pPr>
                  <w:r>
                    <w:rPr>
                      <w:rFonts w:hint="eastAsia"/>
                      <w:szCs w:val="21"/>
                      <w:lang w:bidi="ar"/>
                    </w:rPr>
                    <w:t>废润滑油</w:t>
                  </w:r>
                </w:p>
              </w:tc>
              <w:tc>
                <w:tcPr>
                  <w:tcW w:w="709" w:type="dxa"/>
                  <w:shd w:val="clear" w:color="auto" w:fill="auto"/>
                  <w:vAlign w:val="center"/>
                </w:tcPr>
                <w:p>
                  <w:pPr>
                    <w:topLinePunct/>
                    <w:spacing w:line="360" w:lineRule="exact"/>
                    <w:jc w:val="center"/>
                    <w:textAlignment w:val="center"/>
                    <w:rPr>
                      <w:rFonts w:cs="宋体"/>
                      <w:szCs w:val="21"/>
                      <w:lang w:bidi="ar"/>
                    </w:rPr>
                  </w:pPr>
                  <w:r>
                    <w:rPr>
                      <w:rFonts w:hint="eastAsia" w:cs="宋体"/>
                      <w:szCs w:val="21"/>
                      <w:lang w:bidi="ar"/>
                    </w:rPr>
                    <w:t>液态</w:t>
                  </w:r>
                </w:p>
              </w:tc>
              <w:tc>
                <w:tcPr>
                  <w:tcW w:w="1371" w:type="dxa"/>
                  <w:shd w:val="clear" w:color="auto" w:fill="auto"/>
                  <w:vAlign w:val="center"/>
                </w:tcPr>
                <w:p>
                  <w:pPr>
                    <w:topLinePunct/>
                    <w:spacing w:line="360" w:lineRule="exact"/>
                    <w:jc w:val="center"/>
                    <w:textAlignment w:val="center"/>
                    <w:rPr>
                      <w:szCs w:val="21"/>
                      <w:lang w:bidi="ar"/>
                    </w:rPr>
                  </w:pPr>
                  <w:r>
                    <w:rPr>
                      <w:rFonts w:hint="eastAsia"/>
                      <w:szCs w:val="21"/>
                      <w:lang w:bidi="ar"/>
                    </w:rPr>
                    <w:t>0</w:t>
                  </w:r>
                </w:p>
              </w:tc>
              <w:tc>
                <w:tcPr>
                  <w:tcW w:w="1028" w:type="dxa"/>
                  <w:shd w:val="clear" w:color="auto" w:fill="auto"/>
                  <w:vAlign w:val="center"/>
                </w:tcPr>
                <w:p>
                  <w:pPr>
                    <w:topLinePunct/>
                    <w:spacing w:line="360" w:lineRule="exact"/>
                    <w:jc w:val="center"/>
                    <w:textAlignment w:val="center"/>
                    <w:rPr>
                      <w:rFonts w:cs="宋体"/>
                      <w:szCs w:val="21"/>
                      <w:lang w:bidi="ar"/>
                    </w:rPr>
                  </w:pPr>
                  <w:r>
                    <w:rPr>
                      <w:rFonts w:hint="eastAsia" w:cs="宋体"/>
                      <w:szCs w:val="21"/>
                      <w:lang w:bidi="ar"/>
                    </w:rPr>
                    <w:t>桶装</w:t>
                  </w:r>
                </w:p>
              </w:tc>
              <w:tc>
                <w:tcPr>
                  <w:tcW w:w="816" w:type="dxa"/>
                  <w:shd w:val="clear" w:color="auto" w:fill="auto"/>
                  <w:vAlign w:val="center"/>
                </w:tcPr>
                <w:p>
                  <w:pPr>
                    <w:topLinePunct/>
                    <w:spacing w:line="360" w:lineRule="exact"/>
                    <w:jc w:val="center"/>
                    <w:textAlignment w:val="center"/>
                    <w:rPr>
                      <w:szCs w:val="21"/>
                      <w:lang w:bidi="ar"/>
                    </w:rPr>
                  </w:pPr>
                  <w:r>
                    <w:rPr>
                      <w:szCs w:val="21"/>
                      <w:lang w:bidi="ar"/>
                    </w:rPr>
                    <w:t>200L</w:t>
                  </w:r>
                </w:p>
              </w:tc>
              <w:tc>
                <w:tcPr>
                  <w:tcW w:w="678" w:type="dxa"/>
                  <w:shd w:val="clear" w:color="auto" w:fill="auto"/>
                  <w:vAlign w:val="center"/>
                </w:tcPr>
                <w:p>
                  <w:pPr>
                    <w:topLinePunct/>
                    <w:spacing w:line="360" w:lineRule="exact"/>
                    <w:jc w:val="center"/>
                    <w:textAlignment w:val="center"/>
                    <w:rPr>
                      <w:szCs w:val="21"/>
                      <w:lang w:bidi="ar"/>
                    </w:rPr>
                  </w:pPr>
                  <w:r>
                    <w:rPr>
                      <w:szCs w:val="21"/>
                      <w:lang w:bidi="ar"/>
                    </w:rPr>
                    <w:t>5</w:t>
                  </w:r>
                </w:p>
              </w:tc>
              <w:tc>
                <w:tcPr>
                  <w:tcW w:w="1454" w:type="dxa"/>
                  <w:shd w:val="clear" w:color="auto" w:fill="auto"/>
                  <w:vAlign w:val="center"/>
                </w:tcPr>
                <w:p>
                  <w:pPr>
                    <w:topLinePunct/>
                    <w:spacing w:line="360" w:lineRule="exact"/>
                    <w:jc w:val="center"/>
                    <w:textAlignment w:val="center"/>
                    <w:rPr>
                      <w:szCs w:val="21"/>
                      <w:lang w:bidi="ar"/>
                    </w:rPr>
                  </w:pPr>
                  <w:r>
                    <w:rPr>
                      <w:szCs w:val="21"/>
                      <w:lang w:bidi="ar"/>
                    </w:rPr>
                    <w:t>1</w:t>
                  </w:r>
                </w:p>
              </w:tc>
              <w:tc>
                <w:tcPr>
                  <w:tcW w:w="1264" w:type="dxa"/>
                  <w:shd w:val="clear" w:color="auto" w:fill="auto"/>
                  <w:vAlign w:val="center"/>
                </w:tcPr>
                <w:p>
                  <w:pPr>
                    <w:topLinePunct/>
                    <w:spacing w:line="360" w:lineRule="exact"/>
                    <w:jc w:val="center"/>
                    <w:textAlignment w:val="center"/>
                    <w:rPr>
                      <w:rFonts w:cs="宋体"/>
                      <w:szCs w:val="21"/>
                      <w:lang w:bidi="ar"/>
                    </w:rPr>
                  </w:pPr>
                  <w:r>
                    <w:rPr>
                      <w:rFonts w:hint="eastAsia" w:cs="宋体"/>
                      <w:szCs w:val="21"/>
                      <w:lang w:bidi="ar"/>
                    </w:rPr>
                    <w:t>危废暂存间</w:t>
                  </w:r>
                </w:p>
              </w:tc>
            </w:tr>
          </w:tbl>
          <w:p>
            <w:pPr>
              <w:pStyle w:val="63"/>
              <w:ind w:firstLine="480"/>
            </w:pPr>
            <w:r>
              <w:rPr>
                <w:rFonts w:hint="eastAsia"/>
              </w:rPr>
              <w:t>（2）生产工艺特点</w:t>
            </w:r>
          </w:p>
          <w:p>
            <w:pPr>
              <w:pStyle w:val="63"/>
              <w:ind w:firstLine="480"/>
              <w:rPr>
                <w:bCs/>
                <w:szCs w:val="21"/>
              </w:rPr>
            </w:pPr>
            <w:r>
              <w:rPr>
                <w:rFonts w:hint="eastAsia"/>
                <w:bCs/>
                <w:szCs w:val="21"/>
              </w:rPr>
              <w:t>项目属于白云岩矿山露天开采及加工生产，生产工艺为剥离表层和植被-钻孔凿岩</w:t>
            </w:r>
            <w:r>
              <w:rPr>
                <w:bCs/>
                <w:szCs w:val="21"/>
              </w:rPr>
              <w:t>-</w:t>
            </w:r>
            <w:r>
              <w:rPr>
                <w:rFonts w:hint="eastAsia"/>
                <w:bCs/>
                <w:szCs w:val="21"/>
              </w:rPr>
              <w:t>爆破崩矿</w:t>
            </w:r>
            <w:r>
              <w:rPr>
                <w:bCs/>
                <w:szCs w:val="21"/>
              </w:rPr>
              <w:t>-</w:t>
            </w:r>
            <w:r>
              <w:rPr>
                <w:rFonts w:hint="eastAsia"/>
                <w:bCs/>
                <w:szCs w:val="21"/>
              </w:rPr>
              <w:t>机械铲装运输-破碎加工-成品销售，项目涉及危险物质柴油使用。</w:t>
            </w:r>
          </w:p>
          <w:p>
            <w:pPr>
              <w:pStyle w:val="63"/>
              <w:ind w:firstLine="480"/>
              <w:rPr>
                <w:bCs/>
                <w:szCs w:val="21"/>
              </w:rPr>
            </w:pPr>
            <w:r>
              <w:rPr>
                <w:rFonts w:hint="eastAsia"/>
                <w:bCs/>
                <w:szCs w:val="21"/>
              </w:rPr>
              <w:t>根据本项目的工程特征，项目营运期主要环境风险为：爆破作业风险、采矿活动诱发地质灾害环境风险、柴油加油车泄漏、粉尘事故排放的环境风险。</w:t>
            </w:r>
          </w:p>
          <w:p>
            <w:pPr>
              <w:pStyle w:val="63"/>
              <w:ind w:firstLine="480"/>
              <w:rPr>
                <w:bCs/>
                <w:szCs w:val="21"/>
              </w:rPr>
            </w:pPr>
            <w:r>
              <w:rPr>
                <w:bCs/>
                <w:szCs w:val="21"/>
              </w:rPr>
              <w:fldChar w:fldCharType="begin"/>
            </w:r>
            <w:r>
              <w:rPr>
                <w:bCs/>
                <w:szCs w:val="21"/>
              </w:rPr>
              <w:instrText xml:space="preserve"> </w:instrText>
            </w:r>
            <w:r>
              <w:rPr>
                <w:rFonts w:hint="eastAsia"/>
                <w:bCs/>
                <w:szCs w:val="21"/>
              </w:rPr>
              <w:instrText xml:space="preserve">= 1 \* GB3</w:instrText>
            </w:r>
            <w:r>
              <w:rPr>
                <w:bCs/>
                <w:szCs w:val="21"/>
              </w:rPr>
              <w:instrText xml:space="preserve"> </w:instrText>
            </w:r>
            <w:r>
              <w:rPr>
                <w:bCs/>
                <w:szCs w:val="21"/>
              </w:rPr>
              <w:fldChar w:fldCharType="separate"/>
            </w:r>
            <w:r>
              <w:rPr>
                <w:rFonts w:hint="eastAsia"/>
                <w:bCs/>
                <w:szCs w:val="21"/>
              </w:rPr>
              <w:t>①</w:t>
            </w:r>
            <w:r>
              <w:rPr>
                <w:bCs/>
                <w:szCs w:val="21"/>
              </w:rPr>
              <w:fldChar w:fldCharType="end"/>
            </w:r>
            <w:r>
              <w:rPr>
                <w:rFonts w:hint="eastAsia"/>
                <w:bCs/>
                <w:szCs w:val="21"/>
              </w:rPr>
              <w:t>爆破危险：由于本矿山开采要利用炸药等爆炸物，存在一定的爆炸风险，危害现场作业人员。</w:t>
            </w:r>
          </w:p>
          <w:p>
            <w:pPr>
              <w:pStyle w:val="63"/>
              <w:ind w:firstLine="480"/>
              <w:rPr>
                <w:bCs/>
                <w:szCs w:val="21"/>
              </w:rPr>
            </w:pPr>
            <w:r>
              <w:rPr>
                <w:bCs/>
                <w:szCs w:val="21"/>
              </w:rPr>
              <w:fldChar w:fldCharType="begin"/>
            </w:r>
            <w:r>
              <w:rPr>
                <w:bCs/>
                <w:szCs w:val="21"/>
              </w:rPr>
              <w:instrText xml:space="preserve"> </w:instrText>
            </w:r>
            <w:r>
              <w:rPr>
                <w:rFonts w:hint="eastAsia"/>
                <w:bCs/>
                <w:szCs w:val="21"/>
              </w:rPr>
              <w:instrText xml:space="preserve">= 2 \* GB3</w:instrText>
            </w:r>
            <w:r>
              <w:rPr>
                <w:bCs/>
                <w:szCs w:val="21"/>
              </w:rPr>
              <w:instrText xml:space="preserve"> </w:instrText>
            </w:r>
            <w:r>
              <w:rPr>
                <w:bCs/>
                <w:szCs w:val="21"/>
              </w:rPr>
              <w:fldChar w:fldCharType="separate"/>
            </w:r>
            <w:r>
              <w:rPr>
                <w:rFonts w:hint="eastAsia"/>
                <w:bCs/>
                <w:szCs w:val="21"/>
              </w:rPr>
              <w:t>②</w:t>
            </w:r>
            <w:r>
              <w:rPr>
                <w:bCs/>
                <w:szCs w:val="21"/>
              </w:rPr>
              <w:fldChar w:fldCharType="end"/>
            </w:r>
            <w:r>
              <w:rPr>
                <w:rFonts w:hint="eastAsia"/>
                <w:bCs/>
                <w:szCs w:val="21"/>
              </w:rPr>
              <w:t>采场滑坡：本矿山开采破坏了矿区原有的地形，采区岩体失稳，引起地表植被生态等环境风险，打破了原有的平衡状态。</w:t>
            </w:r>
          </w:p>
          <w:p>
            <w:pPr>
              <w:pStyle w:val="63"/>
              <w:ind w:firstLine="480"/>
              <w:rPr>
                <w:bCs/>
                <w:szCs w:val="21"/>
              </w:rPr>
            </w:pPr>
            <w:r>
              <w:rPr>
                <w:bCs/>
                <w:szCs w:val="21"/>
              </w:rPr>
              <w:fldChar w:fldCharType="begin"/>
            </w:r>
            <w:r>
              <w:rPr>
                <w:bCs/>
                <w:szCs w:val="21"/>
              </w:rPr>
              <w:instrText xml:space="preserve"> </w:instrText>
            </w:r>
            <w:r>
              <w:rPr>
                <w:rFonts w:hint="eastAsia"/>
                <w:bCs/>
                <w:szCs w:val="21"/>
              </w:rPr>
              <w:instrText xml:space="preserve">= 3 \* GB3</w:instrText>
            </w:r>
            <w:r>
              <w:rPr>
                <w:bCs/>
                <w:szCs w:val="21"/>
              </w:rPr>
              <w:instrText xml:space="preserve"> </w:instrText>
            </w:r>
            <w:r>
              <w:rPr>
                <w:bCs/>
                <w:szCs w:val="21"/>
              </w:rPr>
              <w:fldChar w:fldCharType="separate"/>
            </w:r>
            <w:r>
              <w:rPr>
                <w:rFonts w:hint="eastAsia"/>
                <w:bCs/>
                <w:szCs w:val="21"/>
              </w:rPr>
              <w:t>③</w:t>
            </w:r>
            <w:r>
              <w:rPr>
                <w:bCs/>
                <w:szCs w:val="21"/>
              </w:rPr>
              <w:fldChar w:fldCharType="end"/>
            </w:r>
            <w:r>
              <w:rPr>
                <w:rFonts w:hint="eastAsia"/>
                <w:bCs/>
                <w:szCs w:val="21"/>
              </w:rPr>
              <w:t>柴油加油车发生碰撞、操作不当等有可能发生泄漏，控制不好排入环境会对所周边土壤、地下水造成污染；遇明火会发生火灾、爆炸事故，污染大气环境。</w:t>
            </w:r>
          </w:p>
          <w:p>
            <w:pPr>
              <w:pStyle w:val="63"/>
              <w:ind w:firstLine="480"/>
              <w:rPr>
                <w:bCs/>
                <w:szCs w:val="21"/>
              </w:rPr>
            </w:pPr>
            <w:r>
              <w:rPr>
                <w:bCs/>
                <w:szCs w:val="21"/>
              </w:rPr>
              <w:fldChar w:fldCharType="begin"/>
            </w:r>
            <w:r>
              <w:rPr>
                <w:bCs/>
                <w:szCs w:val="21"/>
              </w:rPr>
              <w:instrText xml:space="preserve"> </w:instrText>
            </w:r>
            <w:r>
              <w:rPr>
                <w:rFonts w:hint="eastAsia"/>
                <w:bCs/>
                <w:szCs w:val="21"/>
              </w:rPr>
              <w:instrText xml:space="preserve">= 4 \* GB3</w:instrText>
            </w:r>
            <w:r>
              <w:rPr>
                <w:bCs/>
                <w:szCs w:val="21"/>
              </w:rPr>
              <w:instrText xml:space="preserve"> </w:instrText>
            </w:r>
            <w:r>
              <w:rPr>
                <w:bCs/>
                <w:szCs w:val="21"/>
              </w:rPr>
              <w:fldChar w:fldCharType="separate"/>
            </w:r>
            <w:r>
              <w:rPr>
                <w:rFonts w:hint="eastAsia"/>
                <w:bCs/>
                <w:szCs w:val="21"/>
              </w:rPr>
              <w:t>④</w:t>
            </w:r>
            <w:r>
              <w:rPr>
                <w:bCs/>
                <w:szCs w:val="21"/>
              </w:rPr>
              <w:fldChar w:fldCharType="end"/>
            </w:r>
            <w:r>
              <w:rPr>
                <w:rFonts w:hint="eastAsia"/>
                <w:bCs/>
                <w:szCs w:val="21"/>
              </w:rPr>
              <w:t>粉尘事故排放：生产过程中，所产生的粉尘浓度在满足一定的条件下，可发生爆炸事故。</w:t>
            </w:r>
          </w:p>
          <w:p>
            <w:pPr>
              <w:pStyle w:val="63"/>
              <w:ind w:firstLine="480"/>
              <w:rPr>
                <w:rFonts w:ascii="黑体" w:hAnsi="黑体" w:eastAsia="黑体"/>
                <w:bCs/>
                <w:szCs w:val="21"/>
              </w:rPr>
            </w:pPr>
            <w:r>
              <w:rPr>
                <w:rFonts w:hint="eastAsia" w:ascii="黑体" w:hAnsi="黑体" w:eastAsia="黑体"/>
                <w:bCs/>
                <w:szCs w:val="21"/>
              </w:rPr>
              <w:t>7</w:t>
            </w:r>
            <w:r>
              <w:rPr>
                <w:rFonts w:ascii="黑体" w:hAnsi="黑体" w:eastAsia="黑体"/>
                <w:bCs/>
                <w:szCs w:val="21"/>
              </w:rPr>
              <w:t>.2</w:t>
            </w:r>
            <w:r>
              <w:rPr>
                <w:rFonts w:hint="eastAsia" w:ascii="黑体" w:hAnsi="黑体" w:eastAsia="黑体"/>
                <w:bCs/>
                <w:szCs w:val="21"/>
              </w:rPr>
              <w:t>环境风险潜势初判</w:t>
            </w:r>
          </w:p>
          <w:p>
            <w:pPr>
              <w:pStyle w:val="63"/>
              <w:ind w:firstLine="480"/>
              <w:rPr>
                <w:bCs/>
                <w:szCs w:val="21"/>
              </w:rPr>
            </w:pPr>
            <w:r>
              <w:rPr>
                <w:rFonts w:hint="eastAsia"/>
                <w:bCs/>
                <w:szCs w:val="21"/>
              </w:rPr>
              <w:t>（1）定量分析危险物质数量与临界量的比值（Q）的确定</w:t>
            </w:r>
          </w:p>
          <w:p>
            <w:pPr>
              <w:pStyle w:val="63"/>
              <w:ind w:firstLine="480"/>
              <w:rPr>
                <w:bCs/>
                <w:szCs w:val="21"/>
              </w:rPr>
            </w:pPr>
            <w:r>
              <w:rPr>
                <w:rFonts w:hint="eastAsia"/>
                <w:bCs/>
                <w:szCs w:val="21"/>
              </w:rPr>
              <w:t>计算所涉及的每种危险物质在厂界内的最大存在总量与其在《建设项目环境风险评价技术导则》（HJ 169-2018）附录B中对应临界量的比值Q。当Q＜1时，该项目环境风险潜势为Ⅰ；当Q≥1时，将Q值划分为：（1）1≤Q＜10；（2）10≤Q＜100；（3）Q≥100。</w:t>
            </w:r>
          </w:p>
          <w:p>
            <w:pPr>
              <w:pStyle w:val="50"/>
              <w:numPr>
                <w:ilvl w:val="0"/>
                <w:numId w:val="2"/>
              </w:numPr>
              <w:snapToGrid w:val="0"/>
              <w:spacing w:line="240" w:lineRule="auto"/>
              <w:ind w:firstLineChars="0"/>
              <w:jc w:val="center"/>
              <w:rPr>
                <w:bCs/>
              </w:rPr>
            </w:pPr>
            <w:r>
              <w:rPr>
                <w:rFonts w:hint="eastAsia"/>
                <w:b/>
                <w:bCs/>
              </w:rPr>
              <w:t>建设项目Q值确定值</w:t>
            </w:r>
          </w:p>
          <w:tbl>
            <w:tblPr>
              <w:tblStyle w:val="22"/>
              <w:tblW w:w="834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28" w:type="dxa"/>
                <w:bottom w:w="28" w:type="dxa"/>
                <w:right w:w="28" w:type="dxa"/>
              </w:tblCellMar>
            </w:tblPr>
            <w:tblGrid>
              <w:gridCol w:w="1670"/>
              <w:gridCol w:w="1668"/>
              <w:gridCol w:w="1668"/>
              <w:gridCol w:w="1673"/>
              <w:gridCol w:w="16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28" w:type="dxa"/>
                  <w:bottom w:w="28" w:type="dxa"/>
                  <w:right w:w="28" w:type="dxa"/>
                </w:tblCellMar>
              </w:tblPrEx>
              <w:trPr>
                <w:cantSplit/>
                <w:trHeight w:val="23" w:hRule="atLeast"/>
                <w:jc w:val="center"/>
              </w:trPr>
              <w:tc>
                <w:tcPr>
                  <w:tcW w:w="1670" w:type="dxa"/>
                  <w:shd w:val="clear" w:color="auto" w:fill="auto"/>
                  <w:vAlign w:val="center"/>
                </w:tcPr>
                <w:p>
                  <w:pPr>
                    <w:pStyle w:val="18"/>
                    <w:spacing w:before="0" w:beforeAutospacing="0" w:after="0" w:afterAutospacing="0" w:line="360" w:lineRule="exact"/>
                    <w:jc w:val="center"/>
                    <w:rPr>
                      <w:rFonts w:ascii="Times New Roman" w:hAnsi="Times New Roman" w:cs="仿宋"/>
                      <w:sz w:val="21"/>
                      <w:szCs w:val="21"/>
                    </w:rPr>
                  </w:pPr>
                  <w:r>
                    <w:rPr>
                      <w:rFonts w:hint="eastAsia" w:ascii="Times New Roman" w:hAnsi="Times New Roman"/>
                      <w:sz w:val="21"/>
                      <w:szCs w:val="21"/>
                    </w:rPr>
                    <w:t>序号</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sz w:val="21"/>
                      <w:szCs w:val="21"/>
                    </w:rPr>
                  </w:pPr>
                  <w:r>
                    <w:rPr>
                      <w:rFonts w:hint="eastAsia" w:ascii="Times New Roman" w:hAnsi="Times New Roman"/>
                      <w:sz w:val="21"/>
                      <w:szCs w:val="21"/>
                    </w:rPr>
                    <w:t>原料名称</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sz w:val="21"/>
                      <w:szCs w:val="21"/>
                    </w:rPr>
                  </w:pPr>
                  <w:r>
                    <w:rPr>
                      <w:rFonts w:hint="eastAsia" w:ascii="Times New Roman" w:hAnsi="Times New Roman"/>
                      <w:sz w:val="21"/>
                      <w:szCs w:val="21"/>
                    </w:rPr>
                    <w:t>储存量和在线量（</w:t>
                  </w:r>
                  <w:r>
                    <w:rPr>
                      <w:rFonts w:ascii="Times New Roman" w:hAnsi="Times New Roman"/>
                      <w:sz w:val="21"/>
                      <w:szCs w:val="21"/>
                    </w:rPr>
                    <w:t>t</w:t>
                  </w:r>
                  <w:r>
                    <w:rPr>
                      <w:rFonts w:hint="eastAsia" w:ascii="Times New Roman" w:hAnsi="Times New Roman"/>
                      <w:sz w:val="21"/>
                      <w:szCs w:val="21"/>
                    </w:rPr>
                    <w:t>）</w:t>
                  </w:r>
                </w:p>
              </w:tc>
              <w:tc>
                <w:tcPr>
                  <w:tcW w:w="1673" w:type="dxa"/>
                  <w:shd w:val="clear" w:color="auto" w:fill="auto"/>
                  <w:vAlign w:val="center"/>
                </w:tcPr>
                <w:p>
                  <w:pPr>
                    <w:pStyle w:val="18"/>
                    <w:spacing w:before="0" w:beforeAutospacing="0" w:after="0" w:afterAutospacing="0" w:line="360" w:lineRule="exact"/>
                    <w:jc w:val="center"/>
                    <w:rPr>
                      <w:rFonts w:ascii="Times New Roman" w:hAnsi="Times New Roman" w:cs="仿宋"/>
                      <w:sz w:val="21"/>
                      <w:szCs w:val="21"/>
                    </w:rPr>
                  </w:pPr>
                  <w:r>
                    <w:rPr>
                      <w:rFonts w:hint="eastAsia" w:ascii="Times New Roman" w:hAnsi="Times New Roman"/>
                      <w:sz w:val="21"/>
                      <w:szCs w:val="21"/>
                    </w:rPr>
                    <w:t>临界量（</w:t>
                  </w:r>
                  <w:r>
                    <w:rPr>
                      <w:rFonts w:ascii="Times New Roman" w:hAnsi="Times New Roman"/>
                      <w:sz w:val="21"/>
                      <w:szCs w:val="21"/>
                    </w:rPr>
                    <w:t>t</w:t>
                  </w:r>
                  <w:r>
                    <w:rPr>
                      <w:rFonts w:hint="eastAsia" w:ascii="Times New Roman" w:hAnsi="Times New Roman"/>
                      <w:sz w:val="21"/>
                      <w:szCs w:val="21"/>
                    </w:rPr>
                    <w:t>）</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sz w:val="21"/>
                      <w:szCs w:val="21"/>
                    </w:rPr>
                  </w:pPr>
                  <w:r>
                    <w:rPr>
                      <w:rFonts w:ascii="Times New Roman" w:hAnsi="Times New Roman" w:cs="仿宋"/>
                      <w:sz w:val="21"/>
                      <w:szCs w:val="21"/>
                    </w:rPr>
                    <w:t>qn/Qn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28" w:type="dxa"/>
                  <w:bottom w:w="28" w:type="dxa"/>
                  <w:right w:w="28" w:type="dxa"/>
                </w:tblCellMar>
              </w:tblPrEx>
              <w:trPr>
                <w:cantSplit/>
                <w:trHeight w:val="23" w:hRule="atLeast"/>
                <w:jc w:val="center"/>
              </w:trPr>
              <w:tc>
                <w:tcPr>
                  <w:tcW w:w="1670" w:type="dxa"/>
                  <w:shd w:val="clear" w:color="auto" w:fill="auto"/>
                  <w:vAlign w:val="center"/>
                </w:tcPr>
                <w:p>
                  <w:pPr>
                    <w:pStyle w:val="18"/>
                    <w:spacing w:before="0" w:beforeAutospacing="0" w:after="0" w:afterAutospacing="0" w:line="360" w:lineRule="exact"/>
                    <w:jc w:val="center"/>
                    <w:rPr>
                      <w:rFonts w:ascii="Times New Roman" w:hAnsi="Times New Roman" w:cs="仿宋"/>
                      <w:bCs/>
                      <w:sz w:val="21"/>
                      <w:szCs w:val="21"/>
                    </w:rPr>
                  </w:pPr>
                  <w:r>
                    <w:rPr>
                      <w:rFonts w:ascii="Times New Roman" w:hAnsi="Times New Roman"/>
                      <w:bCs/>
                      <w:sz w:val="21"/>
                      <w:szCs w:val="21"/>
                    </w:rPr>
                    <w:t>1</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bCs/>
                      <w:sz w:val="21"/>
                      <w:szCs w:val="21"/>
                    </w:rPr>
                  </w:pPr>
                  <w:r>
                    <w:rPr>
                      <w:rFonts w:hint="eastAsia" w:ascii="Times New Roman" w:hAnsi="Times New Roman" w:cs="仿宋"/>
                      <w:sz w:val="21"/>
                      <w:szCs w:val="21"/>
                    </w:rPr>
                    <w:t>柴油</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bCs/>
                      <w:sz w:val="21"/>
                      <w:szCs w:val="21"/>
                    </w:rPr>
                  </w:pPr>
                  <w:r>
                    <w:rPr>
                      <w:rFonts w:hint="eastAsia" w:ascii="Times New Roman" w:hAnsi="Times New Roman" w:cs="仿宋"/>
                      <w:bCs/>
                      <w:sz w:val="21"/>
                      <w:szCs w:val="21"/>
                    </w:rPr>
                    <w:t>1</w:t>
                  </w:r>
                  <w:r>
                    <w:rPr>
                      <w:rFonts w:ascii="Times New Roman" w:hAnsi="Times New Roman" w:cs="仿宋"/>
                      <w:bCs/>
                      <w:sz w:val="21"/>
                      <w:szCs w:val="21"/>
                    </w:rPr>
                    <w:t>1.5</w:t>
                  </w:r>
                </w:p>
              </w:tc>
              <w:tc>
                <w:tcPr>
                  <w:tcW w:w="1673" w:type="dxa"/>
                  <w:shd w:val="clear" w:color="auto" w:fill="auto"/>
                  <w:vAlign w:val="center"/>
                </w:tcPr>
                <w:p>
                  <w:pPr>
                    <w:pStyle w:val="18"/>
                    <w:spacing w:before="0" w:beforeAutospacing="0" w:after="0" w:afterAutospacing="0" w:line="360" w:lineRule="exact"/>
                    <w:jc w:val="center"/>
                    <w:rPr>
                      <w:rFonts w:ascii="Times New Roman" w:hAnsi="Times New Roman" w:cs="仿宋"/>
                      <w:bCs/>
                      <w:sz w:val="21"/>
                      <w:szCs w:val="21"/>
                    </w:rPr>
                  </w:pPr>
                  <w:r>
                    <w:rPr>
                      <w:rFonts w:ascii="Times New Roman" w:hAnsi="Times New Roman"/>
                      <w:bCs/>
                      <w:sz w:val="21"/>
                      <w:szCs w:val="21"/>
                    </w:rPr>
                    <w:t>2500</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bCs/>
                      <w:sz w:val="21"/>
                      <w:szCs w:val="21"/>
                    </w:rPr>
                  </w:pPr>
                  <w:r>
                    <w:rPr>
                      <w:rFonts w:ascii="Times New Roman" w:hAnsi="Times New Roman"/>
                      <w:bCs/>
                      <w:sz w:val="21"/>
                      <w:szCs w:val="21"/>
                    </w:rPr>
                    <w:t>0.0046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28" w:type="dxa"/>
                  <w:bottom w:w="28" w:type="dxa"/>
                  <w:right w:w="28" w:type="dxa"/>
                </w:tblCellMar>
              </w:tblPrEx>
              <w:trPr>
                <w:cantSplit/>
                <w:trHeight w:val="23" w:hRule="atLeast"/>
                <w:jc w:val="center"/>
              </w:trPr>
              <w:tc>
                <w:tcPr>
                  <w:tcW w:w="1670" w:type="dxa"/>
                  <w:shd w:val="clear" w:color="auto" w:fill="auto"/>
                  <w:vAlign w:val="center"/>
                </w:tcPr>
                <w:p>
                  <w:pPr>
                    <w:pStyle w:val="18"/>
                    <w:spacing w:before="0" w:beforeAutospacing="0" w:after="0" w:afterAutospacing="0" w:line="360" w:lineRule="exact"/>
                    <w:jc w:val="center"/>
                    <w:rPr>
                      <w:rFonts w:ascii="Times New Roman" w:hAnsi="Times New Roman"/>
                      <w:bCs/>
                      <w:sz w:val="21"/>
                      <w:szCs w:val="21"/>
                    </w:rPr>
                  </w:pPr>
                  <w:r>
                    <w:rPr>
                      <w:rFonts w:hint="eastAsia" w:ascii="Times New Roman" w:hAnsi="Times New Roman"/>
                      <w:bCs/>
                      <w:sz w:val="21"/>
                      <w:szCs w:val="21"/>
                    </w:rPr>
                    <w:t>2</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sz w:val="21"/>
                      <w:szCs w:val="21"/>
                    </w:rPr>
                  </w:pPr>
                  <w:r>
                    <w:rPr>
                      <w:rFonts w:hint="eastAsia" w:ascii="Times New Roman" w:hAnsi="Times New Roman" w:cs="仿宋"/>
                      <w:sz w:val="21"/>
                      <w:szCs w:val="21"/>
                    </w:rPr>
                    <w:t>废机油</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bCs/>
                      <w:sz w:val="21"/>
                      <w:szCs w:val="21"/>
                    </w:rPr>
                  </w:pPr>
                  <w:r>
                    <w:rPr>
                      <w:rFonts w:ascii="Times New Roman" w:hAnsi="Times New Roman"/>
                      <w:bCs/>
                      <w:sz w:val="21"/>
                      <w:szCs w:val="21"/>
                    </w:rPr>
                    <w:t>1</w:t>
                  </w:r>
                </w:p>
              </w:tc>
              <w:tc>
                <w:tcPr>
                  <w:tcW w:w="1673" w:type="dxa"/>
                  <w:shd w:val="clear" w:color="auto" w:fill="auto"/>
                  <w:vAlign w:val="center"/>
                </w:tcPr>
                <w:p>
                  <w:pPr>
                    <w:pStyle w:val="18"/>
                    <w:spacing w:before="0" w:beforeAutospacing="0" w:after="0" w:afterAutospacing="0" w:line="360" w:lineRule="exact"/>
                    <w:jc w:val="center"/>
                    <w:rPr>
                      <w:rFonts w:ascii="Times New Roman" w:hAnsi="Times New Roman"/>
                      <w:bCs/>
                      <w:sz w:val="21"/>
                      <w:szCs w:val="21"/>
                    </w:rPr>
                  </w:pPr>
                  <w:r>
                    <w:rPr>
                      <w:rFonts w:ascii="Times New Roman" w:hAnsi="Times New Roman"/>
                      <w:bCs/>
                      <w:sz w:val="21"/>
                      <w:szCs w:val="21"/>
                    </w:rPr>
                    <w:t>2500</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bCs/>
                      <w:sz w:val="21"/>
                      <w:szCs w:val="21"/>
                    </w:rPr>
                  </w:pPr>
                  <w:r>
                    <w:rPr>
                      <w:rFonts w:hint="eastAsia" w:ascii="Times New Roman" w:hAnsi="Times New Roman"/>
                      <w:bCs/>
                      <w:sz w:val="21"/>
                      <w:szCs w:val="21"/>
                    </w:rPr>
                    <w:t>0</w:t>
                  </w:r>
                  <w:r>
                    <w:rPr>
                      <w:rFonts w:ascii="Times New Roman" w:hAnsi="Times New Roman"/>
                      <w:bCs/>
                      <w:sz w:val="21"/>
                      <w:szCs w:val="21"/>
                    </w:rPr>
                    <w:t>.0004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28" w:type="dxa"/>
                  <w:bottom w:w="28" w:type="dxa"/>
                  <w:right w:w="28" w:type="dxa"/>
                </w:tblCellMar>
              </w:tblPrEx>
              <w:trPr>
                <w:cantSplit/>
                <w:trHeight w:val="23" w:hRule="atLeast"/>
                <w:jc w:val="center"/>
              </w:trPr>
              <w:tc>
                <w:tcPr>
                  <w:tcW w:w="6679" w:type="dxa"/>
                  <w:gridSpan w:val="4"/>
                  <w:shd w:val="clear" w:color="auto" w:fill="auto"/>
                  <w:vAlign w:val="center"/>
                </w:tcPr>
                <w:p>
                  <w:pPr>
                    <w:pStyle w:val="18"/>
                    <w:spacing w:before="0" w:beforeAutospacing="0" w:after="0" w:afterAutospacing="0" w:line="360" w:lineRule="exact"/>
                    <w:jc w:val="center"/>
                    <w:rPr>
                      <w:rFonts w:ascii="Times New Roman" w:hAnsi="Times New Roman"/>
                      <w:bCs/>
                      <w:sz w:val="21"/>
                      <w:szCs w:val="21"/>
                    </w:rPr>
                  </w:pPr>
                  <w:r>
                    <w:rPr>
                      <w:rFonts w:hint="eastAsia" w:ascii="Times New Roman" w:hAnsi="Times New Roman"/>
                      <w:bCs/>
                      <w:sz w:val="21"/>
                      <w:szCs w:val="21"/>
                    </w:rPr>
                    <w:t>Σ</w:t>
                  </w:r>
                  <w:r>
                    <w:rPr>
                      <w:rFonts w:ascii="Times New Roman" w:hAnsi="Times New Roman"/>
                      <w:bCs/>
                      <w:sz w:val="21"/>
                      <w:szCs w:val="21"/>
                    </w:rPr>
                    <w:t>Q</w:t>
                  </w:r>
                </w:p>
              </w:tc>
              <w:tc>
                <w:tcPr>
                  <w:tcW w:w="1668" w:type="dxa"/>
                  <w:shd w:val="clear" w:color="auto" w:fill="auto"/>
                  <w:vAlign w:val="center"/>
                </w:tcPr>
                <w:p>
                  <w:pPr>
                    <w:pStyle w:val="18"/>
                    <w:spacing w:before="0" w:beforeAutospacing="0" w:after="0" w:afterAutospacing="0" w:line="360" w:lineRule="exact"/>
                    <w:jc w:val="center"/>
                    <w:rPr>
                      <w:rFonts w:ascii="Times New Roman" w:hAnsi="Times New Roman" w:cs="仿宋"/>
                      <w:bCs/>
                      <w:sz w:val="21"/>
                      <w:szCs w:val="21"/>
                    </w:rPr>
                  </w:pPr>
                  <w:r>
                    <w:rPr>
                      <w:rFonts w:hint="eastAsia" w:ascii="Times New Roman" w:hAnsi="Times New Roman"/>
                      <w:bCs/>
                      <w:sz w:val="21"/>
                      <w:szCs w:val="21"/>
                    </w:rPr>
                    <w:t>0.</w:t>
                  </w:r>
                  <w:r>
                    <w:rPr>
                      <w:rFonts w:ascii="Times New Roman" w:hAnsi="Times New Roman"/>
                      <w:bCs/>
                      <w:sz w:val="21"/>
                      <w:szCs w:val="21"/>
                    </w:rPr>
                    <w:t>005</w:t>
                  </w:r>
                </w:p>
              </w:tc>
            </w:tr>
          </w:tbl>
          <w:p>
            <w:pPr>
              <w:pStyle w:val="63"/>
              <w:ind w:firstLine="480"/>
            </w:pPr>
            <w:r>
              <w:rPr>
                <w:rFonts w:hint="eastAsia"/>
              </w:rPr>
              <w:t>本项目定量分析危险物质数量与临界量的比值Q值为0.</w:t>
            </w:r>
            <w:r>
              <w:t>005</w:t>
            </w:r>
            <w:r>
              <w:rPr>
                <w:rFonts w:hint="eastAsia"/>
              </w:rPr>
              <w:t>，属于Q＜1，该项目环境风险潜势为Ⅰ，根据《建设项目环境风险评价技术导则》（HJ169-2018）环境风险评价工作等级划分依据，环境风险潜势为Ⅰ，环境风险评价工作等级为简单分析。</w:t>
            </w:r>
          </w:p>
          <w:p>
            <w:pPr>
              <w:pStyle w:val="63"/>
              <w:ind w:firstLine="480"/>
              <w:rPr>
                <w:rFonts w:ascii="黑体" w:hAnsi="黑体" w:eastAsia="黑体"/>
              </w:rPr>
            </w:pPr>
            <w:r>
              <w:rPr>
                <w:rFonts w:hint="eastAsia" w:ascii="黑体" w:hAnsi="黑体" w:eastAsia="黑体"/>
              </w:rPr>
              <w:t>7</w:t>
            </w:r>
            <w:r>
              <w:rPr>
                <w:rFonts w:ascii="黑体" w:hAnsi="黑体" w:eastAsia="黑体"/>
              </w:rPr>
              <w:t>.3</w:t>
            </w:r>
            <w:r>
              <w:rPr>
                <w:rFonts w:hint="eastAsia" w:ascii="黑体" w:hAnsi="黑体" w:eastAsia="黑体"/>
              </w:rPr>
              <w:t>环境风险识别</w:t>
            </w:r>
          </w:p>
          <w:p>
            <w:pPr>
              <w:pStyle w:val="63"/>
              <w:ind w:firstLine="482"/>
              <w:rPr>
                <w:rFonts w:ascii="楷体" w:hAnsi="楷体" w:eastAsia="楷体"/>
                <w:b/>
                <w:bCs/>
                <w:szCs w:val="21"/>
              </w:rPr>
            </w:pPr>
            <w:r>
              <w:rPr>
                <w:rFonts w:hint="eastAsia" w:ascii="楷体" w:hAnsi="楷体" w:eastAsia="楷体"/>
                <w:b/>
                <w:bCs/>
                <w:szCs w:val="21"/>
              </w:rPr>
              <w:t>7</w:t>
            </w:r>
            <w:r>
              <w:rPr>
                <w:rFonts w:ascii="楷体" w:hAnsi="楷体" w:eastAsia="楷体"/>
                <w:b/>
                <w:bCs/>
                <w:szCs w:val="21"/>
              </w:rPr>
              <w:t>.3.1</w:t>
            </w:r>
            <w:r>
              <w:rPr>
                <w:rFonts w:hint="eastAsia" w:ascii="楷体" w:hAnsi="楷体" w:eastAsia="楷体"/>
                <w:b/>
                <w:bCs/>
                <w:szCs w:val="21"/>
              </w:rPr>
              <w:t>物质危险性识</w:t>
            </w:r>
          </w:p>
          <w:p>
            <w:pPr>
              <w:pStyle w:val="63"/>
              <w:ind w:firstLine="480"/>
              <w:rPr>
                <w:szCs w:val="21"/>
              </w:rPr>
            </w:pPr>
            <w:r>
              <w:rPr>
                <w:rFonts w:hint="eastAsia"/>
                <w:szCs w:val="21"/>
              </w:rPr>
              <w:t>（1）炸药</w:t>
            </w:r>
          </w:p>
          <w:p>
            <w:pPr>
              <w:pStyle w:val="63"/>
              <w:ind w:firstLine="480"/>
              <w:rPr>
                <w:szCs w:val="21"/>
              </w:rPr>
            </w:pPr>
            <w:r>
              <w:rPr>
                <w:rFonts w:hint="eastAsia"/>
                <w:szCs w:val="21"/>
              </w:rPr>
              <w:t>本项目使用的炸药为乳化炸药，乳化炸药是由饱和的硝酸铵的水相均匀的分布在含有分散气泡或空心玻璃微珠等多孔物质的油相连续介质中，形成一种油包水型的乳胶状含水工业炸药。</w:t>
            </w:r>
          </w:p>
          <w:p>
            <w:pPr>
              <w:pStyle w:val="63"/>
              <w:ind w:firstLine="480"/>
              <w:rPr>
                <w:szCs w:val="21"/>
              </w:rPr>
            </w:pPr>
            <w:r>
              <w:rPr>
                <w:rFonts w:hint="eastAsia"/>
                <w:szCs w:val="21"/>
              </w:rPr>
              <w:t>炸药（硝酸铵）理化性质和危险特性详见下表。</w:t>
            </w:r>
          </w:p>
          <w:p>
            <w:pPr>
              <w:pStyle w:val="50"/>
              <w:numPr>
                <w:ilvl w:val="0"/>
                <w:numId w:val="2"/>
              </w:numPr>
              <w:snapToGrid w:val="0"/>
              <w:spacing w:line="240" w:lineRule="auto"/>
              <w:ind w:firstLineChars="0"/>
              <w:jc w:val="center"/>
            </w:pPr>
            <w:r>
              <w:rPr>
                <w:rFonts w:hint="eastAsia"/>
                <w:b/>
                <w:bCs/>
              </w:rPr>
              <w:t>炸药（硝酸铵）理化性质和危险特性</w:t>
            </w:r>
          </w:p>
          <w:tbl>
            <w:tblPr>
              <w:tblStyle w:val="23"/>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666"/>
              <w:gridCol w:w="666"/>
              <w:gridCol w:w="63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80" w:type="dxa"/>
                  <w:shd w:val="clear" w:color="auto" w:fill="auto"/>
                  <w:vAlign w:val="center"/>
                </w:tcPr>
                <w:p>
                  <w:pPr>
                    <w:pStyle w:val="50"/>
                    <w:snapToGrid w:val="0"/>
                    <w:spacing w:line="360" w:lineRule="exact"/>
                    <w:ind w:firstLine="0" w:firstLineChars="0"/>
                    <w:jc w:val="center"/>
                    <w:rPr>
                      <w:sz w:val="21"/>
                    </w:rPr>
                  </w:pPr>
                  <w:r>
                    <w:rPr>
                      <w:rFonts w:hint="eastAsia"/>
                      <w:sz w:val="21"/>
                    </w:rPr>
                    <w:t>名称</w:t>
                  </w:r>
                </w:p>
              </w:tc>
              <w:tc>
                <w:tcPr>
                  <w:tcW w:w="666" w:type="dxa"/>
                  <w:shd w:val="clear" w:color="auto" w:fill="auto"/>
                  <w:vAlign w:val="center"/>
                </w:tcPr>
                <w:p>
                  <w:pPr>
                    <w:pStyle w:val="50"/>
                    <w:snapToGrid w:val="0"/>
                    <w:spacing w:line="360" w:lineRule="exact"/>
                    <w:ind w:firstLine="0" w:firstLineChars="0"/>
                    <w:jc w:val="center"/>
                    <w:rPr>
                      <w:sz w:val="21"/>
                    </w:rPr>
                  </w:pPr>
                  <w:r>
                    <w:rPr>
                      <w:rFonts w:hint="eastAsia"/>
                      <w:sz w:val="21"/>
                    </w:rPr>
                    <w:t>主要成分</w:t>
                  </w:r>
                </w:p>
              </w:tc>
              <w:tc>
                <w:tcPr>
                  <w:tcW w:w="666" w:type="dxa"/>
                  <w:shd w:val="clear" w:color="auto" w:fill="auto"/>
                  <w:vAlign w:val="center"/>
                </w:tcPr>
                <w:p>
                  <w:pPr>
                    <w:pStyle w:val="50"/>
                    <w:snapToGrid w:val="0"/>
                    <w:spacing w:line="360" w:lineRule="exact"/>
                    <w:ind w:firstLine="0" w:firstLineChars="0"/>
                    <w:jc w:val="center"/>
                    <w:rPr>
                      <w:sz w:val="21"/>
                    </w:rPr>
                  </w:pPr>
                  <w:r>
                    <w:rPr>
                      <w:rFonts w:hint="eastAsia"/>
                      <w:sz w:val="21"/>
                    </w:rPr>
                    <w:t>风险类型</w:t>
                  </w:r>
                </w:p>
              </w:tc>
              <w:tc>
                <w:tcPr>
                  <w:tcW w:w="6337" w:type="dxa"/>
                  <w:shd w:val="clear" w:color="auto" w:fill="auto"/>
                  <w:vAlign w:val="center"/>
                </w:tcPr>
                <w:p>
                  <w:pPr>
                    <w:pStyle w:val="50"/>
                    <w:snapToGrid w:val="0"/>
                    <w:spacing w:line="360" w:lineRule="exact"/>
                    <w:ind w:firstLine="0" w:firstLineChars="0"/>
                    <w:jc w:val="center"/>
                    <w:rPr>
                      <w:sz w:val="21"/>
                    </w:rPr>
                  </w:pPr>
                  <w:r>
                    <w:rPr>
                      <w:rFonts w:hint="eastAsia"/>
                      <w:sz w:val="21"/>
                    </w:rPr>
                    <w:t>理化性质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80" w:type="dxa"/>
                  <w:shd w:val="clear" w:color="auto" w:fill="auto"/>
                  <w:vAlign w:val="center"/>
                </w:tcPr>
                <w:p>
                  <w:pPr>
                    <w:pStyle w:val="50"/>
                    <w:snapToGrid w:val="0"/>
                    <w:spacing w:line="360" w:lineRule="exact"/>
                    <w:ind w:firstLine="0" w:firstLineChars="0"/>
                    <w:jc w:val="center"/>
                    <w:rPr>
                      <w:sz w:val="21"/>
                    </w:rPr>
                  </w:pPr>
                  <w:r>
                    <w:rPr>
                      <w:rFonts w:hint="eastAsia"/>
                      <w:sz w:val="21"/>
                    </w:rPr>
                    <w:t>炸药</w:t>
                  </w:r>
                </w:p>
              </w:tc>
              <w:tc>
                <w:tcPr>
                  <w:tcW w:w="666" w:type="dxa"/>
                  <w:shd w:val="clear" w:color="auto" w:fill="auto"/>
                  <w:vAlign w:val="center"/>
                </w:tcPr>
                <w:p>
                  <w:pPr>
                    <w:pStyle w:val="50"/>
                    <w:snapToGrid w:val="0"/>
                    <w:spacing w:line="360" w:lineRule="exact"/>
                    <w:ind w:firstLine="0" w:firstLineChars="0"/>
                    <w:jc w:val="center"/>
                    <w:rPr>
                      <w:sz w:val="21"/>
                    </w:rPr>
                  </w:pPr>
                  <w:r>
                    <w:rPr>
                      <w:rFonts w:hint="eastAsia"/>
                      <w:sz w:val="21"/>
                    </w:rPr>
                    <w:t>硝酸铵</w:t>
                  </w:r>
                </w:p>
              </w:tc>
              <w:tc>
                <w:tcPr>
                  <w:tcW w:w="666" w:type="dxa"/>
                  <w:shd w:val="clear" w:color="auto" w:fill="auto"/>
                  <w:vAlign w:val="center"/>
                </w:tcPr>
                <w:p>
                  <w:pPr>
                    <w:pStyle w:val="50"/>
                    <w:snapToGrid w:val="0"/>
                    <w:spacing w:line="360" w:lineRule="exact"/>
                    <w:ind w:firstLine="0" w:firstLineChars="0"/>
                    <w:jc w:val="center"/>
                    <w:rPr>
                      <w:sz w:val="21"/>
                    </w:rPr>
                  </w:pPr>
                  <w:r>
                    <w:rPr>
                      <w:rFonts w:hint="eastAsia"/>
                      <w:sz w:val="21"/>
                    </w:rPr>
                    <w:t>爆炸</w:t>
                  </w:r>
                </w:p>
              </w:tc>
              <w:tc>
                <w:tcPr>
                  <w:tcW w:w="6337" w:type="dxa"/>
                  <w:shd w:val="clear" w:color="auto" w:fill="auto"/>
                  <w:vAlign w:val="center"/>
                </w:tcPr>
                <w:p>
                  <w:pPr>
                    <w:pStyle w:val="50"/>
                    <w:snapToGrid w:val="0"/>
                    <w:spacing w:line="360" w:lineRule="exact"/>
                    <w:ind w:firstLine="0" w:firstLineChars="0"/>
                    <w:jc w:val="left"/>
                    <w:rPr>
                      <w:sz w:val="21"/>
                    </w:rPr>
                  </w:pPr>
                  <w:r>
                    <w:rPr>
                      <w:rFonts w:hint="eastAsia"/>
                      <w:sz w:val="21"/>
                    </w:rPr>
                    <w:t>硝酸铵分子式：NH</w:t>
                  </w:r>
                  <w:r>
                    <w:rPr>
                      <w:rFonts w:hint="eastAsia"/>
                      <w:sz w:val="21"/>
                      <w:vertAlign w:val="subscript"/>
                    </w:rPr>
                    <w:t>4</w:t>
                  </w:r>
                  <w:r>
                    <w:rPr>
                      <w:rFonts w:hint="eastAsia"/>
                      <w:sz w:val="21"/>
                    </w:rPr>
                    <w:t>NO</w:t>
                  </w:r>
                  <w:r>
                    <w:rPr>
                      <w:rFonts w:hint="eastAsia"/>
                      <w:sz w:val="21"/>
                      <w:vertAlign w:val="subscript"/>
                    </w:rPr>
                    <w:t>3</w:t>
                  </w:r>
                  <w:r>
                    <w:rPr>
                      <w:rFonts w:hint="eastAsia"/>
                      <w:sz w:val="21"/>
                    </w:rPr>
                    <w:t>；分子量：80.0434；外观与性状：无色斜方晶系结晶或白色细小颗粒状结晶；熔点：169.6℃，沸点：210℃，相对密度：1.725（25℃），溶解性：溶于水、甲醇、乙醇、丙酮和液氨（190g/100mL（20℃）），不溶于醚。</w:t>
                  </w:r>
                </w:p>
              </w:tc>
            </w:tr>
          </w:tbl>
          <w:p>
            <w:pPr>
              <w:pStyle w:val="63"/>
              <w:ind w:firstLine="480"/>
            </w:pPr>
            <w:r>
              <w:rPr>
                <w:rFonts w:hint="eastAsia"/>
              </w:rPr>
              <w:t>（2）柴油</w:t>
            </w:r>
          </w:p>
          <w:p>
            <w:pPr>
              <w:pStyle w:val="63"/>
              <w:ind w:firstLine="480"/>
              <w:rPr>
                <w:szCs w:val="21"/>
              </w:rPr>
            </w:pPr>
            <w:r>
              <w:rPr>
                <w:rFonts w:hint="eastAsia"/>
                <w:szCs w:val="21"/>
              </w:rPr>
              <w:t>柴油理化性质和危险特性见下表。</w:t>
            </w:r>
          </w:p>
          <w:p>
            <w:pPr>
              <w:pStyle w:val="50"/>
              <w:numPr>
                <w:ilvl w:val="0"/>
                <w:numId w:val="2"/>
              </w:numPr>
              <w:snapToGrid w:val="0"/>
              <w:spacing w:line="240" w:lineRule="auto"/>
              <w:ind w:firstLineChars="0"/>
              <w:jc w:val="center"/>
            </w:pPr>
            <w:r>
              <w:rPr>
                <w:rFonts w:hint="eastAsia"/>
                <w:b/>
                <w:bCs/>
              </w:rPr>
              <w:t>柴油理化性质和危险特性</w:t>
            </w:r>
          </w:p>
          <w:tbl>
            <w:tblPr>
              <w:tblStyle w:val="22"/>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16"/>
              <w:gridCol w:w="2281"/>
              <w:gridCol w:w="112"/>
              <w:gridCol w:w="2107"/>
              <w:gridCol w:w="32"/>
              <w:gridCol w:w="22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349" w:type="dxa"/>
                  <w:gridSpan w:val="6"/>
                  <w:shd w:val="clear" w:color="auto" w:fill="auto"/>
                  <w:vAlign w:val="center"/>
                </w:tcPr>
                <w:p>
                  <w:pPr>
                    <w:spacing w:line="360" w:lineRule="exact"/>
                    <w:jc w:val="center"/>
                    <w:rPr>
                      <w:szCs w:val="21"/>
                    </w:rPr>
                  </w:pPr>
                  <w:r>
                    <w:rPr>
                      <w:b/>
                    </w:rPr>
                    <w:t>危险性概述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危险性类别：</w:t>
                  </w:r>
                </w:p>
              </w:tc>
              <w:tc>
                <w:tcPr>
                  <w:tcW w:w="2393" w:type="dxa"/>
                  <w:gridSpan w:val="2"/>
                  <w:shd w:val="clear" w:color="auto" w:fill="auto"/>
                  <w:vAlign w:val="center"/>
                </w:tcPr>
                <w:p>
                  <w:pPr>
                    <w:spacing w:line="360" w:lineRule="exact"/>
                    <w:jc w:val="center"/>
                  </w:pPr>
                  <w:r>
                    <w:t>第3.3类高闪点 易燃液体</w:t>
                  </w:r>
                </w:p>
              </w:tc>
              <w:tc>
                <w:tcPr>
                  <w:tcW w:w="2139" w:type="dxa"/>
                  <w:gridSpan w:val="2"/>
                  <w:shd w:val="clear" w:color="auto" w:fill="auto"/>
                  <w:vAlign w:val="center"/>
                </w:tcPr>
                <w:p>
                  <w:pPr>
                    <w:spacing w:line="360" w:lineRule="exact"/>
                    <w:jc w:val="center"/>
                  </w:pPr>
                  <w:r>
                    <w:t>燃爆危险：</w:t>
                  </w:r>
                </w:p>
              </w:tc>
              <w:tc>
                <w:tcPr>
                  <w:tcW w:w="2201" w:type="dxa"/>
                  <w:shd w:val="clear" w:color="auto" w:fill="auto"/>
                  <w:vAlign w:val="center"/>
                </w:tcPr>
                <w:p>
                  <w:pPr>
                    <w:spacing w:line="360" w:lineRule="exact"/>
                    <w:jc w:val="center"/>
                  </w:pPr>
                  <w:r>
                    <w:t>易燃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侵入途径：</w:t>
                  </w:r>
                </w:p>
              </w:tc>
              <w:tc>
                <w:tcPr>
                  <w:tcW w:w="2393" w:type="dxa"/>
                  <w:gridSpan w:val="2"/>
                  <w:shd w:val="clear" w:color="auto" w:fill="auto"/>
                  <w:vAlign w:val="center"/>
                </w:tcPr>
                <w:p>
                  <w:pPr>
                    <w:adjustRightInd w:val="0"/>
                    <w:snapToGrid w:val="0"/>
                    <w:spacing w:line="360" w:lineRule="exact"/>
                    <w:jc w:val="center"/>
                    <w:rPr>
                      <w:kern w:val="0"/>
                    </w:rPr>
                  </w:pPr>
                  <w:r>
                    <w:rPr>
                      <w:kern w:val="0"/>
                    </w:rPr>
                    <w:t>吸入、食入、经皮吸收</w:t>
                  </w:r>
                </w:p>
              </w:tc>
              <w:tc>
                <w:tcPr>
                  <w:tcW w:w="2139" w:type="dxa"/>
                  <w:gridSpan w:val="2"/>
                  <w:shd w:val="clear" w:color="auto" w:fill="auto"/>
                  <w:vAlign w:val="center"/>
                </w:tcPr>
                <w:p>
                  <w:pPr>
                    <w:spacing w:line="360" w:lineRule="exact"/>
                    <w:jc w:val="center"/>
                    <w:rPr>
                      <w:szCs w:val="21"/>
                    </w:rPr>
                  </w:pPr>
                  <w:r>
                    <w:t>有害燃烧产物：</w:t>
                  </w:r>
                </w:p>
              </w:tc>
              <w:tc>
                <w:tcPr>
                  <w:tcW w:w="2201" w:type="dxa"/>
                  <w:shd w:val="clear" w:color="auto" w:fill="auto"/>
                  <w:vAlign w:val="center"/>
                </w:tcPr>
                <w:p>
                  <w:pPr>
                    <w:spacing w:line="360" w:lineRule="exact"/>
                    <w:jc w:val="center"/>
                  </w:pPr>
                  <w:r>
                    <w:t>一氧化碳、二氧化碳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环境危害：</w:t>
                  </w:r>
                </w:p>
              </w:tc>
              <w:tc>
                <w:tcPr>
                  <w:tcW w:w="6733" w:type="dxa"/>
                  <w:gridSpan w:val="5"/>
                  <w:shd w:val="clear" w:color="auto" w:fill="auto"/>
                  <w:vAlign w:val="center"/>
                </w:tcPr>
                <w:p>
                  <w:pPr>
                    <w:spacing w:line="360" w:lineRule="exact"/>
                    <w:jc w:val="center"/>
                  </w:pPr>
                  <w:r>
                    <w:t>该物质对环境有危害，特别注意对地表水、土壤、大气和饮用水的污染。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349" w:type="dxa"/>
                  <w:gridSpan w:val="6"/>
                  <w:shd w:val="clear" w:color="auto" w:fill="auto"/>
                  <w:vAlign w:val="center"/>
                </w:tcPr>
                <w:p>
                  <w:pPr>
                    <w:spacing w:line="360" w:lineRule="exact"/>
                    <w:jc w:val="center"/>
                  </w:pPr>
                  <w:r>
                    <w:rPr>
                      <w:b/>
                    </w:rPr>
                    <w:t>理化特性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外观及性状：</w:t>
                  </w:r>
                </w:p>
              </w:tc>
              <w:tc>
                <w:tcPr>
                  <w:tcW w:w="2281" w:type="dxa"/>
                  <w:shd w:val="clear" w:color="auto" w:fill="auto"/>
                  <w:vAlign w:val="center"/>
                </w:tcPr>
                <w:p>
                  <w:pPr>
                    <w:spacing w:line="360" w:lineRule="exact"/>
                    <w:jc w:val="center"/>
                  </w:pPr>
                  <w:r>
                    <w:t>稍有粘性的棕色液体。</w:t>
                  </w:r>
                </w:p>
              </w:tc>
              <w:tc>
                <w:tcPr>
                  <w:tcW w:w="2219" w:type="dxa"/>
                  <w:gridSpan w:val="2"/>
                  <w:shd w:val="clear" w:color="auto" w:fill="auto"/>
                  <w:vAlign w:val="center"/>
                </w:tcPr>
                <w:p>
                  <w:pPr>
                    <w:spacing w:line="360" w:lineRule="exact"/>
                    <w:jc w:val="center"/>
                  </w:pPr>
                  <w:r>
                    <w:t>主要用途：</w:t>
                  </w:r>
                </w:p>
              </w:tc>
              <w:tc>
                <w:tcPr>
                  <w:tcW w:w="2233" w:type="dxa"/>
                  <w:gridSpan w:val="2"/>
                  <w:shd w:val="clear" w:color="auto" w:fill="auto"/>
                  <w:vAlign w:val="center"/>
                </w:tcPr>
                <w:p>
                  <w:pPr>
                    <w:spacing w:line="360" w:lineRule="exact"/>
                    <w:jc w:val="center"/>
                  </w:pPr>
                  <w:r>
                    <w:t>用作柴油机的燃料等。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闪点（</w:t>
                  </w:r>
                  <w:r>
                    <w:rPr>
                      <w:rFonts w:hint="eastAsia"/>
                    </w:rPr>
                    <w:t>℃</w:t>
                  </w:r>
                  <w:r>
                    <w:t>）：</w:t>
                  </w:r>
                </w:p>
              </w:tc>
              <w:tc>
                <w:tcPr>
                  <w:tcW w:w="2281" w:type="dxa"/>
                  <w:shd w:val="clear" w:color="auto" w:fill="auto"/>
                  <w:vAlign w:val="center"/>
                </w:tcPr>
                <w:p>
                  <w:pPr>
                    <w:spacing w:line="360" w:lineRule="exact"/>
                    <w:jc w:val="center"/>
                  </w:pPr>
                  <w:r>
                    <w:t>45～55</w:t>
                  </w:r>
                  <w:r>
                    <w:rPr>
                      <w:rFonts w:hint="eastAsia"/>
                    </w:rPr>
                    <w:t>℃</w:t>
                  </w:r>
                </w:p>
              </w:tc>
              <w:tc>
                <w:tcPr>
                  <w:tcW w:w="2219" w:type="dxa"/>
                  <w:gridSpan w:val="2"/>
                  <w:shd w:val="clear" w:color="auto" w:fill="auto"/>
                  <w:vAlign w:val="center"/>
                </w:tcPr>
                <w:p>
                  <w:pPr>
                    <w:spacing w:line="360" w:lineRule="exact"/>
                    <w:jc w:val="center"/>
                  </w:pPr>
                  <w:r>
                    <w:t>相对密度（水＝1）：</w:t>
                  </w:r>
                </w:p>
              </w:tc>
              <w:tc>
                <w:tcPr>
                  <w:tcW w:w="2233" w:type="dxa"/>
                  <w:gridSpan w:val="2"/>
                  <w:shd w:val="clear" w:color="auto" w:fill="auto"/>
                  <w:vAlign w:val="center"/>
                </w:tcPr>
                <w:p>
                  <w:pPr>
                    <w:spacing w:line="360" w:lineRule="exact"/>
                    <w:jc w:val="center"/>
                  </w:pPr>
                  <w:r>
                    <w:t>0.87～0.9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沸点（</w:t>
                  </w:r>
                  <w:r>
                    <w:rPr>
                      <w:rFonts w:hint="eastAsia"/>
                    </w:rPr>
                    <w:t>℃</w:t>
                  </w:r>
                  <w:r>
                    <w:t>）：</w:t>
                  </w:r>
                </w:p>
              </w:tc>
              <w:tc>
                <w:tcPr>
                  <w:tcW w:w="2281" w:type="dxa"/>
                  <w:shd w:val="clear" w:color="auto" w:fill="auto"/>
                  <w:vAlign w:val="center"/>
                </w:tcPr>
                <w:p>
                  <w:pPr>
                    <w:spacing w:line="360" w:lineRule="exact"/>
                    <w:jc w:val="center"/>
                  </w:pPr>
                  <w:r>
                    <w:t>200～350</w:t>
                  </w:r>
                  <w:r>
                    <w:rPr>
                      <w:rFonts w:hint="eastAsia"/>
                    </w:rPr>
                    <w:t>℃</w:t>
                  </w:r>
                </w:p>
              </w:tc>
              <w:tc>
                <w:tcPr>
                  <w:tcW w:w="2219" w:type="dxa"/>
                  <w:gridSpan w:val="2"/>
                  <w:shd w:val="clear" w:color="auto" w:fill="auto"/>
                  <w:vAlign w:val="center"/>
                </w:tcPr>
                <w:p>
                  <w:pPr>
                    <w:spacing w:line="360" w:lineRule="exact"/>
                    <w:jc w:val="center"/>
                  </w:pPr>
                  <w:r>
                    <w:t>爆炸上限％（V/V）：</w:t>
                  </w:r>
                </w:p>
              </w:tc>
              <w:tc>
                <w:tcPr>
                  <w:tcW w:w="2233" w:type="dxa"/>
                  <w:gridSpan w:val="2"/>
                  <w:shd w:val="clear" w:color="auto" w:fill="auto"/>
                  <w:vAlign w:val="center"/>
                </w:tcPr>
                <w:p>
                  <w:pPr>
                    <w:spacing w:line="360" w:lineRule="exact"/>
                    <w:jc w:val="center"/>
                  </w:pPr>
                  <w:r>
                    <w:t>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自</w:t>
                  </w:r>
                  <w:r>
                    <w:rPr>
                      <w:rFonts w:hint="eastAsia"/>
                    </w:rPr>
                    <w:t>燃</w:t>
                  </w:r>
                  <w:r>
                    <w:t>点（</w:t>
                  </w:r>
                  <w:r>
                    <w:rPr>
                      <w:rFonts w:hint="eastAsia"/>
                    </w:rPr>
                    <w:t>℃</w:t>
                  </w:r>
                  <w:r>
                    <w:t>）：</w:t>
                  </w:r>
                </w:p>
              </w:tc>
              <w:tc>
                <w:tcPr>
                  <w:tcW w:w="2281" w:type="dxa"/>
                  <w:shd w:val="clear" w:color="auto" w:fill="auto"/>
                  <w:vAlign w:val="center"/>
                </w:tcPr>
                <w:p>
                  <w:pPr>
                    <w:spacing w:line="360" w:lineRule="exact"/>
                    <w:jc w:val="center"/>
                  </w:pPr>
                  <w:r>
                    <w:t>257</w:t>
                  </w:r>
                </w:p>
              </w:tc>
              <w:tc>
                <w:tcPr>
                  <w:tcW w:w="2219" w:type="dxa"/>
                  <w:gridSpan w:val="2"/>
                  <w:shd w:val="clear" w:color="auto" w:fill="auto"/>
                  <w:vAlign w:val="center"/>
                </w:tcPr>
                <w:p>
                  <w:pPr>
                    <w:spacing w:line="360" w:lineRule="exact"/>
                    <w:jc w:val="center"/>
                  </w:pPr>
                  <w:r>
                    <w:t>爆炸下限％（V/V）：</w:t>
                  </w:r>
                </w:p>
              </w:tc>
              <w:tc>
                <w:tcPr>
                  <w:tcW w:w="2233" w:type="dxa"/>
                  <w:gridSpan w:val="2"/>
                  <w:shd w:val="clear" w:color="auto" w:fill="auto"/>
                  <w:vAlign w:val="center"/>
                </w:tcPr>
                <w:p>
                  <w:pPr>
                    <w:spacing w:line="360" w:lineRule="exact"/>
                    <w:jc w:val="center"/>
                  </w:pPr>
                  <w: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溶解性：</w:t>
                  </w:r>
                </w:p>
              </w:tc>
              <w:tc>
                <w:tcPr>
                  <w:tcW w:w="6733" w:type="dxa"/>
                  <w:gridSpan w:val="5"/>
                  <w:shd w:val="clear" w:color="auto" w:fill="auto"/>
                  <w:vAlign w:val="center"/>
                </w:tcPr>
                <w:p>
                  <w:pPr>
                    <w:spacing w:line="360" w:lineRule="exact"/>
                    <w:jc w:val="center"/>
                  </w:pPr>
                  <w:r>
                    <w:t>不溶于水，易溶于苯、二硫化碳、醇，易溶于脂肪。</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349" w:type="dxa"/>
                  <w:gridSpan w:val="6"/>
                  <w:shd w:val="clear" w:color="auto" w:fill="auto"/>
                  <w:vAlign w:val="center"/>
                </w:tcPr>
                <w:p>
                  <w:pPr>
                    <w:spacing w:line="360" w:lineRule="exact"/>
                    <w:jc w:val="center"/>
                  </w:pPr>
                  <w:r>
                    <w:rPr>
                      <w:b/>
                    </w:rPr>
                    <w:t>稳定性及化学活性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稳定性：</w:t>
                  </w:r>
                </w:p>
              </w:tc>
              <w:tc>
                <w:tcPr>
                  <w:tcW w:w="2281" w:type="dxa"/>
                  <w:shd w:val="clear" w:color="auto" w:fill="auto"/>
                  <w:vAlign w:val="center"/>
                </w:tcPr>
                <w:p>
                  <w:pPr>
                    <w:spacing w:line="360" w:lineRule="exact"/>
                    <w:jc w:val="center"/>
                  </w:pPr>
                  <w:r>
                    <w:t>稳定</w:t>
                  </w:r>
                </w:p>
              </w:tc>
              <w:tc>
                <w:tcPr>
                  <w:tcW w:w="2251" w:type="dxa"/>
                  <w:gridSpan w:val="3"/>
                  <w:shd w:val="clear" w:color="auto" w:fill="auto"/>
                  <w:vAlign w:val="center"/>
                </w:tcPr>
                <w:p>
                  <w:pPr>
                    <w:spacing w:line="360" w:lineRule="exact"/>
                    <w:jc w:val="center"/>
                  </w:pPr>
                  <w:r>
                    <w:t>避免接触的条件：</w:t>
                  </w:r>
                </w:p>
              </w:tc>
              <w:tc>
                <w:tcPr>
                  <w:tcW w:w="2201" w:type="dxa"/>
                  <w:shd w:val="clear" w:color="auto" w:fill="auto"/>
                  <w:vAlign w:val="center"/>
                </w:tcPr>
                <w:p>
                  <w:pPr>
                    <w:spacing w:line="360" w:lineRule="exact"/>
                    <w:jc w:val="center"/>
                  </w:pPr>
                  <w:r>
                    <w:t>明火、高热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禁配物：</w:t>
                  </w:r>
                </w:p>
              </w:tc>
              <w:tc>
                <w:tcPr>
                  <w:tcW w:w="2281" w:type="dxa"/>
                  <w:shd w:val="clear" w:color="auto" w:fill="auto"/>
                  <w:vAlign w:val="center"/>
                </w:tcPr>
                <w:p>
                  <w:pPr>
                    <w:spacing w:line="360" w:lineRule="exact"/>
                    <w:jc w:val="center"/>
                  </w:pPr>
                  <w:r>
                    <w:t>强氧化剂、卤素</w:t>
                  </w:r>
                </w:p>
              </w:tc>
              <w:tc>
                <w:tcPr>
                  <w:tcW w:w="2251" w:type="dxa"/>
                  <w:gridSpan w:val="3"/>
                  <w:shd w:val="clear" w:color="auto" w:fill="auto"/>
                  <w:vAlign w:val="center"/>
                </w:tcPr>
                <w:p>
                  <w:pPr>
                    <w:spacing w:line="360" w:lineRule="exact"/>
                    <w:jc w:val="center"/>
                  </w:pPr>
                  <w:r>
                    <w:t>聚合危害：</w:t>
                  </w:r>
                </w:p>
              </w:tc>
              <w:tc>
                <w:tcPr>
                  <w:tcW w:w="2201" w:type="dxa"/>
                  <w:shd w:val="clear" w:color="auto" w:fill="auto"/>
                  <w:vAlign w:val="center"/>
                </w:tcPr>
                <w:p>
                  <w:pPr>
                    <w:spacing w:line="360" w:lineRule="exact"/>
                    <w:jc w:val="center"/>
                  </w:pPr>
                  <w:r>
                    <w:t>不聚合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分解产物：</w:t>
                  </w:r>
                </w:p>
              </w:tc>
              <w:tc>
                <w:tcPr>
                  <w:tcW w:w="6733" w:type="dxa"/>
                  <w:gridSpan w:val="5"/>
                  <w:shd w:val="clear" w:color="auto" w:fill="auto"/>
                  <w:vAlign w:val="center"/>
                </w:tcPr>
                <w:p>
                  <w:pPr>
                    <w:spacing w:line="360" w:lineRule="exact"/>
                    <w:jc w:val="center"/>
                  </w:pPr>
                  <w:r>
                    <w:t>一氧化碳、二氧化碳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349" w:type="dxa"/>
                  <w:gridSpan w:val="6"/>
                  <w:shd w:val="clear" w:color="auto" w:fill="auto"/>
                  <w:vAlign w:val="center"/>
                </w:tcPr>
                <w:p>
                  <w:pPr>
                    <w:spacing w:line="360" w:lineRule="exact"/>
                    <w:jc w:val="center"/>
                  </w:pPr>
                  <w:r>
                    <w:rPr>
                      <w:b/>
                    </w:rPr>
                    <w:t>毒理学资料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急性毒性：</w:t>
                  </w:r>
                </w:p>
              </w:tc>
              <w:tc>
                <w:tcPr>
                  <w:tcW w:w="6733" w:type="dxa"/>
                  <w:gridSpan w:val="5"/>
                  <w:shd w:val="clear" w:color="auto" w:fill="auto"/>
                  <w:vAlign w:val="center"/>
                </w:tcPr>
                <w:p>
                  <w:pPr>
                    <w:spacing w:line="360" w:lineRule="exact"/>
                    <w:jc w:val="center"/>
                  </w:pPr>
                  <w:r>
                    <w:t>LD</w:t>
                  </w:r>
                  <w:r>
                    <w:rPr>
                      <w:vertAlign w:val="subscript"/>
                    </w:rPr>
                    <w:t>50</w:t>
                  </w:r>
                  <w:r>
                    <w:t>7500mg/kg（大鼠经口）       LD</w:t>
                  </w:r>
                  <w:r>
                    <w:rPr>
                      <w:vertAlign w:val="subscript"/>
                    </w:rPr>
                    <w:t>50</w:t>
                  </w:r>
                  <w:r>
                    <w:t xml:space="preserve"> 5mL/kg（兔经皮）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急性中毒：</w:t>
                  </w:r>
                </w:p>
              </w:tc>
              <w:tc>
                <w:tcPr>
                  <w:tcW w:w="6733" w:type="dxa"/>
                  <w:gridSpan w:val="5"/>
                  <w:shd w:val="clear" w:color="auto" w:fill="auto"/>
                  <w:vAlign w:val="center"/>
                </w:tcPr>
                <w:p>
                  <w:pPr>
                    <w:spacing w:line="360" w:lineRule="exact"/>
                    <w:jc w:val="center"/>
                  </w:pPr>
                  <w:r>
                    <w:t>皮肤接触柴油可引起接触性皮炎、油性痤疮，吸入可引起吸入性肺炎，能经胎盘进入胎儿血中。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慢性中毒：</w:t>
                  </w:r>
                </w:p>
              </w:tc>
              <w:tc>
                <w:tcPr>
                  <w:tcW w:w="6733" w:type="dxa"/>
                  <w:gridSpan w:val="5"/>
                  <w:shd w:val="clear" w:color="auto" w:fill="auto"/>
                  <w:vAlign w:val="center"/>
                </w:tcPr>
                <w:p>
                  <w:pPr>
                    <w:spacing w:line="360" w:lineRule="exact"/>
                    <w:jc w:val="center"/>
                  </w:pPr>
                  <w:r>
                    <w:t>柴油废气可引起眼、鼻刺激症状，头痛。</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刺激性：</w:t>
                  </w:r>
                </w:p>
              </w:tc>
              <w:tc>
                <w:tcPr>
                  <w:tcW w:w="6733" w:type="dxa"/>
                  <w:gridSpan w:val="5"/>
                  <w:shd w:val="clear" w:color="auto" w:fill="auto"/>
                  <w:vAlign w:val="center"/>
                </w:tcPr>
                <w:p>
                  <w:pPr>
                    <w:spacing w:line="360" w:lineRule="exact"/>
                    <w:jc w:val="center"/>
                  </w:pPr>
                  <w:r>
                    <w:t>具有刺激作用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616" w:type="dxa"/>
                  <w:shd w:val="clear" w:color="auto" w:fill="auto"/>
                  <w:vAlign w:val="center"/>
                </w:tcPr>
                <w:p>
                  <w:pPr>
                    <w:spacing w:line="360" w:lineRule="exact"/>
                    <w:jc w:val="center"/>
                  </w:pPr>
                  <w:r>
                    <w:t>最高容许浓度</w:t>
                  </w:r>
                </w:p>
              </w:tc>
              <w:tc>
                <w:tcPr>
                  <w:tcW w:w="6733" w:type="dxa"/>
                  <w:gridSpan w:val="5"/>
                  <w:shd w:val="clear" w:color="auto" w:fill="auto"/>
                  <w:vAlign w:val="center"/>
                </w:tcPr>
                <w:p>
                  <w:pPr>
                    <w:spacing w:line="360" w:lineRule="exact"/>
                    <w:jc w:val="center"/>
                  </w:pPr>
                  <w:r>
                    <w:t>目前无标准</w:t>
                  </w:r>
                </w:p>
              </w:tc>
            </w:tr>
          </w:tbl>
          <w:p>
            <w:pPr>
              <w:pStyle w:val="47"/>
              <w:ind w:firstLine="480"/>
              <w:rPr>
                <w:color w:val="auto"/>
              </w:rPr>
            </w:pPr>
            <w:r>
              <w:rPr>
                <w:rFonts w:hint="eastAsia"/>
                <w:color w:val="auto"/>
              </w:rPr>
              <w:t>（3）废润滑油</w:t>
            </w:r>
          </w:p>
          <w:p>
            <w:pPr>
              <w:pStyle w:val="47"/>
              <w:ind w:firstLine="480"/>
              <w:rPr>
                <w:color w:val="auto"/>
              </w:rPr>
            </w:pPr>
            <w:r>
              <w:rPr>
                <w:rFonts w:hint="eastAsia"/>
                <w:color w:val="auto"/>
              </w:rPr>
              <w:t>废润滑油主要因机油在使用中混入了水分、灰尘、其他杂油和机件磨损产生的金属粉末等杂质，导致颜色变黑，粘度增大；或因机油变质，生成了有机酸、胶质和沥青状等物质，随意倾倒易污染土壤及周边水体。</w:t>
            </w:r>
          </w:p>
          <w:p>
            <w:pPr>
              <w:pStyle w:val="47"/>
              <w:ind w:firstLine="480"/>
              <w:rPr>
                <w:color w:val="auto"/>
              </w:rPr>
            </w:pPr>
            <w:r>
              <w:rPr>
                <w:rFonts w:hint="eastAsia"/>
                <w:color w:val="auto"/>
              </w:rPr>
              <w:t>根据《中华人民共和国固体废物污染环境防治法》、《危险废物经营许可证管理办法》、《危险废物转移联单管理办法》等规定，废机油属于国家规定的危险废物，应该交由有资质的废油处理企业来处理。</w:t>
            </w:r>
          </w:p>
          <w:p>
            <w:pPr>
              <w:pStyle w:val="47"/>
              <w:ind w:firstLine="480"/>
              <w:rPr>
                <w:rFonts w:ascii="黑体" w:hAnsi="黑体" w:eastAsia="黑体"/>
                <w:color w:val="auto"/>
              </w:rPr>
            </w:pPr>
            <w:r>
              <w:rPr>
                <w:rFonts w:hint="eastAsia" w:ascii="黑体" w:hAnsi="黑体" w:eastAsia="黑体"/>
                <w:color w:val="auto"/>
              </w:rPr>
              <w:t>7</w:t>
            </w:r>
            <w:r>
              <w:rPr>
                <w:rFonts w:ascii="黑体" w:hAnsi="黑体" w:eastAsia="黑体"/>
                <w:color w:val="auto"/>
              </w:rPr>
              <w:t>.4</w:t>
            </w:r>
            <w:r>
              <w:rPr>
                <w:rFonts w:hint="eastAsia" w:ascii="黑体" w:hAnsi="黑体" w:eastAsia="黑体"/>
                <w:color w:val="auto"/>
              </w:rPr>
              <w:t>环境风险类型</w:t>
            </w:r>
          </w:p>
          <w:p>
            <w:pPr>
              <w:pStyle w:val="63"/>
              <w:ind w:firstLine="480"/>
            </w:pPr>
            <w:r>
              <w:rPr>
                <w:rFonts w:hint="eastAsia"/>
              </w:rPr>
              <w:t>（1）柴油加油车事故类型</w:t>
            </w:r>
          </w:p>
          <w:p>
            <w:pPr>
              <w:pStyle w:val="63"/>
              <w:ind w:firstLine="480"/>
            </w:pPr>
            <w:r>
              <w:rPr>
                <w:rFonts w:hint="eastAsia"/>
              </w:rPr>
              <w:t>根据本项目的特点并调研同类型项目的事故类型，柴油加油车及加油点的主要事故类型可以分为火灾与爆炸、溢出与泄漏两大类。</w:t>
            </w:r>
          </w:p>
          <w:p>
            <w:pPr>
              <w:pStyle w:val="63"/>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火灾与爆炸危险</w:t>
            </w:r>
          </w:p>
          <w:p>
            <w:pPr>
              <w:pStyle w:val="63"/>
              <w:ind w:firstLine="480"/>
            </w:pPr>
            <w:r>
              <w:rPr>
                <w:rFonts w:hint="eastAsia"/>
              </w:rPr>
              <w:t>柴油属易燃、易爆液体，如果在储存、输送过程发生跑、冒、滴、漏，卸油过程中如果静电接地不好或管线、接头等有渗漏，加油过程加油设备及管线出现故障或加油过程操作不当等会引起油料泄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63"/>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溢出与泄漏危险</w:t>
            </w:r>
          </w:p>
          <w:p>
            <w:pPr>
              <w:pStyle w:val="63"/>
              <w:ind w:firstLine="480"/>
            </w:pPr>
            <w:r>
              <w:rPr>
                <w:rFonts w:hint="eastAsia"/>
              </w:rPr>
              <w:t>加油车的泄漏和溢出较易发生。溢出和泄漏的油类不仅可能污染地表水环境，污染地下水，而且对地区水源可能带来不良影响。一旦污染，将难以消除，而且还是引起火灾和爆炸的隐患。</w:t>
            </w:r>
          </w:p>
          <w:p>
            <w:pPr>
              <w:pStyle w:val="63"/>
              <w:ind w:firstLine="480"/>
            </w:pPr>
            <w:r>
              <w:rPr>
                <w:rFonts w:hint="eastAsia"/>
              </w:rPr>
              <w:t>（2）炸药、雷管事故分析</w:t>
            </w:r>
          </w:p>
          <w:p>
            <w:pPr>
              <w:pStyle w:val="63"/>
              <w:ind w:firstLine="480"/>
            </w:pPr>
            <w:r>
              <w:rPr>
                <w:rFonts w:hint="eastAsia"/>
              </w:rPr>
              <w:t>爆炸可分为三种类型，即：物理爆炸、化学爆炸、核爆炸；本项目可能存在的爆炸为化学爆炸。化学爆炸是由化学变化造成的。在爆炸过程中产生激烈的放热反应，产生高温高压和冲击波，从而引起强烈的破坏作用。</w:t>
            </w:r>
          </w:p>
          <w:p>
            <w:pPr>
              <w:pStyle w:val="63"/>
              <w:ind w:firstLine="480"/>
            </w:pPr>
            <w:r>
              <w:rPr>
                <w:rFonts w:hint="eastAsia"/>
              </w:rPr>
              <w:t>爆炸是燃烧的极端形式，爆炸与燃烧的区别在于氧化速度的不同，由于燃烧速度快，热量来不及扩散，温度急剧上升，气体因高热而急剧膨胀而成为爆炸。爆炸对周围环境会造成严重的破坏：</w:t>
            </w:r>
          </w:p>
          <w:p>
            <w:pPr>
              <w:pStyle w:val="63"/>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爆炸震荡：在爆炸发生时，产生一股能使物体震荡使之松散的作用力，这股力量削弱生产装置及建、构筑物、设备的基础强度，甚至使之解体。</w:t>
            </w:r>
          </w:p>
          <w:p>
            <w:pPr>
              <w:pStyle w:val="63"/>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冲击波：爆炸冲击波最初出现正压力，而后出现负压力。它与爆炸的质量成正比，与距离成反比。它将对爆炸区域周围的建筑物产生一个强大的冲击波，并摧毁部分建筑物及设备。</w:t>
            </w:r>
          </w:p>
          <w:p>
            <w:pPr>
              <w:pStyle w:val="63"/>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冲击碎片：机械设备、装置、容器等爆炸后产生的大量碎片，飞出后会在相当大的范围内造成危害。</w:t>
            </w:r>
          </w:p>
          <w:p>
            <w:pPr>
              <w:pStyle w:val="63"/>
              <w:ind w:firstLine="480"/>
              <w:rPr>
                <w:rFonts w:ascii="黑体" w:hAnsi="黑体" w:eastAsia="黑体"/>
              </w:rPr>
            </w:pPr>
            <w:r>
              <w:rPr>
                <w:rFonts w:hint="eastAsia" w:ascii="黑体" w:hAnsi="黑体" w:eastAsia="黑体"/>
              </w:rPr>
              <w:t>7</w:t>
            </w:r>
            <w:r>
              <w:rPr>
                <w:rFonts w:ascii="黑体" w:hAnsi="黑体" w:eastAsia="黑体"/>
              </w:rPr>
              <w:t>.5</w:t>
            </w:r>
            <w:r>
              <w:rPr>
                <w:rFonts w:hint="eastAsia" w:ascii="黑体" w:hAnsi="黑体" w:eastAsia="黑体"/>
              </w:rPr>
              <w:t>环境风险分析</w:t>
            </w:r>
          </w:p>
          <w:p>
            <w:pPr>
              <w:pStyle w:val="63"/>
              <w:ind w:firstLine="480"/>
            </w:pPr>
            <w:r>
              <w:rPr>
                <w:rFonts w:hint="eastAsia"/>
              </w:rPr>
              <w:t>（1）油储罐泄漏事故分析</w:t>
            </w:r>
          </w:p>
          <w:p>
            <w:pPr>
              <w:pStyle w:val="63"/>
              <w:ind w:firstLine="480"/>
            </w:pPr>
            <w:r>
              <w:rPr>
                <w:rFonts w:hint="eastAsia"/>
              </w:rPr>
              <w:t>由于本项目加油车发生泄漏事故的几率要比发生火灾和爆炸高一些，因此本环评将重点就泄漏事故对环境的影响进行分析。</w:t>
            </w:r>
          </w:p>
          <w:p>
            <w:pPr>
              <w:pStyle w:val="63"/>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对地表水的污染</w:t>
            </w:r>
          </w:p>
          <w:p>
            <w:pPr>
              <w:pStyle w:val="63"/>
              <w:ind w:firstLine="480"/>
            </w:pPr>
            <w:r>
              <w:rPr>
                <w:rFonts w:hint="eastAsia"/>
              </w:rPr>
              <w:t>泄漏或渗漏的柴油一旦进入地表水体，将造成地表水体的污染，影响范围小到几公里大到几十公里。污染首先将造成地表水体的景观破坏，产生严重的刺鼻气味；其次，由于有机烃类物质难溶于水，大部分上浮在水层表面，形成一层油膜使空气与水隔离，造成水中溶解氧浓度降低，逐渐形成死水，致使水中生物死亡；再次，成品油的主要成分是C4～C9的烃类、芳烃类、醇酮类以及卤代烃类有机物，一旦进入水环境，由于可生化性较差，造成被污染水体长时间得不到净化，完全恢复则需十几年、甚至几十年的时间。</w:t>
            </w:r>
          </w:p>
          <w:p>
            <w:pPr>
              <w:pStyle w:val="63"/>
              <w:ind w:firstLine="480"/>
            </w:pPr>
            <w:r>
              <w:rPr>
                <w:rFonts w:hint="eastAsia"/>
              </w:rPr>
              <w:t>本项目所在区域的主要地表水体主要为苦水河，由于项目加油车柴油存量较少，影响范围较小，项目距离苦水河</w:t>
            </w:r>
            <w:r>
              <w:t>5.5</w:t>
            </w:r>
            <w:r>
              <w:rPr>
                <w:rFonts w:hint="eastAsia"/>
              </w:rPr>
              <w:t>km，有山体阻隔，当加油点加油车发生事故泄漏溢出事故时，项目设置有围岩及防渗防漏措施，事故时柴油主要在围堰内，污染物对苦水河地表水无影响。</w:t>
            </w:r>
          </w:p>
          <w:p>
            <w:pPr>
              <w:pStyle w:val="63"/>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对地下水的污染</w:t>
            </w:r>
          </w:p>
          <w:p>
            <w:pPr>
              <w:pStyle w:val="63"/>
              <w:ind w:firstLine="480"/>
            </w:pPr>
            <w:r>
              <w:rPr>
                <w:rFonts w:hint="eastAsia"/>
              </w:rPr>
              <w:t>加油车发生泄漏或渗漏时对地下水的污染较为严重，地下水一旦遭到成品油的污染，将使地下水产生严重异味，根本无法饮用。同时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项目柴油加油车一旦发生泄漏，如果不能及时有效控制，将会在场区内漫流，由于场区为岩溶区域，如果没有防渗措施，柴油将渗入地下，下雨时会形成饱和下渗补充至地下水。因此，做好柴油加油车的事故泄漏防范十分重要。</w:t>
            </w:r>
          </w:p>
          <w:p>
            <w:pPr>
              <w:pStyle w:val="63"/>
              <w:ind w:firstLine="480"/>
            </w:pPr>
            <w:r>
              <w:rPr>
                <w:rFonts w:hint="eastAsia"/>
              </w:rPr>
              <w:t>本项目加油车固定在工业场地配电室南侧空地对开采区车辆进行加油，加油车所在位置进行重点防渗，在加油车北侧附近设置一个</w:t>
            </w:r>
            <w:r>
              <w:t>30</w:t>
            </w:r>
            <w:r>
              <w:rPr>
                <w:rFonts w:hint="eastAsia"/>
              </w:rPr>
              <w:t>立方重点防渗事故油池，柴油泄露后可通过通过坡度通道（加油车到事故油池之间设置一段缓坡通道）自流流入防渗泄露柴油池，加油车一旦发生泄漏事故，油品将由于防渗层的保护作用，积聚在加油车重点防渗泄露柴油池内，可回收油品，避免油品扩散至外环境，对区域地下水造成的影响不大。</w:t>
            </w:r>
          </w:p>
          <w:p>
            <w:pPr>
              <w:pStyle w:val="63"/>
              <w:ind w:firstLine="480"/>
            </w:pPr>
            <w:r>
              <w:rPr>
                <w:rFonts w:hint="eastAsia"/>
              </w:rPr>
              <w:t>③对大气环境的污染</w:t>
            </w:r>
          </w:p>
          <w:p>
            <w:pPr>
              <w:pStyle w:val="63"/>
              <w:ind w:firstLine="480"/>
            </w:pPr>
            <w:r>
              <w:rPr>
                <w:rFonts w:hint="eastAsia"/>
              </w:rPr>
              <w:t>根据国内外的研究，对于突发性的事故溢油，油品溢出后在地面呈不规则的面源分布，油品的挥发速度重要影响因素为油品蒸汽压、现场风速、油品溢出面积、油品蒸汽分子平均重度。本项目一旦发生加油车泄漏与溢出事故时，油品将主要在防渗泄露柴油池内形成液池，自然挥发，挥发仅会对小区域内的环境空气造成一定的污染，不会造成大面积的扩散，通过及时处理回收利用，对大气环境影响较小。</w:t>
            </w:r>
          </w:p>
          <w:p>
            <w:pPr>
              <w:pStyle w:val="63"/>
              <w:ind w:firstLine="480"/>
            </w:pPr>
            <w:r>
              <w:rPr>
                <w:rFonts w:hint="eastAsia"/>
              </w:rPr>
              <w:t>（</w:t>
            </w:r>
            <w:r>
              <w:t>2</w:t>
            </w:r>
            <w:r>
              <w:rPr>
                <w:rFonts w:hint="eastAsia"/>
              </w:rPr>
              <w:t>）危险废物泄漏</w:t>
            </w:r>
          </w:p>
          <w:p>
            <w:pPr>
              <w:pStyle w:val="63"/>
              <w:ind w:firstLine="480"/>
            </w:pPr>
            <w:r>
              <w:rPr>
                <w:rFonts w:hint="eastAsia"/>
              </w:rPr>
              <w:t>废润滑油可能由于容器的倾翻而引起泄漏，泄漏的有毒有害物质可能通过土壤下渗造成地下水环境污染。要求建设单位在危险暂存间内储存容器外围建设围堰，确保一旦倾翻发生泄漏事故，不会发生漫溢。</w:t>
            </w:r>
          </w:p>
          <w:p>
            <w:pPr>
              <w:pStyle w:val="63"/>
              <w:ind w:firstLine="480"/>
            </w:pPr>
            <w:r>
              <w:rPr>
                <w:rFonts w:hint="eastAsia"/>
              </w:rPr>
              <w:t>（3）炸药爆炸风险分析</w:t>
            </w:r>
          </w:p>
          <w:p>
            <w:pPr>
              <w:pStyle w:val="63"/>
              <w:ind w:firstLine="480"/>
            </w:pPr>
            <w:r>
              <w:rPr>
                <w:rFonts w:hint="eastAsia"/>
              </w:rPr>
              <w:t>项目生产过程中炸药主要用于矿床开拓，根据相关的爆破政策及文件规定，爆破材料的购买、运输保管、 使用等均由采石场委托具有相关爆破资质的爆破公司完成，采石场不需要设置爆破器材库。炸药运至采区时，如若遇明火或受到强烈震动时会引发炸药爆炸，炸药主要原材料为硝酸铵，其燃烧性能明显，燃烧、爆炸后将分解出NOx、CO等，进入大气环境中造成污染。本项目炸药、雷管运输及使用由有资质的专业爆破公司负责，符合《中华人民共和国民用爆炸物品管理条例》的要求。因此，在严格按国家有关要求进行炸药的管理和使用下，炸药在使用、贮运过程发生爆炸事故的可能性小，危险性小。加强对工作人员的管理，严禁吸烟、携带火种、穿带钉皮鞋进入易燃易爆区域。卸货时轻拿轻放，避免剧烈撞击，杜绝违章作业。由于项目炸药不在厂区内储存，存在的环境风险也较小，经采取严格的管理措施后可大大降低发生爆炸的可能性，对周边环境影响不大。</w:t>
            </w:r>
          </w:p>
          <w:p>
            <w:pPr>
              <w:pStyle w:val="63"/>
              <w:ind w:firstLine="480"/>
            </w:pPr>
            <w:r>
              <w:rPr>
                <w:rFonts w:hint="eastAsia"/>
              </w:rPr>
              <w:t>（4）矿石堆场、临时表土场环境风险分析</w:t>
            </w:r>
          </w:p>
          <w:p>
            <w:pPr>
              <w:pStyle w:val="63"/>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矿石堆场、表土场设置合理性分析</w:t>
            </w:r>
          </w:p>
          <w:p>
            <w:pPr>
              <w:pStyle w:val="63"/>
              <w:ind w:firstLine="480"/>
            </w:pPr>
            <w:r>
              <w:rPr>
                <w:rFonts w:hint="eastAsia"/>
              </w:rPr>
              <w:t>本项目加工场不设置原矿堆场，矿石运输至破碎机直接破碎。仅在露天二采区内废弃采坑内设置表土单独存放场。表土场场地无溶洞、断层、断层破碎带分布，不在天然滑坡或泥石流影响区和洪泛区，堆场坡脚运行。根据现场调查，临时表土场下游500m范围内无村民居住。综上分析，项目临时表土场设置基本合理。</w:t>
            </w:r>
          </w:p>
          <w:p>
            <w:pPr>
              <w:pStyle w:val="63"/>
              <w:ind w:firstLine="480"/>
            </w:pPr>
            <w:r>
              <w:rPr>
                <w:rFonts w:hint="eastAsia"/>
              </w:rPr>
              <w:t>根据类比同类型矿山项目，临时表土场可能存在溃坝风险，故本次主要对临时表土场溃坝进行环境风险分析。</w:t>
            </w:r>
          </w:p>
          <w:p>
            <w:pPr>
              <w:pStyle w:val="63"/>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临时表土场溃坝环境风险分析</w:t>
            </w:r>
          </w:p>
          <w:p>
            <w:pPr>
              <w:pStyle w:val="63"/>
              <w:ind w:firstLine="480"/>
            </w:pPr>
            <w:r>
              <w:rPr>
                <w:rFonts w:hint="eastAsia"/>
              </w:rPr>
              <w:t>1）溃坝的事故原因分析</w:t>
            </w:r>
          </w:p>
          <w:p>
            <w:pPr>
              <w:pStyle w:val="63"/>
              <w:ind w:firstLine="480"/>
            </w:pPr>
            <w:r>
              <w:rPr>
                <w:rFonts w:hint="eastAsia"/>
              </w:rPr>
              <w:t>由于临时表土场的重要性，其坝体应视为主要构筑物，溃坝的影响因素很可能存在于施工、管理等方面，大致有：</w:t>
            </w:r>
          </w:p>
          <w:p>
            <w:pPr>
              <w:pStyle w:val="63"/>
              <w:ind w:firstLine="480"/>
            </w:pPr>
            <w:r>
              <w:t>a</w:t>
            </w:r>
            <w:r>
              <w:rPr>
                <w:rFonts w:hint="eastAsia"/>
              </w:rPr>
              <w:t>．施工方面</w:t>
            </w:r>
          </w:p>
          <w:p>
            <w:pPr>
              <w:pStyle w:val="63"/>
              <w:ind w:firstLine="480"/>
            </w:pPr>
            <w:r>
              <w:rPr>
                <w:rFonts w:hint="eastAsia"/>
              </w:rPr>
              <w:t>降水超过了设计调洪能力，或者设计的洪水标准偏低，输送系统失效或出现故障，不仅影响正常生产，而且会影响到调整干滩长度的能力，降低了调洪能力，甚至会影响到整个坝体的稳定。</w:t>
            </w:r>
          </w:p>
          <w:p>
            <w:pPr>
              <w:pStyle w:val="63"/>
              <w:ind w:firstLine="480"/>
            </w:pPr>
            <w:r>
              <w:t>b</w:t>
            </w:r>
            <w:r>
              <w:rPr>
                <w:rFonts w:hint="eastAsia"/>
              </w:rPr>
              <w:t>．管理方面</w:t>
            </w:r>
          </w:p>
          <w:p>
            <w:pPr>
              <w:pStyle w:val="63"/>
              <w:ind w:firstLine="480"/>
            </w:pPr>
            <w:r>
              <w:rPr>
                <w:rFonts w:hint="eastAsia"/>
              </w:rPr>
              <w:t>安全生产责任制不落实，安全生产职责不清，监管不力，没有真正把好审批关，没能及时发现隐患。</w:t>
            </w:r>
          </w:p>
          <w:p>
            <w:pPr>
              <w:pStyle w:val="63"/>
              <w:ind w:firstLine="480"/>
            </w:pPr>
            <w:r>
              <w:rPr>
                <w:rFonts w:hint="eastAsia"/>
              </w:rPr>
              <w:t>2）环境影响分析</w:t>
            </w:r>
          </w:p>
          <w:p>
            <w:pPr>
              <w:pStyle w:val="63"/>
              <w:ind w:firstLine="480"/>
            </w:pPr>
            <w:r>
              <w:rPr>
                <w:rFonts w:hint="eastAsia"/>
              </w:rPr>
              <w:t>就本项目而言，临时表土场垮坝其带来的主要影响有以下方面：</w:t>
            </w:r>
          </w:p>
          <w:p>
            <w:pPr>
              <w:pStyle w:val="63"/>
              <w:ind w:firstLine="480"/>
            </w:pPr>
            <w:r>
              <w:t>a</w:t>
            </w:r>
            <w:r>
              <w:rPr>
                <w:rFonts w:hint="eastAsia"/>
              </w:rPr>
              <w:t>、对土壤环境影响分析</w:t>
            </w:r>
          </w:p>
          <w:p>
            <w:pPr>
              <w:pStyle w:val="63"/>
              <w:ind w:firstLine="480"/>
            </w:pPr>
            <w:r>
              <w:rPr>
                <w:rFonts w:hint="eastAsia"/>
              </w:rPr>
              <w:t>项目在生产过程中所产生的表土全部堆放于临时表土场中，临时表土场一旦垮坝，瞬间表土沿边坡往下游滑动，造成严重的滑坡、泥石流，直接改变坝下的地形地貌，细小的表土将会堵塞土壤的呼吸毛细孔，从而降低土壤有机质含量，土壤结构遭受破坏、肥力下降。</w:t>
            </w:r>
          </w:p>
          <w:p>
            <w:pPr>
              <w:pStyle w:val="63"/>
              <w:ind w:firstLine="480"/>
            </w:pPr>
            <w:r>
              <w:rPr>
                <w:rFonts w:hint="eastAsia"/>
              </w:rPr>
              <w:t>b、地表水环境影响分析</w:t>
            </w:r>
          </w:p>
          <w:p>
            <w:pPr>
              <w:pStyle w:val="63"/>
              <w:ind w:firstLine="480"/>
            </w:pPr>
            <w:r>
              <w:rPr>
                <w:rFonts w:hint="eastAsia"/>
              </w:rPr>
              <w:t>雨季，临时表土场垮坝后下泄的表土形成泥石流，泥石流从山沟流入矿区外的苦水河支流，导致直接堵塞河流上游来水，直接对河流水体造成污染，对河道两岸生态环境造成影响，严重时河流水会形成小型堰塞湖，对下游生态造成威胁。</w:t>
            </w:r>
          </w:p>
          <w:p>
            <w:pPr>
              <w:pStyle w:val="63"/>
              <w:ind w:firstLine="480"/>
            </w:pPr>
            <w:r>
              <w:rPr>
                <w:rFonts w:hint="eastAsia"/>
              </w:rPr>
              <w:t>在雨洪水期，由于暴雨形成洪水，在洪水的冲击下，泥石流向下游流动，下游水体因此受到污染。</w:t>
            </w:r>
          </w:p>
          <w:p>
            <w:pPr>
              <w:pStyle w:val="63"/>
              <w:ind w:firstLine="480"/>
            </w:pPr>
            <w:r>
              <w:rPr>
                <w:rFonts w:hint="eastAsia"/>
              </w:rPr>
              <w:t>c、对生态环境影响分析</w:t>
            </w:r>
          </w:p>
          <w:p>
            <w:pPr>
              <w:pStyle w:val="63"/>
              <w:ind w:firstLine="480"/>
            </w:pPr>
            <w:r>
              <w:rPr>
                <w:rFonts w:hint="eastAsia"/>
              </w:rPr>
              <w:t>表土将向下流动产生泥石流，易危害下游的耕地、林地，覆盖表层植被。</w:t>
            </w:r>
          </w:p>
          <w:p>
            <w:pPr>
              <w:pStyle w:val="63"/>
              <w:ind w:firstLine="480"/>
              <w:rPr>
                <w:rFonts w:ascii="黑体" w:hAnsi="黑体" w:eastAsia="黑体"/>
              </w:rPr>
            </w:pPr>
            <w:r>
              <w:rPr>
                <w:rFonts w:hint="eastAsia" w:ascii="黑体" w:hAnsi="黑体" w:eastAsia="黑体"/>
              </w:rPr>
              <w:t>7</w:t>
            </w:r>
            <w:r>
              <w:rPr>
                <w:rFonts w:ascii="黑体" w:hAnsi="黑体" w:eastAsia="黑体"/>
              </w:rPr>
              <w:t>.5</w:t>
            </w:r>
            <w:r>
              <w:rPr>
                <w:rFonts w:hint="eastAsia" w:ascii="黑体" w:hAnsi="黑体" w:eastAsia="黑体"/>
              </w:rPr>
              <w:t>环境风险防范措施</w:t>
            </w:r>
          </w:p>
          <w:p>
            <w:pPr>
              <w:pStyle w:val="63"/>
              <w:ind w:firstLine="480"/>
              <w:rPr>
                <w:rFonts w:ascii="楷体" w:hAnsi="楷体" w:eastAsia="楷体"/>
              </w:rPr>
            </w:pPr>
            <w:r>
              <w:rPr>
                <w:rFonts w:hint="eastAsia" w:ascii="楷体" w:hAnsi="楷体" w:eastAsia="楷体"/>
              </w:rPr>
              <w:t>7</w:t>
            </w:r>
            <w:r>
              <w:rPr>
                <w:rFonts w:ascii="楷体" w:hAnsi="楷体" w:eastAsia="楷体"/>
              </w:rPr>
              <w:t>.5.1</w:t>
            </w:r>
            <w:r>
              <w:rPr>
                <w:rFonts w:hint="eastAsia" w:ascii="楷体" w:hAnsi="楷体" w:eastAsia="楷体"/>
              </w:rPr>
              <w:t>柴油加油车泄漏事故的防范措施及应急要求</w:t>
            </w:r>
          </w:p>
          <w:p>
            <w:pPr>
              <w:pStyle w:val="63"/>
              <w:ind w:firstLine="480"/>
            </w:pPr>
            <w:r>
              <w:rPr>
                <w:rFonts w:hint="eastAsia"/>
              </w:rPr>
              <w:t>（</w:t>
            </w:r>
            <w:r>
              <w:t>1</w:t>
            </w:r>
            <w:r>
              <w:rPr>
                <w:rFonts w:hint="eastAsia"/>
              </w:rPr>
              <w:t>）柴油贮运安全防范措施</w:t>
            </w:r>
          </w:p>
          <w:p>
            <w:pPr>
              <w:pStyle w:val="63"/>
              <w:ind w:firstLine="480"/>
            </w:pPr>
            <w:r>
              <w:rPr>
                <w:rFonts w:hint="eastAsia"/>
              </w:rPr>
              <w:t>①由于柴油加油车是临时贮藏易燃易爆品的设备，因此，柴油加油车位置需铺设防火沙，树立安全警示标牌，柴油加油车应当符合有关安全防火规定，设置相应的防爆、防火、防雷、防静电等安全设施并作好标志。加油车加油区冷却水喷淋和泡沫灭火系统应有备用电源，应装设有带阻火器的呼吸阀、淋水冷却装置。并定期检查呼吸阀和阻火器情况是否处于正常状态。</w:t>
            </w:r>
          </w:p>
          <w:p>
            <w:pPr>
              <w:pStyle w:val="63"/>
              <w:ind w:firstLine="480"/>
            </w:pPr>
            <w:r>
              <w:rPr>
                <w:rFonts w:hint="eastAsia"/>
              </w:rPr>
              <w:t>②加油车区应设置事故油池，事故油池的体积不小于油罐车发生事故时最大事故废水的体积。事故油池有效容积不小于30m³。</w:t>
            </w:r>
          </w:p>
          <w:p>
            <w:pPr>
              <w:pStyle w:val="63"/>
              <w:ind w:firstLine="480"/>
            </w:pPr>
            <w:r>
              <w:rPr>
                <w:rFonts w:hint="eastAsia"/>
              </w:rPr>
              <w:t>③加强设备管理和运行检查，保证密封良好，防止燃油泄漏。</w:t>
            </w:r>
          </w:p>
          <w:p>
            <w:pPr>
              <w:pStyle w:val="63"/>
              <w:ind w:firstLine="480"/>
            </w:pPr>
            <w:r>
              <w:rPr>
                <w:rFonts w:hint="eastAsia"/>
              </w:rPr>
              <w:t>加强烟火管制，动火作业必须办理工作票，并采取有效防火措施。</w:t>
            </w:r>
          </w:p>
          <w:p>
            <w:pPr>
              <w:pStyle w:val="63"/>
              <w:ind w:firstLine="480"/>
            </w:pPr>
            <w:r>
              <w:rPr>
                <w:rFonts w:hint="eastAsia"/>
              </w:rPr>
              <w:t>④消防通道上不得有无关的物品、物资存放（包括临时性存放）；禁止堆放易燃、易爆物品、腐蚀性物品、可燃物品和其他杂物；严禁随处乱堆乱放固体废物。</w:t>
            </w:r>
          </w:p>
          <w:p>
            <w:pPr>
              <w:pStyle w:val="63"/>
              <w:ind w:firstLine="480"/>
            </w:pPr>
            <w:r>
              <w:rPr>
                <w:rFonts w:hint="eastAsia"/>
              </w:rPr>
              <w:t>⑤严禁在加油车处吸烟和使用明火，禁止敲打和碰撞以防产生火花。设置事故水雾喷淋系统，减少燃烧及泄漏污染物进入大气环境。发现火警必须及时报告，同时尽全力与消防人员共同扑灭火灾。</w:t>
            </w:r>
          </w:p>
          <w:p>
            <w:pPr>
              <w:pStyle w:val="63"/>
              <w:ind w:firstLine="480"/>
            </w:pPr>
            <w:r>
              <w:rPr>
                <w:rFonts w:hint="eastAsia"/>
              </w:rPr>
              <w:t>⑥定期对加油车及其他车辆进行巡查，定期进行设备维护和保养。</w:t>
            </w:r>
          </w:p>
          <w:p>
            <w:pPr>
              <w:pStyle w:val="63"/>
              <w:ind w:firstLine="480"/>
            </w:pPr>
            <w:r>
              <w:rPr>
                <w:rFonts w:hint="eastAsia"/>
              </w:rPr>
              <w:t>⑦按照 GB50156-2002《汽车加油加气站设计与施工规范》做好油罐区防渗、防火等措施。</w:t>
            </w:r>
          </w:p>
          <w:p>
            <w:pPr>
              <w:pStyle w:val="63"/>
              <w:ind w:firstLine="480"/>
              <w:rPr>
                <w:rFonts w:ascii="楷体" w:hAnsi="楷体" w:eastAsia="楷体"/>
              </w:rPr>
            </w:pPr>
            <w:r>
              <w:rPr>
                <w:rFonts w:hint="eastAsia" w:ascii="楷体" w:hAnsi="楷体" w:eastAsia="楷体"/>
              </w:rPr>
              <w:t>7</w:t>
            </w:r>
            <w:r>
              <w:rPr>
                <w:rFonts w:ascii="楷体" w:hAnsi="楷体" w:eastAsia="楷体"/>
              </w:rPr>
              <w:t>.5.2</w:t>
            </w:r>
            <w:r>
              <w:rPr>
                <w:rFonts w:hint="eastAsia" w:ascii="楷体" w:hAnsi="楷体" w:eastAsia="楷体"/>
              </w:rPr>
              <w:t>危险废物泄漏防范措施</w:t>
            </w:r>
          </w:p>
          <w:p>
            <w:pPr>
              <w:pStyle w:val="63"/>
              <w:ind w:firstLine="480"/>
            </w:pPr>
            <w:r>
              <w:rPr>
                <w:rFonts w:hint="eastAsia"/>
              </w:rPr>
              <w:t>本项目涉及的危险废物主要为废润滑油。项目在机械维修间内设置了一个危险废物暂存间，按照《危险废物贮存污染控制标准》（GB18597-20</w:t>
            </w:r>
            <w:r>
              <w:t>23</w:t>
            </w:r>
            <w:r>
              <w:rPr>
                <w:rFonts w:hint="eastAsia"/>
              </w:rPr>
              <w:t>）要求，以废物不同类别设置不同的存储容器，并张贴标志分类，对危险废物实行分类集中存放。为了减少危险废物临时存储对环境可能产生的不良影响，本次评价提出以下措施：</w:t>
            </w:r>
          </w:p>
          <w:p>
            <w:pPr>
              <w:pStyle w:val="63"/>
              <w:ind w:firstLine="480"/>
            </w:pPr>
            <w:r>
              <w:rPr>
                <w:rFonts w:hint="eastAsia"/>
              </w:rPr>
              <w:t>（1）危险废物暂存间按照《危险废物贮存污染控制标准》（GB18597-</w:t>
            </w:r>
            <w:r>
              <w:t>2023</w:t>
            </w:r>
            <w:r>
              <w:rPr>
                <w:rFonts w:hint="eastAsia"/>
              </w:rPr>
              <w:t>）的防渗要求建设，杜绝危险废物泄露影响地下水环境。</w:t>
            </w:r>
          </w:p>
          <w:p>
            <w:pPr>
              <w:pStyle w:val="63"/>
              <w:ind w:firstLine="480"/>
            </w:pPr>
            <w:r>
              <w:rPr>
                <w:rFonts w:hint="eastAsia"/>
              </w:rPr>
              <w:t>（2）营运期应加强危险废物暂存间防火管理，张贴禁火标志，严禁一切火种靠近暂存间。</w:t>
            </w:r>
          </w:p>
          <w:p>
            <w:pPr>
              <w:pStyle w:val="63"/>
              <w:ind w:firstLine="480"/>
            </w:pPr>
            <w:r>
              <w:rPr>
                <w:rFonts w:hint="eastAsia"/>
              </w:rPr>
              <w:t>（3）营运期加强对危险废物污染源的管理，危险废物采用专用容器收集，集中到暂存间相应类别的容器中。</w:t>
            </w:r>
          </w:p>
          <w:p>
            <w:pPr>
              <w:pStyle w:val="63"/>
              <w:ind w:firstLine="480"/>
            </w:pPr>
            <w:r>
              <w:rPr>
                <w:rFonts w:hint="eastAsia"/>
              </w:rPr>
              <w:t>（4）按要求委托具有危险废物处置资质的单位定期收集，集中无害化处置。</w:t>
            </w:r>
          </w:p>
          <w:p>
            <w:pPr>
              <w:pStyle w:val="63"/>
              <w:ind w:firstLine="480"/>
            </w:pPr>
            <w:r>
              <w:rPr>
                <w:rFonts w:hint="eastAsia"/>
              </w:rPr>
              <w:t>（5）在危险暂存间内储存容器外围建设围堰，围堰容积0.2m³，确保一旦倾翻发生泄漏事故，不会发生漫溢。</w:t>
            </w:r>
          </w:p>
          <w:p>
            <w:pPr>
              <w:pStyle w:val="63"/>
              <w:ind w:firstLine="480"/>
              <w:rPr>
                <w:rFonts w:ascii="楷体" w:hAnsi="楷体" w:eastAsia="楷体"/>
              </w:rPr>
            </w:pPr>
            <w:r>
              <w:rPr>
                <w:rFonts w:hint="eastAsia" w:ascii="楷体" w:hAnsi="楷体" w:eastAsia="楷体"/>
              </w:rPr>
              <w:t>7</w:t>
            </w:r>
            <w:r>
              <w:rPr>
                <w:rFonts w:ascii="楷体" w:hAnsi="楷体" w:eastAsia="楷体"/>
              </w:rPr>
              <w:t>.5.3</w:t>
            </w:r>
            <w:r>
              <w:rPr>
                <w:rFonts w:hint="eastAsia" w:ascii="楷体" w:hAnsi="楷体" w:eastAsia="楷体"/>
              </w:rPr>
              <w:t>雨季雨污水防范措施</w:t>
            </w:r>
          </w:p>
          <w:p>
            <w:pPr>
              <w:pStyle w:val="63"/>
              <w:ind w:firstLine="480"/>
            </w:pPr>
            <w:r>
              <w:rPr>
                <w:rFonts w:hint="eastAsia"/>
              </w:rPr>
              <w:t>（1）采场截排水沟</w:t>
            </w:r>
          </w:p>
          <w:p>
            <w:pPr>
              <w:pStyle w:val="63"/>
              <w:ind w:firstLine="480"/>
            </w:pPr>
            <w:r>
              <w:rPr>
                <w:rFonts w:hint="eastAsia"/>
              </w:rPr>
              <w:t>本项目露天采场属山坡露天矿，矿体出露地表，且赋存在当地潜水位以上，露天采场内无地下水影响，主要水源来自大气降水，降雨对露天开采的影响主要是地表径流。根据开发利用方案露天开采初期通过运输道路与自然冲沟相连将雨季积水排出，开采期在采矿场最终边坡的安全平台及清扫平台上设置排水沟。</w:t>
            </w:r>
          </w:p>
          <w:p>
            <w:pPr>
              <w:pStyle w:val="63"/>
              <w:ind w:firstLine="480"/>
            </w:pPr>
            <w:r>
              <w:rPr>
                <w:rFonts w:hint="eastAsia"/>
              </w:rPr>
              <w:t>（2）雨水收集池</w:t>
            </w:r>
          </w:p>
          <w:p>
            <w:pPr>
              <w:pStyle w:val="63"/>
              <w:ind w:firstLine="480"/>
            </w:pPr>
            <w:r>
              <w:rPr>
                <w:rFonts w:hint="eastAsia"/>
              </w:rPr>
              <w:t>项目在一采区和二采区中部山谷设置一个容量为</w:t>
            </w:r>
            <w:r>
              <w:t>600</w:t>
            </w:r>
            <w:r>
              <w:rPr>
                <w:rFonts w:hint="eastAsia"/>
              </w:rPr>
              <w:t>m³雨水沉淀池，在加工场北面设置一个容量为3</w:t>
            </w:r>
            <w:r>
              <w:t>00</w:t>
            </w:r>
            <w:r>
              <w:rPr>
                <w:rFonts w:hint="eastAsia"/>
              </w:rPr>
              <w:t>m³雨水沉淀池，在采场和工业场地底部汇水处增设截排水沟，将开采区雨水径流截留至沉淀池，雨水径流经收集后收集到雨水可回用于生产、抑尘。</w:t>
            </w:r>
          </w:p>
          <w:p>
            <w:pPr>
              <w:pStyle w:val="63"/>
              <w:ind w:firstLine="480"/>
            </w:pPr>
            <w:r>
              <w:rPr>
                <w:rFonts w:hint="eastAsia"/>
              </w:rPr>
              <w:t>本项目产生的初期雨水中所含有的污染物主要为颗粒物。矿区内各区域的雨水均由截洪沟排出至周边的旱沟。雨水在采场的自然流动过程中，部分颗粒物会沉降于采场内。在本项目的四周设置了排水沟，收集雨水，减缓了初期雨水在矿区内的流速。 雨水收集池沉淀雨水中的颗粒物。沉淀池中的颗粒物定期清掏，沉淀池中的颗粒物堆放至表土场并做好水土保持措施。雨水收集后用于采矿作业和破碎加工生产、道路洒水降尘用水，不外排。</w:t>
            </w:r>
          </w:p>
          <w:p>
            <w:pPr>
              <w:pStyle w:val="63"/>
              <w:ind w:firstLine="480"/>
            </w:pPr>
            <w:r>
              <w:rPr>
                <w:rFonts w:hint="eastAsia"/>
              </w:rPr>
              <w:t>（3）淋溶水沉淀池</w:t>
            </w:r>
          </w:p>
          <w:p>
            <w:pPr>
              <w:pStyle w:val="63"/>
              <w:ind w:firstLine="480"/>
            </w:pPr>
            <w:r>
              <w:rPr>
                <w:rFonts w:hint="eastAsia"/>
              </w:rPr>
              <w:t>露天开采产生的剥离土堆存于表土场，在表土场周围设置截排水沟，并在两个表土场北面各建设一个容量为</w:t>
            </w:r>
            <w:r>
              <w:t>150</w:t>
            </w:r>
            <w:r>
              <w:rPr>
                <w:rFonts w:hint="eastAsia"/>
              </w:rPr>
              <w:t>m³的收集池，将表土场淋溶水截流依地势导流至收集池，经沉淀处理经收集后可回用于生产、抑尘。表土场大雨水量约</w:t>
            </w:r>
            <w:r>
              <w:t>122</w:t>
            </w:r>
            <w:r>
              <w:rPr>
                <w:rFonts w:hint="eastAsia"/>
              </w:rPr>
              <w:t>m³/次，雨水收集池可满足要求。</w:t>
            </w:r>
          </w:p>
          <w:p>
            <w:pPr>
              <w:pStyle w:val="63"/>
              <w:ind w:firstLine="480"/>
            </w:pPr>
            <w:r>
              <w:rPr>
                <w:rFonts w:hint="eastAsia"/>
              </w:rPr>
              <w:t>淋溶水污染物主要为悬浮物，淋溶水不含重金属，淋滤水经沉淀池处理后回用于矿区洒水降尘，不外排。</w:t>
            </w:r>
          </w:p>
          <w:p>
            <w:pPr>
              <w:pStyle w:val="63"/>
              <w:ind w:firstLine="480"/>
            </w:pPr>
            <w:r>
              <w:rPr>
                <w:rFonts w:hint="eastAsia"/>
              </w:rPr>
              <w:t>采区截排水沟及雨水和淋溶水收集措施，雨污水不外排，对下游水体影响较小。</w:t>
            </w:r>
          </w:p>
          <w:p>
            <w:pPr>
              <w:pStyle w:val="63"/>
              <w:ind w:firstLine="480"/>
              <w:rPr>
                <w:rFonts w:ascii="黑体" w:hAnsi="黑体" w:eastAsia="黑体"/>
              </w:rPr>
            </w:pPr>
            <w:r>
              <w:rPr>
                <w:rFonts w:hint="eastAsia" w:ascii="黑体" w:hAnsi="黑体" w:eastAsia="黑体"/>
              </w:rPr>
              <w:t>7</w:t>
            </w:r>
            <w:r>
              <w:rPr>
                <w:rFonts w:ascii="黑体" w:hAnsi="黑体" w:eastAsia="黑体"/>
              </w:rPr>
              <w:t>.6</w:t>
            </w:r>
            <w:r>
              <w:rPr>
                <w:rFonts w:hint="eastAsia" w:ascii="黑体" w:hAnsi="黑体" w:eastAsia="黑体"/>
              </w:rPr>
              <w:t>应急预案</w:t>
            </w:r>
          </w:p>
          <w:p>
            <w:pPr>
              <w:pStyle w:val="63"/>
              <w:ind w:firstLine="480"/>
            </w:pPr>
            <w:r>
              <w:rPr>
                <w:rFonts w:hint="eastAsia"/>
              </w:rPr>
              <w:t>企业需按照应急预案管理办法要求对企业应急预案进行编写。</w:t>
            </w:r>
          </w:p>
          <w:p>
            <w:pPr>
              <w:pStyle w:val="63"/>
              <w:ind w:firstLine="480"/>
              <w:rPr>
                <w:rFonts w:ascii="黑体" w:hAnsi="黑体" w:eastAsia="黑体"/>
              </w:rPr>
            </w:pPr>
            <w:r>
              <w:rPr>
                <w:rFonts w:hint="eastAsia" w:ascii="黑体" w:hAnsi="黑体" w:eastAsia="黑体"/>
              </w:rPr>
              <w:t>7</w:t>
            </w:r>
            <w:r>
              <w:rPr>
                <w:rFonts w:ascii="黑体" w:hAnsi="黑体" w:eastAsia="黑体"/>
              </w:rPr>
              <w:t>.7</w:t>
            </w:r>
            <w:r>
              <w:rPr>
                <w:rFonts w:hint="eastAsia" w:ascii="黑体" w:hAnsi="黑体" w:eastAsia="黑体"/>
              </w:rPr>
              <w:t>评价结论</w:t>
            </w:r>
          </w:p>
          <w:p>
            <w:pPr>
              <w:pStyle w:val="63"/>
              <w:ind w:firstLine="480"/>
            </w:pPr>
            <w:r>
              <w:rPr>
                <w:rFonts w:hint="eastAsia"/>
              </w:rPr>
              <w:t>综上所述，本项目涉及物料不属于重大危险源，只要严格按照国家有关规定加强生产管理，对环保措施加强环保管理和巡查、维护，发生事故的可能性不大。项目矿山地质结构稳定，采矿过程中发生坍塌、泥石流、塌陷等事故的可能性也不大。</w:t>
            </w:r>
          </w:p>
          <w:p>
            <w:pPr>
              <w:pStyle w:val="63"/>
              <w:ind w:firstLine="480"/>
              <w:rPr>
                <w:rFonts w:eastAsia="黑体"/>
                <w:snapToGrid w:val="0"/>
                <w:sz w:val="36"/>
                <w:szCs w:val="36"/>
              </w:rPr>
            </w:pPr>
            <w:r>
              <w:rPr>
                <w:rFonts w:hint="eastAsia"/>
              </w:rPr>
              <w:t>为将发生各种风险造成的损失降到最低，建设单位要从建设、生产、贮运等多方面积极采取防护措施，加强风险管理通过相应的技术手段降低风险发生概率， 并在风险事故发生后，及时采取风险防范措施及应急预案，使风险事故对环境的危害得到有效控制，将事故风险控制在可接受的范围内。在认真贯彻落实本报告提出的各项环境风险防范措施和加强管理的前提下，本项目的环境风险是可以接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pPr>
              <w:pStyle w:val="18"/>
              <w:jc w:val="center"/>
              <w:rPr>
                <w:rFonts w:ascii="Times New Roman" w:hAnsi="Times New Roman"/>
                <w:b/>
                <w:spacing w:val="10"/>
                <w:kern w:val="2"/>
              </w:rPr>
            </w:pPr>
            <w:r>
              <w:rPr>
                <w:rFonts w:hint="eastAsia" w:ascii="Times New Roman" w:hAnsi="Times New Roman"/>
                <w:b/>
                <w:spacing w:val="10"/>
                <w:kern w:val="2"/>
              </w:rPr>
              <w:t>闭矿期生态环境影响分析</w:t>
            </w:r>
          </w:p>
        </w:tc>
        <w:tc>
          <w:tcPr>
            <w:tcW w:w="8595" w:type="dxa"/>
          </w:tcPr>
          <w:p>
            <w:pPr>
              <w:pStyle w:val="63"/>
              <w:ind w:firstLine="480"/>
            </w:pPr>
            <w:r>
              <w:rPr>
                <w:rFonts w:hint="eastAsia"/>
              </w:rPr>
              <w:t>矿山服务期满后，环境空气、水体、噪声、固体废物等污染源停止排污，对环境的影响也会逐渐消失。但是，由于露天开采引起的地表裸露延续的时间较长，因此矿山服务期满后，开采造成的地表裸露等对生态环境还存在一些潜在影响，主要表现在以下两个方面：</w:t>
            </w:r>
          </w:p>
          <w:p>
            <w:pPr>
              <w:pStyle w:val="63"/>
              <w:ind w:firstLine="480"/>
            </w:pPr>
            <w:r>
              <w:rPr>
                <w:rFonts w:hint="eastAsia"/>
              </w:rPr>
              <w:t>（1）局部的地表岩移和垮落在一定程度上加剧地表岩土侵蚀速度，增加边坡泻溜发生的危险性。</w:t>
            </w:r>
          </w:p>
          <w:p>
            <w:pPr>
              <w:pStyle w:val="63"/>
              <w:ind w:firstLine="480"/>
            </w:pPr>
            <w:r>
              <w:rPr>
                <w:rFonts w:hint="eastAsia"/>
              </w:rPr>
              <w:t>（2）闭矿期至复垦完成期间，地表裸露面积较大，残留的碎石碎土在车辆通行及大风天易产生较大扬尘，影响周边植被生长。此外，雨季时雨水冲刷整治复垦的土地，可造成新的水土流失。</w:t>
            </w:r>
          </w:p>
          <w:p>
            <w:pPr>
              <w:pStyle w:val="63"/>
              <w:ind w:firstLine="480"/>
            </w:pPr>
            <w:r>
              <w:rPr>
                <w:rFonts w:hint="eastAsia"/>
              </w:rPr>
              <w:t>矿区开采活动结束后，应采取相应的土地复垦措施，以尽快恢复矿区生态环境，使矿山及其周围的生态环境影响降到最低。可采取以下几点防治措施：</w:t>
            </w:r>
          </w:p>
          <w:p>
            <w:pPr>
              <w:pStyle w:val="63"/>
              <w:ind w:firstLine="480"/>
            </w:pPr>
            <w:r>
              <w:rPr>
                <w:rFonts w:hint="eastAsia"/>
              </w:rPr>
              <w:t>1）开采终了后，对场地进行清理，拆除基础设施。</w:t>
            </w:r>
          </w:p>
          <w:p>
            <w:pPr>
              <w:pStyle w:val="63"/>
              <w:ind w:firstLine="480"/>
            </w:pPr>
            <w:r>
              <w:rPr>
                <w:rFonts w:hint="eastAsia"/>
              </w:rPr>
              <w:t>2）回填覆土，设置相应的水保措施，撒播草种及种植相应的绿化植被等。</w:t>
            </w:r>
          </w:p>
          <w:p>
            <w:pPr>
              <w:pStyle w:val="63"/>
              <w:ind w:firstLine="480"/>
            </w:pPr>
            <w:r>
              <w:rPr>
                <w:rFonts w:hint="eastAsia"/>
              </w:rPr>
              <w:t>3）临时占地设施按土地复垦方案恢复相应地类。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pPr>
              <w:pStyle w:val="18"/>
              <w:jc w:val="center"/>
              <w:rPr>
                <w:rFonts w:ascii="Times New Roman" w:hAnsi="Times New Roman" w:eastAsia="黑体"/>
                <w:b/>
                <w:snapToGrid w:val="0"/>
              </w:rPr>
            </w:pPr>
            <w:r>
              <w:rPr>
                <w:rFonts w:hint="eastAsia" w:ascii="Times New Roman" w:hAnsi="Times New Roman"/>
                <w:b/>
                <w:kern w:val="2"/>
              </w:rPr>
              <w:t>选址选线环境合理性分析</w:t>
            </w:r>
          </w:p>
        </w:tc>
        <w:tc>
          <w:tcPr>
            <w:tcW w:w="8595" w:type="dxa"/>
          </w:tcPr>
          <w:p>
            <w:pPr>
              <w:pStyle w:val="47"/>
              <w:ind w:firstLine="480"/>
              <w:rPr>
                <w:color w:val="auto"/>
              </w:rPr>
            </w:pPr>
            <w:r>
              <w:rPr>
                <w:rFonts w:hint="eastAsia"/>
                <w:color w:val="auto"/>
              </w:rPr>
              <w:t>1、项目选址环境合理性分析</w:t>
            </w:r>
          </w:p>
          <w:p>
            <w:pPr>
              <w:pStyle w:val="47"/>
              <w:ind w:firstLine="480"/>
              <w:rPr>
                <w:color w:val="auto"/>
              </w:rPr>
            </w:pPr>
            <w:r>
              <w:rPr>
                <w:rFonts w:hint="eastAsia"/>
                <w:color w:val="auto"/>
              </w:rPr>
              <w:t>项目位于杜家圈南冶镁白云岩矿青龙山北段，工业场地布置在12--12′勘探线附近，剥离表土位于项目采矿区废弃采坑内，不新增临时用地，属吴忠市同心县韦州镇管辖。矿山东西两侧分别有吴忠—环县公路和惠安堡—下马关公路通过，自太阳山镇有柏油路与韦州—下马关公路、盐（池）兴（仁）公路相接交通较为便利。</w:t>
            </w:r>
          </w:p>
          <w:p>
            <w:pPr>
              <w:pStyle w:val="47"/>
              <w:ind w:firstLine="480"/>
              <w:rPr>
                <w:color w:val="auto"/>
              </w:rPr>
            </w:pPr>
            <w:r>
              <w:rPr>
                <w:rFonts w:hint="eastAsia"/>
                <w:color w:val="auto"/>
              </w:rPr>
              <w:t>本矿位于青龙山北部，海拔+1495m～+1693.1m，相对高度198.1m，呈低山—丘陵地貌。植被不发育，只有少量耐旱草本植物生长，项目评价范围内未发现珍稀动植物物种。矿区基岩中南部出露较好，北部较差，第四系黄土覆盖于山脊两侧和沟谷南坡。矿区以西约6km的韦州河最低侵蚀面为+1370m，东部约5km有苦水河自南向北流经，无其他水系。</w:t>
            </w:r>
          </w:p>
          <w:p>
            <w:pPr>
              <w:pStyle w:val="47"/>
              <w:ind w:firstLine="480"/>
              <w:rPr>
                <w:color w:val="auto"/>
              </w:rPr>
            </w:pPr>
            <w:r>
              <w:rPr>
                <w:rFonts w:hint="eastAsia"/>
                <w:color w:val="auto"/>
              </w:rPr>
              <w:t>矿山范围内及周边不存在军事设施、文物和纪念性建筑物、自然保护区、风景名胜区、铁路、公路、城镇、输变电工程、通讯设施、能源输送管道、水库、河流、湖泊等。项目区域北部地下开采区存在一烽火台（距露天采区北侧边界最近距离2</w:t>
            </w:r>
            <w:r>
              <w:rPr>
                <w:color w:val="auto"/>
              </w:rPr>
              <w:t>345m</w:t>
            </w:r>
            <w:r>
              <w:rPr>
                <w:rFonts w:hint="eastAsia"/>
                <w:color w:val="auto"/>
              </w:rPr>
              <w:t>，烽火台在采矿区位置见附图五），属历史遗迹，具有一定的历史研究价值，今后开采过程中，设安全距离，做好保护工作。</w:t>
            </w:r>
          </w:p>
          <w:p>
            <w:pPr>
              <w:pStyle w:val="47"/>
              <w:ind w:firstLine="480"/>
              <w:rPr>
                <w:color w:val="auto"/>
              </w:rPr>
            </w:pPr>
            <w:r>
              <w:rPr>
                <w:rFonts w:hint="eastAsia"/>
                <w:color w:val="auto"/>
              </w:rPr>
              <w:t>本矿山南邻东道梁北段冶镁白云岩矿，矿区内仅有南端的宁夏瑞兴矿业有限公司东道梁南段冶镁白云岩矿正在开采，距离本矿在6km以外，距离较远，不受开采关系的相关影响。</w:t>
            </w:r>
          </w:p>
          <w:p>
            <w:pPr>
              <w:pStyle w:val="47"/>
              <w:ind w:firstLine="480"/>
              <w:rPr>
                <w:rFonts w:hint="eastAsia"/>
                <w:color w:val="auto"/>
              </w:rPr>
            </w:pPr>
            <w:r>
              <w:rPr>
                <w:rFonts w:hint="eastAsia"/>
                <w:color w:val="auto"/>
              </w:rPr>
              <w:t>项目建设选址与《宁夏回族自治区主体功能区规划》、《矿山生态环境保护与污染防治技术政策》中对矿山开采的选址要求相符；根据《吴忠市生态空间分布示意图》可知（详见附图十一），项目不涉及吴忠市生态保护红线和一般生态空间，根据《吴忠市环境管控单元分布图》，项目位于一般管控单元。不涉及集中式饮用水源地、重要湿地、生态公益林等生态保护红线，满足生态保护红线要求；矿区不在《宁夏回族自治区矿产资源总体规划（20</w:t>
            </w:r>
            <w:r>
              <w:rPr>
                <w:color w:val="auto"/>
              </w:rPr>
              <w:t>21</w:t>
            </w:r>
            <w:r>
              <w:rPr>
                <w:rFonts w:hint="eastAsia"/>
                <w:color w:val="auto"/>
              </w:rPr>
              <w:t>~202</w:t>
            </w:r>
            <w:r>
              <w:rPr>
                <w:color w:val="auto"/>
              </w:rPr>
              <w:t>5</w:t>
            </w:r>
            <w:r>
              <w:rPr>
                <w:rFonts w:hint="eastAsia"/>
                <w:color w:val="auto"/>
              </w:rPr>
              <w:t>年）》、《吴忠市矿产资源总体规划（20</w:t>
            </w:r>
            <w:r>
              <w:rPr>
                <w:color w:val="auto"/>
              </w:rPr>
              <w:t>21</w:t>
            </w:r>
            <w:r>
              <w:rPr>
                <w:rFonts w:hint="eastAsia"/>
                <w:color w:val="auto"/>
              </w:rPr>
              <w:t>~202</w:t>
            </w:r>
            <w:r>
              <w:rPr>
                <w:color w:val="auto"/>
              </w:rPr>
              <w:t>5</w:t>
            </w:r>
            <w:r>
              <w:rPr>
                <w:rFonts w:hint="eastAsia"/>
                <w:color w:val="auto"/>
              </w:rPr>
              <w:t>年）》中限制及禁止开采区范围，符合矿产资源总体规划。因此从环境保护角度来看，项目选址是合理的。</w:t>
            </w:r>
          </w:p>
          <w:p>
            <w:pPr>
              <w:pStyle w:val="47"/>
              <w:ind w:firstLine="480"/>
              <w:rPr>
                <w:rFonts w:hint="eastAsia"/>
                <w:color w:val="auto"/>
              </w:rPr>
            </w:pPr>
          </w:p>
          <w:p>
            <w:pPr>
              <w:pStyle w:val="47"/>
              <w:ind w:firstLine="480"/>
              <w:rPr>
                <w:rFonts w:hint="eastAsia"/>
                <w:color w:val="auto"/>
              </w:rPr>
            </w:pPr>
          </w:p>
          <w:p>
            <w:pPr>
              <w:pStyle w:val="47"/>
              <w:ind w:firstLine="480"/>
              <w:rPr>
                <w:rFonts w:hint="eastAsia"/>
                <w:color w:val="auto"/>
              </w:rPr>
            </w:pPr>
          </w:p>
          <w:p>
            <w:pPr>
              <w:pStyle w:val="47"/>
              <w:ind w:firstLine="480"/>
              <w:rPr>
                <w:rFonts w:hint="eastAsia"/>
                <w:color w:val="auto"/>
              </w:rPr>
            </w:pPr>
          </w:p>
          <w:p>
            <w:pPr>
              <w:pStyle w:val="47"/>
              <w:ind w:firstLine="480"/>
              <w:rPr>
                <w:rFonts w:hint="eastAsia"/>
                <w:color w:val="auto"/>
              </w:rPr>
            </w:pPr>
          </w:p>
          <w:p>
            <w:pPr>
              <w:pStyle w:val="47"/>
              <w:ind w:firstLine="480"/>
              <w:rPr>
                <w:rFonts w:hint="eastAsia"/>
                <w:color w:val="auto"/>
              </w:rPr>
            </w:pPr>
          </w:p>
          <w:p>
            <w:pPr>
              <w:pStyle w:val="47"/>
              <w:ind w:firstLine="480"/>
              <w:rPr>
                <w:rFonts w:hint="eastAsia"/>
                <w:color w:val="auto"/>
              </w:rPr>
            </w:pPr>
          </w:p>
          <w:p>
            <w:pPr>
              <w:pStyle w:val="47"/>
              <w:ind w:firstLine="480"/>
              <w:rPr>
                <w:rFonts w:hint="eastAsia"/>
                <w:color w:val="auto"/>
              </w:rPr>
            </w:pPr>
          </w:p>
          <w:p>
            <w:pPr>
              <w:pStyle w:val="47"/>
              <w:ind w:firstLine="480"/>
              <w:rPr>
                <w:rFonts w:hint="eastAsia"/>
                <w:color w:val="auto"/>
              </w:rPr>
            </w:pPr>
          </w:p>
        </w:tc>
      </w:tr>
    </w:tbl>
    <w:p>
      <w:pPr>
        <w:pStyle w:val="18"/>
        <w:widowControl w:val="0"/>
        <w:snapToGrid w:val="0"/>
        <w:spacing w:before="0" w:beforeAutospacing="0" w:after="0" w:afterAutospacing="0"/>
        <w:jc w:val="center"/>
        <w:outlineLvl w:val="0"/>
        <w:rPr>
          <w:rFonts w:ascii="Times New Roman" w:hAnsi="Times New Roman" w:eastAsia="黑体"/>
          <w:snapToGrid w:val="0"/>
          <w:sz w:val="30"/>
          <w:szCs w:val="30"/>
        </w:rPr>
      </w:pPr>
    </w:p>
    <w:p>
      <w:pPr>
        <w:pStyle w:val="18"/>
        <w:widowControl w:val="0"/>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五、主要生态环境保护措施</w:t>
      </w:r>
    </w:p>
    <w:p>
      <w:pPr>
        <w:pStyle w:val="18"/>
        <w:widowControl w:val="0"/>
        <w:spacing w:before="0" w:beforeAutospacing="0" w:after="0" w:afterAutospacing="0" w:line="14" w:lineRule="auto"/>
        <w:jc w:val="center"/>
        <w:outlineLvl w:val="0"/>
        <w:rPr>
          <w:rFonts w:ascii="Times New Roman" w:hAnsi="Times New Roman" w:eastAsia="黑体"/>
          <w:snapToGrid w:val="0"/>
          <w:sz w:val="30"/>
          <w:szCs w:val="30"/>
        </w:rPr>
      </w:pPr>
    </w:p>
    <w:tbl>
      <w:tblPr>
        <w:tblStyle w:val="22"/>
        <w:tblW w:w="92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5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2" w:hRule="atLeast"/>
          <w:jc w:val="center"/>
        </w:trPr>
        <w:tc>
          <w:tcPr>
            <w:tcW w:w="700" w:type="dxa"/>
            <w:tcMar>
              <w:left w:w="28" w:type="dxa"/>
              <w:right w:w="28" w:type="dxa"/>
            </w:tcMar>
            <w:vAlign w:val="center"/>
          </w:tcPr>
          <w:p>
            <w:pPr>
              <w:jc w:val="center"/>
              <w:rPr>
                <w:bCs/>
                <w:szCs w:val="21"/>
              </w:rPr>
            </w:pPr>
            <w:r>
              <w:rPr>
                <w:rFonts w:hint="eastAsia"/>
                <w:bCs/>
                <w:spacing w:val="10"/>
                <w:szCs w:val="21"/>
              </w:rPr>
              <w:t>施工期生态环境保护措施</w:t>
            </w:r>
          </w:p>
        </w:tc>
        <w:tc>
          <w:tcPr>
            <w:tcW w:w="8540" w:type="dxa"/>
          </w:tcPr>
          <w:p>
            <w:pPr>
              <w:pStyle w:val="50"/>
              <w:ind w:firstLine="482"/>
              <w:rPr>
                <w:b/>
                <w:bCs/>
              </w:rPr>
            </w:pPr>
            <w:r>
              <w:rPr>
                <w:rFonts w:hint="eastAsia"/>
                <w:b/>
                <w:bCs/>
              </w:rPr>
              <w:t>1、施工期生态环境环境保护措施</w:t>
            </w:r>
          </w:p>
          <w:p>
            <w:pPr>
              <w:pStyle w:val="50"/>
              <w:ind w:firstLine="482"/>
              <w:rPr>
                <w:b/>
                <w:bCs/>
              </w:rPr>
            </w:pPr>
            <w:r>
              <w:rPr>
                <w:rFonts w:hint="eastAsia"/>
                <w:b/>
                <w:bCs/>
              </w:rPr>
              <w:t>1.1临时占地生态保护及恢复措施</w:t>
            </w:r>
          </w:p>
          <w:p>
            <w:pPr>
              <w:pStyle w:val="50"/>
              <w:ind w:firstLine="480"/>
            </w:pPr>
            <w:r>
              <w:rPr>
                <w:rFonts w:hint="eastAsia"/>
              </w:rPr>
              <w:t>⑴施工前，应合理规划施工工区，尽量缩小施工范围，减少临时占地面积；</w:t>
            </w:r>
          </w:p>
          <w:p>
            <w:pPr>
              <w:pStyle w:val="50"/>
              <w:ind w:firstLine="480"/>
            </w:pPr>
            <w:r>
              <w:rPr>
                <w:rFonts w:hint="eastAsia"/>
              </w:rPr>
              <w:t>⑵施工过程中，应严格管理，确保在规定的施工范围内施工，施工机械应严格按照规定的临时施工道路行驶，严禁占用施工区域外的土地，在大风及雨季不宜施工；</w:t>
            </w:r>
          </w:p>
          <w:p>
            <w:pPr>
              <w:pStyle w:val="50"/>
              <w:ind w:firstLine="480"/>
            </w:pPr>
            <w:r>
              <w:rPr>
                <w:rFonts w:hint="eastAsia"/>
              </w:rPr>
              <w:t>⑶施工结束后，对临时占地立即进行迹地清理和土地整治，撒播适宜当地生长草籽；</w:t>
            </w:r>
          </w:p>
          <w:p>
            <w:pPr>
              <w:pStyle w:val="50"/>
              <w:ind w:firstLine="480"/>
            </w:pPr>
            <w:r>
              <w:rPr>
                <w:rFonts w:hint="eastAsia"/>
              </w:rPr>
              <w:t>⑷加强生态保护管理监督，切实落实各项生态恢复措施，确保撒播草种的成活率，使临时施工占地植被覆盖盖度至少恢复到原有水平。</w:t>
            </w:r>
          </w:p>
          <w:p>
            <w:pPr>
              <w:pStyle w:val="50"/>
              <w:ind w:firstLine="482"/>
              <w:rPr>
                <w:b/>
                <w:bCs/>
              </w:rPr>
            </w:pPr>
            <w:r>
              <w:rPr>
                <w:rFonts w:hint="eastAsia"/>
                <w:b/>
                <w:bCs/>
              </w:rPr>
              <w:t>1.2植被、土壤保护及恢复措施</w:t>
            </w:r>
          </w:p>
          <w:p>
            <w:pPr>
              <w:pStyle w:val="50"/>
              <w:ind w:firstLine="480"/>
            </w:pPr>
            <w:r>
              <w:rPr>
                <w:rFonts w:hint="eastAsia"/>
              </w:rPr>
              <w:t>⑴施工中应加强施工管理，尽量缩小施工范围，各种施工活动应严格控制在施工区域内，将临时占地面积控制在最低限度，尽可能不破坏现有的地表植被和土壤。</w:t>
            </w:r>
          </w:p>
          <w:p>
            <w:pPr>
              <w:pStyle w:val="50"/>
              <w:ind w:firstLine="480"/>
            </w:pPr>
            <w:r>
              <w:rPr>
                <w:rFonts w:hint="eastAsia"/>
              </w:rPr>
              <w:t>⑵对于临时占地，施工结束后应按照国务院《土地复垦规定》进行土地复垦和植被重建工作。凡受到施工车辆、机械破坏的地方均要进行土地平整，并在适当季节进行种草工作，保持地表现有的稳定状态，其中种草成活率要达到70%以上。</w:t>
            </w:r>
          </w:p>
          <w:p>
            <w:pPr>
              <w:pStyle w:val="50"/>
              <w:ind w:firstLine="480"/>
            </w:pPr>
            <w:r>
              <w:rPr>
                <w:rFonts w:hint="eastAsia"/>
              </w:rPr>
              <w:t>⑶应加强对工作生态环境保护意识的教育，严禁在规定的施工范围外随意车辆碾压草地。</w:t>
            </w:r>
          </w:p>
          <w:p>
            <w:pPr>
              <w:pStyle w:val="50"/>
              <w:ind w:firstLine="480"/>
            </w:pPr>
            <w:r>
              <w:rPr>
                <w:rFonts w:hint="eastAsia"/>
              </w:rPr>
              <w:t>⑷妥善处理建设期的各类污染物、生活垃圾等，要进行统一集中处理，不得随意弃置。施工结束后，要进行现场清理，采取恢复措施。</w:t>
            </w:r>
          </w:p>
          <w:p>
            <w:pPr>
              <w:pStyle w:val="50"/>
              <w:ind w:firstLine="482"/>
              <w:rPr>
                <w:b/>
                <w:bCs/>
              </w:rPr>
            </w:pPr>
            <w:r>
              <w:rPr>
                <w:rFonts w:hint="eastAsia"/>
                <w:b/>
                <w:bCs/>
              </w:rPr>
              <w:t>1.3土壤侵蚀的防治对策措施</w:t>
            </w:r>
          </w:p>
          <w:p>
            <w:pPr>
              <w:pStyle w:val="47"/>
              <w:ind w:firstLine="480"/>
              <w:rPr>
                <w:color w:val="auto"/>
              </w:rPr>
            </w:pPr>
            <w:r>
              <w:rPr>
                <w:rFonts w:hint="eastAsia"/>
                <w:color w:val="auto"/>
              </w:rPr>
              <w:t>针对项目施工期生态环境影响，评价要求采取以下防治措施：</w:t>
            </w:r>
          </w:p>
          <w:p>
            <w:pPr>
              <w:pStyle w:val="47"/>
              <w:ind w:firstLine="480"/>
              <w:rPr>
                <w:color w:val="auto"/>
              </w:rPr>
            </w:pPr>
            <w:r>
              <w:rPr>
                <w:rFonts w:hint="eastAsia"/>
                <w:color w:val="auto"/>
              </w:rPr>
              <w:t xml:space="preserve"> 1）合理安排施工时间，土石方开挖等工程尽量避开雨季和暴雨季节，并尽量缩短施工时间；同时，裸露地表覆盖处理。</w:t>
            </w:r>
          </w:p>
          <w:p>
            <w:pPr>
              <w:pStyle w:val="47"/>
              <w:ind w:firstLine="480"/>
              <w:rPr>
                <w:color w:val="auto"/>
              </w:rPr>
            </w:pPr>
            <w:r>
              <w:rPr>
                <w:rFonts w:hint="eastAsia"/>
                <w:color w:val="auto"/>
              </w:rPr>
              <w:t>2）优先做好排水导流工作，减轻水流对裸露地表的冲刷。</w:t>
            </w:r>
          </w:p>
          <w:p>
            <w:pPr>
              <w:pStyle w:val="47"/>
              <w:ind w:firstLine="480"/>
              <w:rPr>
                <w:color w:val="auto"/>
              </w:rPr>
            </w:pPr>
            <w:r>
              <w:rPr>
                <w:rFonts w:hint="eastAsia"/>
                <w:color w:val="auto"/>
              </w:rPr>
              <w:t>3）严格控制施工人员的活动范围，将活动界限控制在项目占地界限以内。</w:t>
            </w:r>
          </w:p>
          <w:p>
            <w:pPr>
              <w:pStyle w:val="47"/>
              <w:ind w:firstLine="480"/>
              <w:rPr>
                <w:color w:val="auto"/>
              </w:rPr>
            </w:pPr>
            <w:r>
              <w:rPr>
                <w:rFonts w:hint="eastAsia"/>
                <w:color w:val="auto"/>
              </w:rPr>
              <w:t>4）占用林地应根据国土资源部门的相关规定进行补偿；同时，对占地范围内可利用乔灌木进行移栽保留。</w:t>
            </w:r>
          </w:p>
          <w:p>
            <w:pPr>
              <w:pStyle w:val="47"/>
              <w:ind w:firstLine="480"/>
              <w:rPr>
                <w:color w:val="auto"/>
              </w:rPr>
            </w:pPr>
            <w:r>
              <w:rPr>
                <w:rFonts w:hint="eastAsia"/>
                <w:color w:val="auto"/>
              </w:rPr>
              <w:t>5）施工结束后尽快完成各场地和临时占地的绿化和植被恢复。上述施工过程中产生的污染都是暂时的、局部的，且随着施工过程的结束，该污染也将消失。</w:t>
            </w:r>
          </w:p>
          <w:p>
            <w:pPr>
              <w:pStyle w:val="50"/>
              <w:ind w:firstLine="480"/>
            </w:pPr>
            <w:r>
              <w:rPr>
                <w:rFonts w:hint="eastAsia"/>
              </w:rPr>
              <w:t>6）加强施工组织管理，提高施工机械化，缩短施工工期，尽早恢复场地植被。</w:t>
            </w:r>
          </w:p>
          <w:p>
            <w:pPr>
              <w:pStyle w:val="50"/>
              <w:ind w:firstLine="480"/>
            </w:pPr>
            <w:r>
              <w:rPr>
                <w:rFonts w:hint="eastAsia"/>
              </w:rPr>
              <w:t>7）制订建设期环保规章制度，加强施工人员环保意识。</w:t>
            </w:r>
          </w:p>
          <w:p>
            <w:pPr>
              <w:pStyle w:val="50"/>
              <w:ind w:firstLine="482"/>
              <w:rPr>
                <w:b/>
                <w:bCs/>
              </w:rPr>
            </w:pPr>
            <w:r>
              <w:rPr>
                <w:rFonts w:hint="eastAsia"/>
                <w:b/>
                <w:bCs/>
              </w:rPr>
              <w:t>1.4生态减缓措施</w:t>
            </w:r>
          </w:p>
          <w:p>
            <w:pPr>
              <w:pStyle w:val="50"/>
              <w:ind w:firstLine="480"/>
            </w:pPr>
            <w:r>
              <w:rPr>
                <w:rFonts w:hint="eastAsia"/>
              </w:rPr>
              <w:t>从保护生态与环境的角度出发，建议本项目开发建设前，尽量做好施工计划前期工作；加强施工人员的各类卫生管理；做好工程完工后生态环境的恢复工作，以尽量减少植被破坏及水土流失等不利影响；加强环境管理、减少污染，加强生态保护宣传教育。本项目所在区域生态类型较为简单，施工对生态环境影响较小。在施工期分别采取工程措施、植物措施等各种措施相结合的措施，可减缓对生态环境的破坏。</w:t>
            </w:r>
          </w:p>
          <w:p>
            <w:pPr>
              <w:pStyle w:val="50"/>
              <w:ind w:firstLine="482"/>
              <w:rPr>
                <w:b/>
                <w:bCs/>
              </w:rPr>
            </w:pPr>
            <w:r>
              <w:rPr>
                <w:rFonts w:hint="eastAsia"/>
                <w:b/>
                <w:bCs/>
              </w:rPr>
              <w:t>1.5水土保持措施</w:t>
            </w:r>
          </w:p>
          <w:p>
            <w:pPr>
              <w:pStyle w:val="47"/>
              <w:ind w:firstLine="480"/>
              <w:rPr>
                <w:color w:val="auto"/>
              </w:rPr>
            </w:pPr>
            <w:r>
              <w:rPr>
                <w:rFonts w:hint="eastAsia"/>
                <w:color w:val="auto"/>
              </w:rPr>
              <w:t>根据水土流失分区原则和主体工程布局、施工工艺特点、建设时序、地貌特征、自然属性、水土流失影响等因素，将水土流失防治分区划分为露天采场区、工业场地和进场道路区3个防治分区（详见下表）。</w:t>
            </w:r>
          </w:p>
          <w:p>
            <w:pPr>
              <w:pStyle w:val="50"/>
              <w:numPr>
                <w:ilvl w:val="0"/>
                <w:numId w:val="2"/>
              </w:numPr>
              <w:snapToGrid w:val="0"/>
              <w:spacing w:line="240" w:lineRule="auto"/>
              <w:ind w:left="0" w:firstLine="0" w:firstLineChars="0"/>
              <w:jc w:val="center"/>
              <w:rPr>
                <w:rFonts w:ascii="宋体" w:hAnsi="宋体" w:cs="宋体"/>
                <w:b/>
                <w:bCs/>
                <w:szCs w:val="24"/>
              </w:rPr>
            </w:pPr>
            <w:r>
              <w:rPr>
                <w:rFonts w:hint="eastAsia" w:ascii="宋体" w:hAnsi="宋体" w:cs="宋体"/>
                <w:b/>
                <w:bCs/>
                <w:szCs w:val="24"/>
              </w:rPr>
              <w:t>水土流失防治分区表</w:t>
            </w:r>
          </w:p>
          <w:tbl>
            <w:tblPr>
              <w:tblStyle w:val="22"/>
              <w:tblW w:w="8291"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927"/>
              <w:gridCol w:w="2742"/>
              <w:gridCol w:w="262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2927" w:type="dxa"/>
                  <w:vMerge w:val="restart"/>
                  <w:shd w:val="clear" w:color="auto" w:fill="auto"/>
                  <w:vAlign w:val="center"/>
                </w:tcPr>
                <w:p>
                  <w:pPr>
                    <w:pStyle w:val="33"/>
                    <w:spacing w:line="360" w:lineRule="exact"/>
                    <w:jc w:val="center"/>
                    <w:rPr>
                      <w:szCs w:val="18"/>
                    </w:rPr>
                  </w:pPr>
                  <w:r>
                    <w:rPr>
                      <w:rFonts w:hint="eastAsia"/>
                      <w:szCs w:val="18"/>
                    </w:rPr>
                    <w:t>防治分区</w:t>
                  </w:r>
                </w:p>
              </w:tc>
              <w:tc>
                <w:tcPr>
                  <w:tcW w:w="2742" w:type="dxa"/>
                  <w:shd w:val="clear" w:color="auto" w:fill="auto"/>
                  <w:vAlign w:val="center"/>
                </w:tcPr>
                <w:p>
                  <w:pPr>
                    <w:pStyle w:val="33"/>
                    <w:spacing w:line="360" w:lineRule="exact"/>
                    <w:jc w:val="center"/>
                    <w:rPr>
                      <w:szCs w:val="18"/>
                    </w:rPr>
                  </w:pPr>
                  <w:r>
                    <w:rPr>
                      <w:rFonts w:hint="eastAsia"/>
                      <w:szCs w:val="18"/>
                    </w:rPr>
                    <w:t>水土流失防治分区</w:t>
                  </w:r>
                </w:p>
              </w:tc>
              <w:tc>
                <w:tcPr>
                  <w:tcW w:w="2622" w:type="dxa"/>
                  <w:vMerge w:val="restart"/>
                  <w:shd w:val="clear" w:color="auto" w:fill="auto"/>
                  <w:vAlign w:val="center"/>
                </w:tcPr>
                <w:p>
                  <w:pPr>
                    <w:pStyle w:val="33"/>
                    <w:spacing w:line="360" w:lineRule="exact"/>
                    <w:jc w:val="center"/>
                    <w:rPr>
                      <w:szCs w:val="18"/>
                    </w:rPr>
                  </w:pPr>
                  <w:r>
                    <w:rPr>
                      <w:rFonts w:hint="eastAsia"/>
                      <w:szCs w:val="18"/>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2927" w:type="dxa"/>
                  <w:vMerge w:val="continue"/>
                  <w:shd w:val="clear" w:color="auto" w:fill="auto"/>
                  <w:vAlign w:val="center"/>
                </w:tcPr>
                <w:p>
                  <w:pPr>
                    <w:widowControl/>
                    <w:spacing w:line="360" w:lineRule="exact"/>
                    <w:jc w:val="center"/>
                    <w:rPr>
                      <w:szCs w:val="18"/>
                    </w:rPr>
                  </w:pPr>
                </w:p>
              </w:tc>
              <w:tc>
                <w:tcPr>
                  <w:tcW w:w="2742" w:type="dxa"/>
                  <w:shd w:val="clear" w:color="auto" w:fill="auto"/>
                  <w:vAlign w:val="center"/>
                </w:tcPr>
                <w:p>
                  <w:pPr>
                    <w:pStyle w:val="33"/>
                    <w:spacing w:line="360" w:lineRule="exact"/>
                    <w:jc w:val="center"/>
                    <w:rPr>
                      <w:szCs w:val="18"/>
                    </w:rPr>
                  </w:pPr>
                  <w:r>
                    <w:rPr>
                      <w:rFonts w:hint="eastAsia"/>
                      <w:szCs w:val="18"/>
                    </w:rPr>
                    <w:t>临时占地（hm</w:t>
                  </w:r>
                  <w:r>
                    <w:rPr>
                      <w:rFonts w:hint="eastAsia"/>
                      <w:szCs w:val="18"/>
                      <w:vertAlign w:val="superscript"/>
                    </w:rPr>
                    <w:t>2</w:t>
                  </w:r>
                  <w:r>
                    <w:rPr>
                      <w:rFonts w:hint="eastAsia"/>
                      <w:szCs w:val="18"/>
                    </w:rPr>
                    <w:t>）</w:t>
                  </w:r>
                </w:p>
              </w:tc>
              <w:tc>
                <w:tcPr>
                  <w:tcW w:w="2622" w:type="dxa"/>
                  <w:vMerge w:val="continue"/>
                  <w:shd w:val="clear" w:color="auto" w:fill="auto"/>
                  <w:vAlign w:val="center"/>
                </w:tcPr>
                <w:p>
                  <w:pPr>
                    <w:widowControl/>
                    <w:spacing w:line="360" w:lineRule="exact"/>
                    <w:jc w:val="center"/>
                    <w:rPr>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2927" w:type="dxa"/>
                  <w:shd w:val="clear" w:color="auto" w:fill="auto"/>
                  <w:vAlign w:val="center"/>
                </w:tcPr>
                <w:p>
                  <w:pPr>
                    <w:pStyle w:val="33"/>
                    <w:spacing w:line="360" w:lineRule="exact"/>
                    <w:jc w:val="center"/>
                    <w:rPr>
                      <w:szCs w:val="18"/>
                    </w:rPr>
                  </w:pPr>
                  <w:r>
                    <w:rPr>
                      <w:rFonts w:hint="eastAsia"/>
                      <w:szCs w:val="18"/>
                    </w:rPr>
                    <w:t>露天采场</w:t>
                  </w:r>
                </w:p>
              </w:tc>
              <w:tc>
                <w:tcPr>
                  <w:tcW w:w="2742" w:type="dxa"/>
                  <w:shd w:val="clear" w:color="auto" w:fill="auto"/>
                  <w:vAlign w:val="center"/>
                </w:tcPr>
                <w:p>
                  <w:pPr>
                    <w:pStyle w:val="33"/>
                    <w:spacing w:line="360" w:lineRule="exact"/>
                    <w:jc w:val="center"/>
                    <w:rPr>
                      <w:szCs w:val="18"/>
                    </w:rPr>
                  </w:pPr>
                  <w:r>
                    <w:rPr>
                      <w:rFonts w:hint="eastAsia"/>
                      <w:szCs w:val="18"/>
                    </w:rPr>
                    <w:t>18.03</w:t>
                  </w:r>
                </w:p>
              </w:tc>
              <w:tc>
                <w:tcPr>
                  <w:tcW w:w="2622" w:type="dxa"/>
                  <w:shd w:val="clear" w:color="auto" w:fill="auto"/>
                  <w:vAlign w:val="center"/>
                </w:tcPr>
                <w:p>
                  <w:pPr>
                    <w:pStyle w:val="33"/>
                    <w:spacing w:line="360" w:lineRule="exact"/>
                    <w:jc w:val="center"/>
                    <w:rPr>
                      <w:szCs w:val="18"/>
                    </w:rPr>
                  </w:pPr>
                  <w:r>
                    <w:rPr>
                      <w:rFonts w:hint="eastAsia"/>
                      <w:szCs w:val="18"/>
                    </w:rPr>
                    <w:t>基建平台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2927" w:type="dxa"/>
                  <w:shd w:val="clear" w:color="auto" w:fill="auto"/>
                  <w:vAlign w:val="center"/>
                </w:tcPr>
                <w:p>
                  <w:pPr>
                    <w:pStyle w:val="33"/>
                    <w:spacing w:line="360" w:lineRule="exact"/>
                    <w:jc w:val="center"/>
                    <w:rPr>
                      <w:szCs w:val="18"/>
                    </w:rPr>
                  </w:pPr>
                  <w:r>
                    <w:rPr>
                      <w:rFonts w:hint="eastAsia"/>
                      <w:szCs w:val="18"/>
                    </w:rPr>
                    <w:t>工业场地</w:t>
                  </w:r>
                </w:p>
              </w:tc>
              <w:tc>
                <w:tcPr>
                  <w:tcW w:w="2742" w:type="dxa"/>
                  <w:shd w:val="clear" w:color="auto" w:fill="auto"/>
                  <w:vAlign w:val="center"/>
                </w:tcPr>
                <w:p>
                  <w:pPr>
                    <w:pStyle w:val="33"/>
                    <w:spacing w:line="360" w:lineRule="exact"/>
                    <w:jc w:val="center"/>
                    <w:rPr>
                      <w:szCs w:val="18"/>
                    </w:rPr>
                  </w:pPr>
                  <w:r>
                    <w:rPr>
                      <w:rFonts w:hint="eastAsia"/>
                      <w:szCs w:val="18"/>
                    </w:rPr>
                    <w:t>10.28</w:t>
                  </w:r>
                </w:p>
              </w:tc>
              <w:tc>
                <w:tcPr>
                  <w:tcW w:w="2622" w:type="dxa"/>
                  <w:shd w:val="clear" w:color="auto" w:fill="auto"/>
                  <w:vAlign w:val="center"/>
                </w:tcPr>
                <w:p>
                  <w:pPr>
                    <w:pStyle w:val="33"/>
                    <w:spacing w:line="360" w:lineRule="exact"/>
                    <w:jc w:val="center"/>
                    <w:rPr>
                      <w:szCs w:val="20"/>
                    </w:rPr>
                  </w:pPr>
                  <w:r>
                    <w:rPr>
                      <w:rFonts w:hint="eastAsia"/>
                      <w:szCs w:val="20"/>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2927" w:type="dxa"/>
                  <w:shd w:val="clear" w:color="auto" w:fill="auto"/>
                  <w:vAlign w:val="center"/>
                </w:tcPr>
                <w:p>
                  <w:pPr>
                    <w:pStyle w:val="33"/>
                    <w:spacing w:line="360" w:lineRule="exact"/>
                    <w:jc w:val="center"/>
                    <w:rPr>
                      <w:szCs w:val="18"/>
                    </w:rPr>
                  </w:pPr>
                  <w:r>
                    <w:rPr>
                      <w:rFonts w:hint="eastAsia"/>
                      <w:szCs w:val="18"/>
                    </w:rPr>
                    <w:t>进场道路</w:t>
                  </w:r>
                </w:p>
              </w:tc>
              <w:tc>
                <w:tcPr>
                  <w:tcW w:w="2742" w:type="dxa"/>
                  <w:shd w:val="clear" w:color="auto" w:fill="auto"/>
                  <w:vAlign w:val="center"/>
                </w:tcPr>
                <w:p>
                  <w:pPr>
                    <w:pStyle w:val="33"/>
                    <w:spacing w:line="360" w:lineRule="exact"/>
                    <w:jc w:val="center"/>
                    <w:rPr>
                      <w:szCs w:val="18"/>
                    </w:rPr>
                  </w:pPr>
                  <w:r>
                    <w:rPr>
                      <w:rFonts w:hint="eastAsia"/>
                      <w:szCs w:val="18"/>
                    </w:rPr>
                    <w:t>0.89</w:t>
                  </w:r>
                </w:p>
              </w:tc>
              <w:tc>
                <w:tcPr>
                  <w:tcW w:w="2622" w:type="dxa"/>
                  <w:shd w:val="clear" w:color="auto" w:fill="auto"/>
                  <w:vAlign w:val="center"/>
                </w:tcPr>
                <w:p>
                  <w:pPr>
                    <w:pStyle w:val="33"/>
                    <w:spacing w:line="360" w:lineRule="exact"/>
                    <w:jc w:val="center"/>
                    <w:rPr>
                      <w:szCs w:val="20"/>
                    </w:rPr>
                  </w:pPr>
                  <w:r>
                    <w:rPr>
                      <w:rFonts w:hint="eastAsia"/>
                      <w:szCs w:val="20"/>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2927" w:type="dxa"/>
                  <w:shd w:val="clear" w:color="auto" w:fill="auto"/>
                  <w:vAlign w:val="center"/>
                </w:tcPr>
                <w:p>
                  <w:pPr>
                    <w:pStyle w:val="33"/>
                    <w:spacing w:line="360" w:lineRule="exact"/>
                    <w:jc w:val="center"/>
                    <w:rPr>
                      <w:szCs w:val="18"/>
                    </w:rPr>
                  </w:pPr>
                  <w:r>
                    <w:rPr>
                      <w:rFonts w:hint="eastAsia"/>
                      <w:szCs w:val="18"/>
                    </w:rPr>
                    <w:t>合计</w:t>
                  </w:r>
                </w:p>
              </w:tc>
              <w:tc>
                <w:tcPr>
                  <w:tcW w:w="2742" w:type="dxa"/>
                  <w:shd w:val="clear" w:color="auto" w:fill="auto"/>
                  <w:vAlign w:val="center"/>
                </w:tcPr>
                <w:p>
                  <w:pPr>
                    <w:pStyle w:val="33"/>
                    <w:spacing w:line="360" w:lineRule="exact"/>
                    <w:jc w:val="center"/>
                    <w:rPr>
                      <w:szCs w:val="18"/>
                    </w:rPr>
                  </w:pPr>
                  <w:r>
                    <w:rPr>
                      <w:rFonts w:hint="eastAsia"/>
                      <w:szCs w:val="18"/>
                    </w:rPr>
                    <w:t>29.20</w:t>
                  </w:r>
                </w:p>
              </w:tc>
              <w:tc>
                <w:tcPr>
                  <w:tcW w:w="2622" w:type="dxa"/>
                  <w:shd w:val="clear" w:color="auto" w:fill="auto"/>
                  <w:vAlign w:val="center"/>
                </w:tcPr>
                <w:p>
                  <w:pPr>
                    <w:pStyle w:val="33"/>
                    <w:spacing w:line="360" w:lineRule="exact"/>
                    <w:jc w:val="center"/>
                    <w:rPr>
                      <w:szCs w:val="20"/>
                    </w:rPr>
                  </w:pPr>
                  <w:r>
                    <w:rPr>
                      <w:rFonts w:hint="eastAsia"/>
                      <w:szCs w:val="20"/>
                    </w:rPr>
                    <w:t>/</w:t>
                  </w:r>
                </w:p>
              </w:tc>
            </w:tr>
          </w:tbl>
          <w:p>
            <w:pPr>
              <w:pStyle w:val="47"/>
              <w:ind w:firstLine="480"/>
              <w:rPr>
                <w:color w:val="auto"/>
              </w:rPr>
            </w:pPr>
            <w:r>
              <w:rPr>
                <w:rFonts w:hint="eastAsia"/>
                <w:color w:val="auto"/>
              </w:rPr>
              <w:t>根据本项目水土流失的特点，项目施工区域水土流失防治工程措施、植物措施、临时措施有机衔接，形成完整防护体系。根据不同施工区的特点，建立分区防治措施体系。露天采场区采取碎石压盖、土地整治、临时撒播种草和洒水抑尘措施。工业场地采取碎石压盖、土地整治、造林、洒水抑尘以及防尘网苫盖等措施。进场道路区采取碎石压盖、土地整治、造林和洒水抑尘措施。</w:t>
            </w:r>
          </w:p>
          <w:p>
            <w:pPr>
              <w:pStyle w:val="47"/>
              <w:ind w:firstLine="319" w:firstLineChars="133"/>
              <w:rPr>
                <w:color w:val="auto"/>
              </w:rPr>
            </w:pPr>
            <w:r>
              <w:rPr>
                <w:rFonts w:hint="eastAsia"/>
                <w:color w:val="auto"/>
              </w:rPr>
              <w:t>（1）露天采场区措施</w:t>
            </w:r>
          </w:p>
          <w:p>
            <w:pPr>
              <w:pStyle w:val="47"/>
              <w:ind w:firstLine="480"/>
              <w:rPr>
                <w:color w:val="auto"/>
              </w:rPr>
            </w:pPr>
            <w:r>
              <w:rPr>
                <w:rFonts w:hint="eastAsia"/>
                <w:color w:val="auto"/>
              </w:rPr>
              <w:t>1）工程措施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碎石压盖</w:t>
            </w:r>
          </w:p>
          <w:p>
            <w:pPr>
              <w:pStyle w:val="47"/>
              <w:ind w:firstLine="480"/>
              <w:rPr>
                <w:color w:val="auto"/>
              </w:rPr>
            </w:pPr>
            <w:r>
              <w:rPr>
                <w:rFonts w:hint="eastAsia"/>
                <w:color w:val="auto"/>
              </w:rPr>
              <w:t>露天采场运矿道路布设碎石压盖措施，碎石压盖面积1.00hm</w:t>
            </w:r>
            <w:r>
              <w:rPr>
                <w:rFonts w:hint="eastAsia"/>
                <w:color w:val="auto"/>
                <w:vertAlign w:val="superscript"/>
              </w:rPr>
              <w:t>2</w:t>
            </w:r>
            <w:r>
              <w:rPr>
                <w:rFonts w:hint="eastAsia"/>
                <w:color w:val="auto"/>
              </w:rPr>
              <w:t>，碎石压盖厚度15cm，碎石压盖措施可以很好的保护裸露地表，防止大风大雨天气造成较大水土流失，实施后可满足水土保持要求。</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土地整治（人工）</w:t>
            </w:r>
          </w:p>
          <w:p>
            <w:pPr>
              <w:pStyle w:val="47"/>
              <w:ind w:firstLine="480"/>
              <w:rPr>
                <w:color w:val="auto"/>
              </w:rPr>
            </w:pPr>
            <w:r>
              <w:rPr>
                <w:rFonts w:hint="eastAsia"/>
                <w:color w:val="auto"/>
              </w:rPr>
              <w:t>露天采区内临时堆放表土区域实施土地整治措施，整地方法为人工翻土、平整、施肥，耕翻地深度为30cm，土地整治面积0.60hm</w:t>
            </w:r>
            <w:r>
              <w:rPr>
                <w:rFonts w:hint="eastAsia"/>
                <w:color w:val="auto"/>
                <w:vertAlign w:val="superscript"/>
              </w:rPr>
              <w:t>2</w:t>
            </w:r>
            <w:r>
              <w:rPr>
                <w:rFonts w:hint="eastAsia"/>
                <w:color w:val="auto"/>
              </w:rPr>
              <w:t>，土地整治要求地面不能有明显起伏，地面平整，坡度不能大于3°，土地整治后有利于植物措施的实施。</w:t>
            </w:r>
          </w:p>
          <w:p>
            <w:pPr>
              <w:pStyle w:val="47"/>
              <w:ind w:firstLine="480"/>
              <w:rPr>
                <w:color w:val="auto"/>
              </w:rPr>
            </w:pPr>
            <w:r>
              <w:rPr>
                <w:rFonts w:hint="eastAsia"/>
                <w:color w:val="auto"/>
              </w:rPr>
              <w:t>2）临时措施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临时撒播种草</w:t>
            </w:r>
          </w:p>
          <w:p>
            <w:pPr>
              <w:pStyle w:val="47"/>
              <w:ind w:firstLine="480"/>
              <w:rPr>
                <w:color w:val="auto"/>
              </w:rPr>
            </w:pPr>
            <w:r>
              <w:rPr>
                <w:rFonts w:hint="eastAsia"/>
                <w:color w:val="auto"/>
              </w:rPr>
              <w:t>露天采区内临时堆放表土区域的撒播种草措施，撒播面积0.60hm</w:t>
            </w:r>
            <w:r>
              <w:rPr>
                <w:rFonts w:hint="eastAsia"/>
                <w:color w:val="auto"/>
                <w:vertAlign w:val="superscript"/>
              </w:rPr>
              <w:t>2</w:t>
            </w:r>
            <w:r>
              <w:rPr>
                <w:rFonts w:hint="eastAsia"/>
                <w:color w:val="auto"/>
              </w:rPr>
              <w:t>，草籽选择大针茅和长芒草，按1:1进行混播，设计播种量为36kg/hm</w:t>
            </w:r>
            <w:r>
              <w:rPr>
                <w:rFonts w:hint="eastAsia"/>
                <w:color w:val="auto"/>
                <w:vertAlign w:val="superscript"/>
              </w:rPr>
              <w:t>2</w:t>
            </w:r>
            <w:r>
              <w:rPr>
                <w:rFonts w:hint="eastAsia"/>
                <w:color w:val="auto"/>
              </w:rPr>
              <w:t>（含补植率20%），需大针茅草籽量25.92kg，长芒草草籽量25.92kg。</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洒水抑尘</w:t>
            </w:r>
          </w:p>
          <w:p>
            <w:pPr>
              <w:pStyle w:val="47"/>
              <w:ind w:firstLine="480"/>
              <w:rPr>
                <w:color w:val="auto"/>
              </w:rPr>
            </w:pPr>
            <w:r>
              <w:rPr>
                <w:rFonts w:hint="eastAsia"/>
                <w:color w:val="auto"/>
              </w:rPr>
              <w:t>露天采场运矿道路的洒水抑尘措施措施，每天洒水3次，实施洒水抑尘措施，可以减少施工过程中的扬尘现象，有效防治了水土资源流失。</w:t>
            </w:r>
          </w:p>
          <w:p>
            <w:pPr>
              <w:pStyle w:val="47"/>
              <w:ind w:firstLine="480"/>
              <w:rPr>
                <w:color w:val="auto"/>
              </w:rPr>
            </w:pPr>
            <w:r>
              <w:rPr>
                <w:rFonts w:hint="eastAsia"/>
                <w:color w:val="auto"/>
              </w:rPr>
              <w:t>（2）工业场地</w:t>
            </w:r>
          </w:p>
          <w:p>
            <w:pPr>
              <w:pStyle w:val="47"/>
              <w:ind w:firstLine="480"/>
              <w:rPr>
                <w:color w:val="auto"/>
              </w:rPr>
            </w:pPr>
            <w:r>
              <w:rPr>
                <w:rFonts w:hint="eastAsia"/>
                <w:color w:val="auto"/>
              </w:rPr>
              <w:t>1）工程措施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碎石压盖</w:t>
            </w:r>
          </w:p>
          <w:p>
            <w:pPr>
              <w:pStyle w:val="47"/>
              <w:ind w:firstLine="480"/>
              <w:rPr>
                <w:color w:val="auto"/>
              </w:rPr>
            </w:pPr>
            <w:r>
              <w:rPr>
                <w:rFonts w:hint="eastAsia"/>
                <w:color w:val="auto"/>
              </w:rPr>
              <w:t>工业场地裸露区域进行碎石压盖措施，碎石压盖面积3.97hm</w:t>
            </w:r>
            <w:r>
              <w:rPr>
                <w:rFonts w:hint="eastAsia"/>
                <w:color w:val="auto"/>
                <w:vertAlign w:val="superscript"/>
              </w:rPr>
              <w:t>2</w:t>
            </w:r>
            <w:r>
              <w:rPr>
                <w:rFonts w:hint="eastAsia"/>
                <w:color w:val="auto"/>
              </w:rPr>
              <w:t>，碎石压盖厚度6cm，碎石压盖措施可以很好的保护裸露地表，防止大风大雨天气造成较大水土流失，实施后可满足水土保持要求。</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土地整治（人工）</w:t>
            </w:r>
          </w:p>
          <w:p>
            <w:pPr>
              <w:pStyle w:val="47"/>
              <w:ind w:firstLine="480"/>
              <w:rPr>
                <w:rFonts w:ascii="宋体" w:hAnsi="宋体" w:cs="宋体"/>
                <w:color w:val="auto"/>
              </w:rPr>
            </w:pPr>
            <w:r>
              <w:rPr>
                <w:rFonts w:hint="eastAsia"/>
                <w:color w:val="auto"/>
              </w:rPr>
              <w:t>工业场地绿化区域实施土地整治措施，整地方法为人工翻土、平整、施肥，耕翻地深度为50cm，土地整治面积 0.82hm</w:t>
            </w:r>
            <w:r>
              <w:rPr>
                <w:rFonts w:hint="eastAsia"/>
                <w:color w:val="auto"/>
                <w:vertAlign w:val="superscript"/>
              </w:rPr>
              <w:t>2</w:t>
            </w:r>
            <w:r>
              <w:rPr>
                <w:rFonts w:hint="eastAsia"/>
                <w:color w:val="auto"/>
              </w:rPr>
              <w:t>，土地整治要求地面不能有明显起</w:t>
            </w:r>
            <w:r>
              <w:rPr>
                <w:rFonts w:hint="eastAsia" w:ascii="宋体" w:hAnsi="宋体" w:cs="宋体"/>
                <w:color w:val="auto"/>
              </w:rPr>
              <w:t>伏，地面平整，坡度不能大于</w:t>
            </w:r>
            <w:r>
              <w:rPr>
                <w:rFonts w:hint="eastAsia" w:cs="宋体"/>
                <w:color w:val="auto"/>
              </w:rPr>
              <w:t>3°</w:t>
            </w:r>
            <w:r>
              <w:rPr>
                <w:rFonts w:hint="eastAsia" w:ascii="宋体" w:hAnsi="宋体" w:cs="宋体"/>
                <w:color w:val="auto"/>
              </w:rPr>
              <w:t>，土地整治后有利于植物措施的实施。</w:t>
            </w:r>
          </w:p>
          <w:p>
            <w:pPr>
              <w:pStyle w:val="47"/>
              <w:ind w:firstLine="480"/>
              <w:rPr>
                <w:color w:val="auto"/>
              </w:rPr>
            </w:pPr>
            <w:r>
              <w:rPr>
                <w:rFonts w:hint="eastAsia"/>
                <w:color w:val="auto"/>
              </w:rPr>
              <w:t>2）植物措施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造林</w:t>
            </w:r>
          </w:p>
          <w:p>
            <w:pPr>
              <w:pStyle w:val="47"/>
              <w:ind w:firstLine="480"/>
              <w:rPr>
                <w:color w:val="auto"/>
              </w:rPr>
            </w:pPr>
            <w:r>
              <w:rPr>
                <w:rFonts w:hint="eastAsia"/>
                <w:color w:val="auto"/>
              </w:rPr>
              <w:t>工业场地宿舍周围和工业场地四周以及场内道路两侧实施造林措施，</w:t>
            </w:r>
            <w:r>
              <w:rPr>
                <w:rFonts w:hint="eastAsia"/>
                <w:color w:val="auto"/>
                <w:spacing w:val="-2"/>
              </w:rPr>
              <w:t>造林面积</w:t>
            </w:r>
            <w:r>
              <w:rPr>
                <w:rFonts w:hint="eastAsia"/>
                <w:color w:val="auto"/>
              </w:rPr>
              <w:t>0.82hm</w:t>
            </w:r>
            <w:r>
              <w:rPr>
                <w:rFonts w:hint="eastAsia"/>
                <w:color w:val="auto"/>
                <w:vertAlign w:val="superscript"/>
              </w:rPr>
              <w:t>2</w:t>
            </w:r>
            <w:r>
              <w:rPr>
                <w:rFonts w:hint="eastAsia"/>
                <w:color w:val="auto"/>
                <w:spacing w:val="-3"/>
              </w:rPr>
              <w:t>，乔木选择刺槐、杨树，工业场地四周单行种植，株距</w:t>
            </w:r>
            <w:r>
              <w:rPr>
                <w:rFonts w:hint="eastAsia"/>
                <w:color w:val="auto"/>
              </w:rPr>
              <w:t>3.0m，宿舍</w:t>
            </w:r>
            <w:r>
              <w:rPr>
                <w:rFonts w:hint="eastAsia"/>
                <w:color w:val="auto"/>
                <w:spacing w:val="-6"/>
              </w:rPr>
              <w:t>周围绿化区域乔木株行距</w:t>
            </w:r>
            <w:r>
              <w:rPr>
                <w:rFonts w:hint="eastAsia"/>
                <w:color w:val="auto"/>
              </w:rPr>
              <w:t>3.0×3.0m</w:t>
            </w:r>
            <w:r>
              <w:rPr>
                <w:rFonts w:hint="eastAsia"/>
                <w:color w:val="auto"/>
                <w:spacing w:val="-9"/>
              </w:rPr>
              <w:t>，需种植刺槐</w:t>
            </w:r>
            <w:r>
              <w:rPr>
                <w:rFonts w:hint="eastAsia"/>
                <w:color w:val="auto"/>
              </w:rPr>
              <w:t>1400</w:t>
            </w:r>
            <w:r>
              <w:rPr>
                <w:rFonts w:hint="eastAsia"/>
                <w:color w:val="auto"/>
                <w:spacing w:val="-12"/>
              </w:rPr>
              <w:t>株，杨树</w:t>
            </w:r>
            <w:r>
              <w:rPr>
                <w:rFonts w:hint="eastAsia"/>
                <w:color w:val="auto"/>
              </w:rPr>
              <w:t>1400株。</w:t>
            </w:r>
          </w:p>
          <w:p>
            <w:pPr>
              <w:pStyle w:val="47"/>
              <w:ind w:firstLine="480"/>
              <w:rPr>
                <w:color w:val="auto"/>
              </w:rPr>
            </w:pPr>
            <w:r>
              <w:rPr>
                <w:rFonts w:hint="eastAsia"/>
                <w:color w:val="auto"/>
              </w:rPr>
              <w:t>3）临时措施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洒水抑尘</w:t>
            </w:r>
          </w:p>
          <w:p>
            <w:pPr>
              <w:pStyle w:val="47"/>
              <w:ind w:firstLine="468"/>
              <w:rPr>
                <w:color w:val="auto"/>
              </w:rPr>
            </w:pPr>
            <w:r>
              <w:rPr>
                <w:rFonts w:hint="eastAsia"/>
                <w:color w:val="auto"/>
                <w:spacing w:val="-3"/>
              </w:rPr>
              <w:t>工业场地道路的洒水抑尘措施措施，每天洒水</w:t>
            </w:r>
            <w:r>
              <w:rPr>
                <w:rFonts w:hint="eastAsia"/>
                <w:color w:val="auto"/>
              </w:rPr>
              <w:t>3</w:t>
            </w:r>
            <w:r>
              <w:rPr>
                <w:rFonts w:hint="eastAsia"/>
                <w:color w:val="auto"/>
                <w:spacing w:val="-8"/>
              </w:rPr>
              <w:t>次，</w:t>
            </w:r>
            <w:r>
              <w:rPr>
                <w:rFonts w:hint="eastAsia"/>
                <w:color w:val="auto"/>
              </w:rPr>
              <w:t>实施洒水抑尘措施，可以减少施工过程中的扬尘现象，有效防治了水土资源流失。</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防尘网苫盖</w:t>
            </w:r>
          </w:p>
          <w:p>
            <w:pPr>
              <w:pStyle w:val="47"/>
              <w:ind w:firstLine="480"/>
              <w:rPr>
                <w:color w:val="auto"/>
              </w:rPr>
            </w:pPr>
            <w:r>
              <w:rPr>
                <w:rFonts w:hint="eastAsia"/>
                <w:color w:val="auto"/>
              </w:rPr>
              <w:t>工业场地建设过程中堆放土方的临时苫盖措施，每隔30m用木桩固定， 减少裸露地表在大风天气时的水土流失，预测临时堆土面积约0.50hm</w:t>
            </w:r>
            <w:r>
              <w:rPr>
                <w:rFonts w:hint="eastAsia"/>
                <w:color w:val="auto"/>
                <w:vertAlign w:val="superscript"/>
              </w:rPr>
              <w:t>2</w:t>
            </w:r>
            <w:r>
              <w:rPr>
                <w:rFonts w:hint="eastAsia"/>
                <w:color w:val="auto"/>
              </w:rPr>
              <w:t>，需防尘网约6500m</w:t>
            </w:r>
            <w:r>
              <w:rPr>
                <w:rFonts w:hint="eastAsia"/>
                <w:color w:val="auto"/>
                <w:vertAlign w:val="superscript"/>
              </w:rPr>
              <w:t>2</w:t>
            </w:r>
            <w:r>
              <w:rPr>
                <w:rFonts w:hint="eastAsia"/>
                <w:color w:val="auto"/>
              </w:rPr>
              <w:t>。</w:t>
            </w:r>
          </w:p>
          <w:p>
            <w:pPr>
              <w:pStyle w:val="47"/>
              <w:ind w:firstLine="480"/>
              <w:rPr>
                <w:color w:val="auto"/>
              </w:rPr>
            </w:pPr>
            <w:r>
              <w:rPr>
                <w:rFonts w:hint="eastAsia"/>
                <w:color w:val="auto"/>
              </w:rPr>
              <w:t>（3）进场道路区</w:t>
            </w:r>
          </w:p>
          <w:p>
            <w:pPr>
              <w:pStyle w:val="47"/>
              <w:ind w:firstLine="600" w:firstLineChars="250"/>
              <w:rPr>
                <w:color w:val="auto"/>
              </w:rPr>
            </w:pPr>
            <w:r>
              <w:rPr>
                <w:rFonts w:hint="eastAsia"/>
                <w:color w:val="auto"/>
              </w:rPr>
              <w:t>1）工程措施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碎石压盖</w:t>
            </w:r>
          </w:p>
          <w:p>
            <w:pPr>
              <w:pStyle w:val="47"/>
              <w:ind w:firstLine="480"/>
              <w:rPr>
                <w:color w:val="auto"/>
                <w:kern w:val="2"/>
                <w:sz w:val="21"/>
                <w:szCs w:val="21"/>
              </w:rPr>
            </w:pPr>
            <w:r>
              <w:rPr>
                <w:rFonts w:hint="eastAsia"/>
                <w:color w:val="auto"/>
              </w:rPr>
              <w:t>进场道路路面进行碎石压盖措施，碎石压盖面积0.73hm</w:t>
            </w:r>
            <w:r>
              <w:rPr>
                <w:rFonts w:hint="eastAsia"/>
                <w:color w:val="auto"/>
                <w:vertAlign w:val="superscript"/>
              </w:rPr>
              <w:t>2</w:t>
            </w:r>
            <w:r>
              <w:rPr>
                <w:rFonts w:hint="eastAsia"/>
                <w:color w:val="auto"/>
              </w:rPr>
              <w:t>，碎石压盖厚度 15cm，</w:t>
            </w:r>
          </w:p>
          <w:p>
            <w:pPr>
              <w:pStyle w:val="47"/>
              <w:ind w:firstLine="480"/>
              <w:rPr>
                <w:color w:val="auto"/>
              </w:rPr>
            </w:pPr>
            <w:r>
              <w:rPr>
                <w:rFonts w:hint="eastAsia"/>
                <w:color w:val="auto"/>
              </w:rPr>
              <w:fldChar w:fldCharType="begin"/>
            </w:r>
            <w:r>
              <w:rPr>
                <w:rFonts w:hint="eastAsia"/>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土地整治（人工）</w:t>
            </w:r>
          </w:p>
          <w:p>
            <w:pPr>
              <w:pStyle w:val="47"/>
              <w:ind w:firstLine="480"/>
              <w:rPr>
                <w:color w:val="auto"/>
              </w:rPr>
            </w:pPr>
            <w:r>
              <w:rPr>
                <w:rFonts w:hint="eastAsia"/>
                <w:color w:val="auto"/>
              </w:rPr>
              <w:t>进场道路区两侧绿化区域实施土地整治措施，整地方法为人工翻土、平整、施肥，耕翻地深度为50cm，土地整治面积0.16hm</w:t>
            </w:r>
            <w:r>
              <w:rPr>
                <w:rFonts w:hint="eastAsia"/>
                <w:color w:val="auto"/>
                <w:vertAlign w:val="superscript"/>
              </w:rPr>
              <w:t>2</w:t>
            </w:r>
            <w:r>
              <w:rPr>
                <w:rFonts w:hint="eastAsia"/>
                <w:color w:val="auto"/>
              </w:rPr>
              <w:t>，土地整治要求地面不能有明显起伏，地面平整，坡度不能大于3°，土地整治后有利于植物措施的实施。</w:t>
            </w:r>
          </w:p>
          <w:p>
            <w:pPr>
              <w:pStyle w:val="47"/>
              <w:ind w:firstLine="480"/>
              <w:rPr>
                <w:color w:val="auto"/>
              </w:rPr>
            </w:pPr>
            <w:r>
              <w:rPr>
                <w:rFonts w:hint="eastAsia"/>
                <w:color w:val="auto"/>
              </w:rPr>
              <w:t>2）植物措施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造林</w:t>
            </w:r>
          </w:p>
          <w:p>
            <w:pPr>
              <w:pStyle w:val="47"/>
              <w:ind w:firstLine="480"/>
              <w:rPr>
                <w:color w:val="auto"/>
              </w:rPr>
            </w:pPr>
            <w:r>
              <w:rPr>
                <w:rFonts w:hint="eastAsia"/>
                <w:color w:val="auto"/>
              </w:rPr>
              <w:t>进场道路区两侧绿化区域实施造林措施，造林面积0.16hm</w:t>
            </w:r>
            <w:r>
              <w:rPr>
                <w:rFonts w:hint="eastAsia"/>
                <w:color w:val="auto"/>
                <w:vertAlign w:val="superscript"/>
              </w:rPr>
              <w:t>2</w:t>
            </w:r>
            <w:r>
              <w:rPr>
                <w:rFonts w:hint="eastAsia"/>
                <w:color w:val="auto"/>
              </w:rPr>
              <w:t>，乔木选择刺槐和杨树，单行种植，株距3.0m，需种植刺槐270株，杨树270株。</w:t>
            </w:r>
          </w:p>
          <w:p>
            <w:pPr>
              <w:pStyle w:val="47"/>
              <w:ind w:firstLine="480"/>
              <w:rPr>
                <w:color w:val="auto"/>
              </w:rPr>
            </w:pPr>
            <w:r>
              <w:rPr>
                <w:rFonts w:hint="eastAsia"/>
                <w:color w:val="auto"/>
              </w:rPr>
              <w:t>3）临时措施</w:t>
            </w:r>
          </w:p>
          <w:p>
            <w:pPr>
              <w:pStyle w:val="47"/>
              <w:ind w:firstLine="480"/>
              <w:rPr>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洒水抑尘</w:t>
            </w:r>
          </w:p>
          <w:p>
            <w:pPr>
              <w:pStyle w:val="47"/>
              <w:ind w:firstLine="480"/>
              <w:rPr>
                <w:color w:val="auto"/>
              </w:rPr>
            </w:pPr>
            <w:r>
              <w:rPr>
                <w:rFonts w:hint="eastAsia"/>
                <w:color w:val="auto"/>
              </w:rPr>
              <w:t>进场道路的洒水抑尘措施，每天洒水3次。</w:t>
            </w:r>
          </w:p>
          <w:p>
            <w:pPr>
              <w:pStyle w:val="50"/>
              <w:ind w:firstLine="482"/>
              <w:rPr>
                <w:b/>
                <w:bCs/>
              </w:rPr>
            </w:pPr>
            <w:r>
              <w:rPr>
                <w:rFonts w:hint="eastAsia"/>
                <w:b/>
                <w:bCs/>
              </w:rPr>
              <w:t>2、施工期大气环境保护措施</w:t>
            </w:r>
          </w:p>
          <w:p>
            <w:pPr>
              <w:spacing w:line="360" w:lineRule="auto"/>
              <w:ind w:firstLine="480"/>
              <w:rPr>
                <w:kern w:val="1"/>
                <w:sz w:val="24"/>
              </w:rPr>
            </w:pPr>
            <w:r>
              <w:rPr>
                <w:rFonts w:hint="eastAsia"/>
                <w:kern w:val="1"/>
                <w:sz w:val="24"/>
              </w:rPr>
              <w:t>本项目施工期的废气主要来自各类燃油动力机械（如汽车、推土机等）进行机械作业时排放的废气，其主要污染物有THC、NO</w:t>
            </w:r>
            <w:r>
              <w:rPr>
                <w:rFonts w:hint="eastAsia"/>
                <w:kern w:val="24"/>
                <w:sz w:val="24"/>
                <w:vertAlign w:val="subscript"/>
              </w:rPr>
              <w:t>X</w:t>
            </w:r>
            <w:r>
              <w:rPr>
                <w:rFonts w:hint="eastAsia"/>
                <w:kern w:val="1"/>
                <w:sz w:val="24"/>
              </w:rPr>
              <w:t>、CO等；施工开挖、爆破作业及运输车辆、施工机械运行时产生的扬尘，施工建筑材料（如水泥、石灰、砂石料等）的装卸、运输、堆放以及开挖弃土的堆放、运输产生的扬尘；爆破作业产生的爆破废气，其主要污染物为SO</w:t>
            </w:r>
            <w:r>
              <w:rPr>
                <w:rFonts w:hint="eastAsia"/>
                <w:kern w:val="24"/>
                <w:sz w:val="24"/>
                <w:vertAlign w:val="subscript"/>
              </w:rPr>
              <w:t>2</w:t>
            </w:r>
            <w:r>
              <w:rPr>
                <w:rFonts w:hint="eastAsia"/>
                <w:kern w:val="1"/>
                <w:sz w:val="24"/>
              </w:rPr>
              <w:t>、NO</w:t>
            </w:r>
            <w:r>
              <w:rPr>
                <w:rFonts w:hint="eastAsia"/>
                <w:kern w:val="24"/>
                <w:sz w:val="24"/>
                <w:vertAlign w:val="subscript"/>
              </w:rPr>
              <w:t>x</w:t>
            </w:r>
            <w:r>
              <w:rPr>
                <w:rFonts w:hint="eastAsia"/>
                <w:kern w:val="1"/>
                <w:sz w:val="24"/>
              </w:rPr>
              <w:t>和CO。</w:t>
            </w:r>
          </w:p>
          <w:p>
            <w:pPr>
              <w:spacing w:line="360" w:lineRule="auto"/>
              <w:ind w:firstLine="480"/>
              <w:rPr>
                <w:kern w:val="1"/>
                <w:sz w:val="24"/>
              </w:rPr>
            </w:pPr>
            <w:r>
              <w:rPr>
                <w:rFonts w:hint="eastAsia"/>
                <w:kern w:val="1"/>
                <w:sz w:val="24"/>
              </w:rPr>
              <w:t>本项目施工区周围无居民区等环境敏感点，同时施工期废气产生量较小，本项目施工期施工活动对施工区域大气环境影响较小。为减小施工期施工活动对环境空气的影响，应采取以下扬尘防治措施：</w:t>
            </w:r>
          </w:p>
          <w:p>
            <w:pPr>
              <w:pStyle w:val="47"/>
              <w:ind w:firstLine="480"/>
              <w:rPr>
                <w:color w:val="auto"/>
              </w:rPr>
            </w:pPr>
            <w:r>
              <w:rPr>
                <w:rFonts w:hint="eastAsia"/>
                <w:color w:val="auto"/>
              </w:rPr>
              <w:t>（1）运输物料的车辆应限速，不得超载，并对运输道路进行定期清扫、洒水，文明施工。</w:t>
            </w:r>
          </w:p>
          <w:p>
            <w:pPr>
              <w:pStyle w:val="47"/>
              <w:ind w:firstLine="480"/>
              <w:rPr>
                <w:color w:val="auto"/>
              </w:rPr>
            </w:pPr>
            <w:r>
              <w:rPr>
                <w:rFonts w:hint="eastAsia"/>
                <w:color w:val="auto"/>
              </w:rPr>
              <w:t>（2）在凿岩钻孔过程中采用湿法作业，凿岩前对岩面进行喷淋洒水湿润，此外，项目钻机采用自带收尘设施的钻机。</w:t>
            </w:r>
          </w:p>
          <w:p>
            <w:pPr>
              <w:pStyle w:val="47"/>
              <w:ind w:firstLine="480"/>
              <w:rPr>
                <w:color w:val="auto"/>
              </w:rPr>
            </w:pPr>
            <w:r>
              <w:rPr>
                <w:rFonts w:hint="eastAsia"/>
                <w:color w:val="auto"/>
              </w:rPr>
              <w:t>（3）爆破工艺采用深孔爆破、采用合理的炮孔网度及向预爆区洒水，同时采用爆堆远程洒水的方式抑尘，爆破后区域开启雾炮机增湿等措施；</w:t>
            </w:r>
          </w:p>
          <w:p>
            <w:pPr>
              <w:spacing w:line="360" w:lineRule="auto"/>
              <w:ind w:firstLine="480"/>
              <w:rPr>
                <w:kern w:val="1"/>
                <w:sz w:val="24"/>
              </w:rPr>
            </w:pPr>
            <w:r>
              <w:rPr>
                <w:rFonts w:hint="eastAsia"/>
                <w:kern w:val="1"/>
                <w:sz w:val="24"/>
              </w:rPr>
              <w:t>（4）散装物料装卸降低落差、轻装慢卸，对车辆覆盖篷布；车辆出工地前清除表面粘附的泥土；</w:t>
            </w:r>
          </w:p>
          <w:p>
            <w:pPr>
              <w:spacing w:line="360" w:lineRule="auto"/>
              <w:ind w:firstLine="480"/>
              <w:rPr>
                <w:kern w:val="1"/>
                <w:sz w:val="24"/>
              </w:rPr>
            </w:pPr>
            <w:r>
              <w:rPr>
                <w:rFonts w:hint="eastAsia"/>
                <w:kern w:val="1"/>
                <w:sz w:val="24"/>
              </w:rPr>
              <w:t>（5）文明施工，施工组织和施工工序合理有序；</w:t>
            </w:r>
          </w:p>
          <w:p>
            <w:pPr>
              <w:spacing w:line="360" w:lineRule="auto"/>
              <w:ind w:firstLine="480"/>
              <w:rPr>
                <w:kern w:val="1"/>
                <w:sz w:val="24"/>
              </w:rPr>
            </w:pPr>
            <w:r>
              <w:rPr>
                <w:rFonts w:hint="eastAsia"/>
                <w:kern w:val="1"/>
                <w:sz w:val="24"/>
              </w:rPr>
              <w:t>（6）避免在大风天气施工作业。</w:t>
            </w:r>
          </w:p>
          <w:p>
            <w:pPr>
              <w:pStyle w:val="50"/>
              <w:ind w:firstLine="482"/>
            </w:pPr>
            <w:r>
              <w:rPr>
                <w:rFonts w:hint="eastAsia"/>
                <w:b/>
                <w:bCs/>
              </w:rPr>
              <w:t>3、施工期水环境保护措施</w:t>
            </w:r>
          </w:p>
          <w:p>
            <w:pPr>
              <w:pStyle w:val="50"/>
              <w:ind w:firstLine="480"/>
            </w:pPr>
            <w:r>
              <w:rPr>
                <w:rFonts w:hint="eastAsia"/>
              </w:rPr>
              <w:t>废水主要为施工过程中产生的施工废水、施工队伍的生活污水等。泥浆废水中泥浆含量较高，主要污染物为SS；施工人员生活污水主要员工洗漱废水。员工洗漱废水水质简单，直接用于场地泼洒降尘，环保旱厕定期清掏，施工废水采用临时沉淀池处理后用于矿区的洒水抑尘，不外排。</w:t>
            </w:r>
          </w:p>
          <w:p>
            <w:pPr>
              <w:pStyle w:val="50"/>
              <w:ind w:firstLine="480"/>
            </w:pPr>
            <w:r>
              <w:rPr>
                <w:rFonts w:hint="eastAsia"/>
              </w:rPr>
              <w:t>综上所述，项目施工期产生的废水种类简单，产生量较小，均不外排，对周围地表水环境及地下水影响较小。</w:t>
            </w:r>
          </w:p>
          <w:p>
            <w:pPr>
              <w:pStyle w:val="50"/>
              <w:ind w:firstLine="482"/>
              <w:rPr>
                <w:b/>
                <w:bCs/>
              </w:rPr>
            </w:pPr>
            <w:r>
              <w:rPr>
                <w:rFonts w:hint="eastAsia"/>
                <w:b/>
                <w:bCs/>
              </w:rPr>
              <w:t>3、施工期声环境保护措施</w:t>
            </w:r>
          </w:p>
          <w:p>
            <w:pPr>
              <w:pStyle w:val="50"/>
              <w:ind w:firstLine="480"/>
            </w:pPr>
            <w:r>
              <w:rPr>
                <w:rFonts w:hint="eastAsia"/>
              </w:rPr>
              <w:t>施工期噪声主要为施工过程中的机械噪声和交通运输噪声。如挖掘机、材料运输过程产生的机械及震动噪声等，采取以下措施：</w:t>
            </w:r>
          </w:p>
          <w:p>
            <w:pPr>
              <w:pStyle w:val="50"/>
              <w:ind w:firstLine="480"/>
            </w:pPr>
            <w:r>
              <w:rPr>
                <w:rFonts w:hint="eastAsia"/>
              </w:rPr>
              <w:t>⑴工业场地、矿山道路施工中尽量选用低噪声施工机械，保持运行状态良好；</w:t>
            </w:r>
          </w:p>
          <w:p>
            <w:pPr>
              <w:pStyle w:val="50"/>
              <w:ind w:firstLine="480"/>
            </w:pPr>
            <w:r>
              <w:rPr>
                <w:rFonts w:hint="eastAsia"/>
              </w:rPr>
              <w:t>⑵尽量避免多台设备同时运转；</w:t>
            </w:r>
          </w:p>
          <w:p>
            <w:pPr>
              <w:pStyle w:val="50"/>
              <w:ind w:firstLine="480"/>
            </w:pPr>
            <w:r>
              <w:rPr>
                <w:rFonts w:hint="eastAsia"/>
              </w:rPr>
              <w:t>⑶施工单位及时对机械设备进行修理、维护和保养，使机械设备保持良好的状态，减轻因设备运行状态不佳而造成的噪声污染；</w:t>
            </w:r>
          </w:p>
          <w:p>
            <w:pPr>
              <w:pStyle w:val="50"/>
              <w:ind w:firstLine="480"/>
            </w:pPr>
            <w:r>
              <w:rPr>
                <w:rFonts w:hint="eastAsia"/>
              </w:rPr>
              <w:t>⑷尽可能地集中会产生较大噪声的机械进行突击作业，优化施工时间，以便缩短噪声污染的时间，减小施工噪声的影响范围和程度；</w:t>
            </w:r>
          </w:p>
          <w:p>
            <w:pPr>
              <w:pStyle w:val="50"/>
              <w:ind w:firstLine="480"/>
            </w:pPr>
            <w:r>
              <w:rPr>
                <w:rFonts w:hint="eastAsia"/>
              </w:rPr>
              <w:t>⑸强化噪声环境管理，严格执行《建筑施工场界环境噪声排放标准》（GB12523-2011）标准和当地有关建筑施工管理的有关规定。</w:t>
            </w:r>
          </w:p>
          <w:p>
            <w:pPr>
              <w:pStyle w:val="50"/>
              <w:ind w:firstLine="482"/>
              <w:rPr>
                <w:b/>
                <w:bCs/>
              </w:rPr>
            </w:pPr>
            <w:r>
              <w:rPr>
                <w:rFonts w:hint="eastAsia"/>
                <w:b/>
                <w:bCs/>
              </w:rPr>
              <w:t>4、施工期固体废物保护措施</w:t>
            </w:r>
          </w:p>
          <w:p>
            <w:pPr>
              <w:pStyle w:val="50"/>
              <w:ind w:firstLine="480"/>
            </w:pPr>
            <w:r>
              <w:rPr>
                <w:rFonts w:hint="eastAsia"/>
              </w:rPr>
              <w:t>施工期的固体废物主要为剥离的表土、石材及施工人员产生的生活垃圾。露天开采剥离表土在露天二采区内废弃采坑内设置表土单独存放场，用于露天一采区土地复垦使用，施工过程剥离的石材直接破碎后部分用于场地填方、道路铺设，部分作为建筑材料外售；施工人员生活垃圾集中收集后送至政府指定地点集中处理。本项目施工期整体土建工程量不大，产生的固体废弃物较少，施工时间较短，固体废弃物对当地的环境影响较小。</w:t>
            </w:r>
          </w:p>
          <w:p>
            <w:pPr>
              <w:pStyle w:val="50"/>
              <w:ind w:firstLine="480"/>
            </w:pPr>
          </w:p>
          <w:p>
            <w:pPr>
              <w:pStyle w:val="50"/>
              <w:ind w:firstLine="480"/>
            </w:pPr>
          </w:p>
          <w:p>
            <w:pPr>
              <w:pStyle w:val="50"/>
              <w:ind w:firstLine="480"/>
            </w:pPr>
          </w:p>
          <w:p>
            <w:pPr>
              <w:pStyle w:val="50"/>
              <w:ind w:firstLine="0" w:firstLineChars="0"/>
            </w:pPr>
          </w:p>
          <w:p>
            <w:pPr>
              <w:pStyle w:val="50"/>
              <w:ind w:firstLine="480"/>
              <w:rPr>
                <w:rFonts w:hint="eastAsia"/>
                <w:lang w:val="en-US" w:eastAsia="zh-CN"/>
              </w:rPr>
            </w:pPr>
            <w:r>
              <w:rPr>
                <w:rFonts w:hint="eastAsia"/>
                <w:lang w:val="en-US" w:eastAsia="zh-CN"/>
              </w:rPr>
              <w:t xml:space="preserve">   </w:t>
            </w:r>
          </w:p>
          <w:p>
            <w:pPr>
              <w:pStyle w:val="50"/>
              <w:ind w:firstLine="480"/>
              <w:rPr>
                <w:rFonts w:hint="eastAsia"/>
                <w:lang w:val="en-US" w:eastAsia="zh-CN"/>
              </w:rPr>
            </w:pPr>
          </w:p>
          <w:p>
            <w:pPr>
              <w:pStyle w:val="50"/>
              <w:ind w:firstLine="480"/>
              <w:rPr>
                <w:rFonts w:hint="eastAsia"/>
                <w:lang w:val="en-US" w:eastAsia="zh-CN"/>
              </w:rPr>
            </w:pPr>
          </w:p>
          <w:p>
            <w:pPr>
              <w:pStyle w:val="50"/>
              <w:ind w:firstLine="480"/>
              <w:rPr>
                <w:rFonts w:hint="eastAsia"/>
                <w:lang w:val="en-US" w:eastAsia="zh-CN"/>
              </w:rPr>
            </w:pPr>
          </w:p>
          <w:p>
            <w:pPr>
              <w:pStyle w:val="50"/>
              <w:ind w:firstLine="480"/>
              <w:rPr>
                <w:rFonts w:hint="eastAsia"/>
                <w:lang w:val="en-US" w:eastAsia="zh-CN"/>
              </w:rPr>
            </w:pPr>
          </w:p>
          <w:p>
            <w:pPr>
              <w:pStyle w:val="50"/>
              <w:ind w:firstLine="480"/>
              <w:rPr>
                <w:rFonts w:hint="eastAsia"/>
                <w:lang w:val="en-US" w:eastAsia="zh-CN"/>
              </w:rPr>
            </w:pPr>
          </w:p>
          <w:p>
            <w:pPr>
              <w:pStyle w:val="50"/>
              <w:ind w:firstLine="480"/>
              <w:rPr>
                <w:rFonts w:hint="eastAsia"/>
                <w:lang w:val="en-US" w:eastAsia="zh-CN"/>
              </w:rPr>
            </w:pPr>
          </w:p>
          <w:p>
            <w:pPr>
              <w:pStyle w:val="50"/>
              <w:ind w:firstLine="480"/>
              <w:rPr>
                <w:rFonts w:hint="default"/>
                <w:lang w:val="en-US" w:eastAsia="zh-CN"/>
              </w:rPr>
            </w:pPr>
          </w:p>
          <w:p>
            <w:pPr>
              <w:pStyle w:val="50"/>
              <w:ind w:firstLine="480"/>
            </w:pPr>
          </w:p>
          <w:p>
            <w:pPr>
              <w:pStyle w:val="50"/>
              <w:ind w:firstLine="480"/>
            </w:pPr>
          </w:p>
          <w:p>
            <w:pPr>
              <w:pStyle w:val="50"/>
              <w:ind w:firstLine="480"/>
            </w:pPr>
          </w:p>
          <w:p>
            <w:pPr>
              <w:pStyle w:val="50"/>
              <w:ind w:firstLine="480"/>
            </w:pPr>
          </w:p>
          <w:p>
            <w:pPr>
              <w:pStyle w:val="50"/>
              <w:ind w:firstLine="480"/>
            </w:pPr>
          </w:p>
          <w:p>
            <w:pPr>
              <w:pStyle w:val="50"/>
              <w:ind w:firstLine="520"/>
              <w:rPr>
                <w:bCs/>
                <w:spacing w:val="1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700" w:type="dxa"/>
            <w:tcMar>
              <w:left w:w="28" w:type="dxa"/>
              <w:right w:w="28" w:type="dxa"/>
            </w:tcMar>
            <w:vAlign w:val="center"/>
          </w:tcPr>
          <w:p>
            <w:pPr>
              <w:jc w:val="center"/>
              <w:rPr>
                <w:bCs/>
                <w:spacing w:val="10"/>
                <w:sz w:val="24"/>
              </w:rPr>
            </w:pPr>
            <w:r>
              <w:rPr>
                <w:rFonts w:hint="eastAsia"/>
                <w:bCs/>
                <w:spacing w:val="10"/>
                <w:sz w:val="24"/>
              </w:rPr>
              <w:t>运营期生态环境保护措施</w:t>
            </w:r>
          </w:p>
        </w:tc>
        <w:tc>
          <w:tcPr>
            <w:tcW w:w="8540" w:type="dxa"/>
          </w:tcPr>
          <w:p>
            <w:pPr>
              <w:pStyle w:val="50"/>
              <w:numPr>
                <w:ilvl w:val="0"/>
                <w:numId w:val="4"/>
              </w:numPr>
              <w:ind w:left="0" w:firstLine="482"/>
              <w:rPr>
                <w:b/>
                <w:bCs/>
              </w:rPr>
            </w:pPr>
            <w:r>
              <w:rPr>
                <w:rFonts w:hint="eastAsia"/>
                <w:b/>
                <w:bCs/>
              </w:rPr>
              <w:t>生态环境影响措施</w:t>
            </w:r>
          </w:p>
          <w:p>
            <w:pPr>
              <w:spacing w:line="360" w:lineRule="auto"/>
              <w:ind w:firstLine="480" w:firstLineChars="200"/>
              <w:rPr>
                <w:rFonts w:ascii="宋体" w:hAnsi="宋体"/>
                <w:bCs/>
                <w:sz w:val="24"/>
              </w:rPr>
            </w:pPr>
            <w:r>
              <w:rPr>
                <w:rFonts w:hint="eastAsia" w:ascii="TimesNewRomanPS-BoldMT" w:hAnsi="TimesNewRomanPS-BoldMT" w:eastAsia="TimesNewRomanPS-BoldMT"/>
                <w:bCs/>
                <w:sz w:val="24"/>
              </w:rPr>
              <w:t>(1)</w:t>
            </w:r>
            <w:r>
              <w:rPr>
                <w:rFonts w:hint="eastAsia" w:ascii="宋体" w:hAnsi="宋体"/>
                <w:bCs/>
                <w:sz w:val="24"/>
              </w:rPr>
              <w:t>矿山保护原则</w:t>
            </w:r>
          </w:p>
          <w:p>
            <w:pPr>
              <w:spacing w:line="360" w:lineRule="auto"/>
              <w:ind w:firstLine="480" w:firstLineChars="200"/>
              <w:rPr>
                <w:rFonts w:ascii="宋体" w:hAnsi="宋体"/>
                <w:sz w:val="24"/>
              </w:rPr>
            </w:pPr>
            <w:r>
              <w:rPr>
                <w:rFonts w:hint="eastAsia" w:ascii="宋体" w:hAnsi="宋体"/>
                <w:sz w:val="24"/>
              </w:rPr>
              <w:t>本项目矿区地处干旱山区，生态环境脆弱，一旦破坏，很难或不可恢复。</w:t>
            </w:r>
          </w:p>
          <w:p>
            <w:pPr>
              <w:spacing w:line="360" w:lineRule="auto"/>
              <w:ind w:firstLine="480" w:firstLineChars="200"/>
              <w:rPr>
                <w:rFonts w:ascii="宋体" w:hAnsi="宋体"/>
                <w:sz w:val="24"/>
              </w:rPr>
            </w:pPr>
            <w:r>
              <w:rPr>
                <w:rFonts w:hint="eastAsia" w:ascii="宋体" w:hAnsi="宋体"/>
                <w:sz w:val="24"/>
              </w:rPr>
              <w:t>建设单位应加强认识，保护矿区生态环境。矿区开采过程中对生态环境的破坏与影响主要表现在矿区植被破坏、剥离土方的堆放可能引发的水土流失和土壤</w:t>
            </w:r>
          </w:p>
          <w:p>
            <w:pPr>
              <w:spacing w:line="360" w:lineRule="auto"/>
              <w:rPr>
                <w:rFonts w:ascii="宋体" w:hAnsi="宋体"/>
                <w:sz w:val="24"/>
              </w:rPr>
            </w:pPr>
            <w:r>
              <w:rPr>
                <w:rFonts w:hint="eastAsia" w:ascii="宋体" w:hAnsi="宋体"/>
                <w:sz w:val="24"/>
              </w:rPr>
              <w:t>损失，这是矿区开发中对环境影响的一个重要因素。</w:t>
            </w:r>
          </w:p>
          <w:p>
            <w:pPr>
              <w:spacing w:line="360" w:lineRule="auto"/>
              <w:ind w:firstLine="480" w:firstLineChars="200"/>
              <w:rPr>
                <w:rFonts w:ascii="宋体" w:hAnsi="宋体"/>
                <w:sz w:val="24"/>
              </w:rPr>
            </w:pPr>
            <w:r>
              <w:rPr>
                <w:rFonts w:hint="eastAsia" w:ascii="宋体" w:hAnsi="宋体"/>
                <w:sz w:val="24"/>
              </w:rPr>
              <w:t>生态综合防治的原则是：“预防为主、防治结合、综合治理、谁污染、谁负</w:t>
            </w:r>
          </w:p>
          <w:p>
            <w:pPr>
              <w:spacing w:line="360" w:lineRule="auto"/>
              <w:rPr>
                <w:rFonts w:ascii="宋体" w:hAnsi="宋体"/>
                <w:sz w:val="24"/>
              </w:rPr>
            </w:pPr>
            <w:r>
              <w:rPr>
                <w:rFonts w:hint="eastAsia" w:ascii="宋体" w:hAnsi="宋体"/>
                <w:sz w:val="24"/>
              </w:rPr>
              <w:t>责、谁开发、谁保护”，全面推行清洁生产，加强环境管理。</w:t>
            </w:r>
          </w:p>
          <w:p>
            <w:pPr>
              <w:spacing w:line="360" w:lineRule="auto"/>
              <w:ind w:firstLine="480" w:firstLineChars="200"/>
              <w:rPr>
                <w:rFonts w:ascii="宋体" w:hAnsi="宋体"/>
                <w:sz w:val="24"/>
              </w:rPr>
            </w:pPr>
            <w:r>
              <w:rPr>
                <w:rFonts w:hint="eastAsia" w:ascii="TimesNewRomanPS-BoldMT" w:hAnsi="TimesNewRomanPS-BoldMT" w:eastAsia="TimesNewRomanPS-BoldMT"/>
                <w:bCs/>
                <w:sz w:val="24"/>
              </w:rPr>
              <w:t>(2)</w:t>
            </w:r>
            <w:r>
              <w:rPr>
                <w:rFonts w:hint="eastAsia" w:ascii="宋体" w:hAnsi="宋体"/>
                <w:bCs/>
                <w:sz w:val="24"/>
              </w:rPr>
              <w:t>矿山生</w:t>
            </w:r>
            <w:r>
              <w:rPr>
                <w:rFonts w:hint="eastAsia" w:ascii="宋体" w:hAnsi="宋体"/>
                <w:sz w:val="24"/>
              </w:rPr>
              <w:t>态环境保护措施及治理对策</w:t>
            </w:r>
          </w:p>
          <w:p>
            <w:pPr>
              <w:spacing w:line="360" w:lineRule="auto"/>
              <w:ind w:firstLine="480" w:firstLineChars="200"/>
              <w:rPr>
                <w:rFonts w:ascii="宋体" w:hAnsi="宋体"/>
                <w:sz w:val="24"/>
              </w:rPr>
            </w:pPr>
            <w:r>
              <w:rPr>
                <w:rFonts w:hint="eastAsia" w:ascii="宋体" w:hAnsi="宋体"/>
                <w:sz w:val="24"/>
              </w:rPr>
              <w:t>矿区运营期间生态环境防治措施，主要包括以下几方面：</w:t>
            </w:r>
          </w:p>
          <w:p>
            <w:pPr>
              <w:spacing w:line="360" w:lineRule="auto"/>
              <w:ind w:firstLine="480" w:firstLineChars="200"/>
              <w:rPr>
                <w:rFonts w:ascii="宋体" w:hAnsi="宋体"/>
                <w:sz w:val="24"/>
              </w:rPr>
            </w:pPr>
            <w:r>
              <w:rPr>
                <w:rFonts w:hint="eastAsia" w:ascii="宋体" w:hAnsi="宋体"/>
                <w:sz w:val="24"/>
              </w:rPr>
              <w:t>1)强化生态环境保护意识</w:t>
            </w:r>
          </w:p>
          <w:p>
            <w:pPr>
              <w:spacing w:line="360" w:lineRule="auto"/>
              <w:ind w:firstLine="480" w:firstLineChars="200"/>
              <w:rPr>
                <w:rFonts w:ascii="宋体" w:hAnsi="宋体"/>
                <w:sz w:val="24"/>
              </w:rPr>
            </w:pPr>
            <w:r>
              <w:rPr>
                <w:rFonts w:hint="eastAsia" w:ascii="宋体" w:hAnsi="宋体"/>
                <w:sz w:val="24"/>
              </w:rPr>
              <w:t>①结合当地政府部门所制定的生态环境建设规划和水土保持规划，协助当地政府搞好矿区的生态环境建设工作。</w:t>
            </w:r>
          </w:p>
          <w:p>
            <w:pPr>
              <w:spacing w:line="360" w:lineRule="auto"/>
              <w:ind w:firstLine="480" w:firstLineChars="200"/>
              <w:rPr>
                <w:rFonts w:ascii="宋体" w:hAnsi="宋体"/>
                <w:sz w:val="24"/>
              </w:rPr>
            </w:pPr>
            <w:r>
              <w:rPr>
                <w:rFonts w:hint="eastAsia" w:ascii="宋体" w:hAnsi="宋体"/>
                <w:sz w:val="24"/>
              </w:rPr>
              <w:t>②加强管理，制定并落实生态影响防护与恢复的监督管理措施。生态管理人员编制，建议纳入项目的环境管理机构，并落实生态管理人员的职能。</w:t>
            </w:r>
          </w:p>
          <w:p>
            <w:pPr>
              <w:spacing w:line="360" w:lineRule="auto"/>
              <w:ind w:firstLine="480" w:firstLineChars="200"/>
              <w:rPr>
                <w:rFonts w:ascii="宋体" w:hAnsi="宋体"/>
                <w:sz w:val="24"/>
              </w:rPr>
            </w:pPr>
            <w:r>
              <w:rPr>
                <w:rFonts w:hint="eastAsia" w:ascii="宋体" w:hAnsi="宋体"/>
                <w:sz w:val="24"/>
              </w:rPr>
              <w:t>③加强生态环境保护的教育和宣传，提高员工的生态环境保护素质，减少人为因素的生态破坏。</w:t>
            </w:r>
          </w:p>
          <w:p>
            <w:pPr>
              <w:spacing w:line="360" w:lineRule="auto"/>
              <w:ind w:firstLine="480" w:firstLineChars="200"/>
              <w:rPr>
                <w:rFonts w:ascii="宋体" w:hAnsi="宋体"/>
                <w:sz w:val="24"/>
              </w:rPr>
            </w:pPr>
            <w:r>
              <w:rPr>
                <w:rFonts w:hint="eastAsia" w:ascii="宋体" w:hAnsi="宋体"/>
                <w:sz w:val="24"/>
              </w:rPr>
              <w:t>2)进、出场道路的生态防护措施</w:t>
            </w:r>
          </w:p>
          <w:p>
            <w:pPr>
              <w:spacing w:line="360" w:lineRule="auto"/>
              <w:ind w:firstLine="480" w:firstLineChars="200"/>
              <w:rPr>
                <w:rFonts w:ascii="宋体" w:hAnsi="宋体"/>
                <w:sz w:val="24"/>
              </w:rPr>
            </w:pPr>
            <w:r>
              <w:rPr>
                <w:rFonts w:hint="eastAsia" w:ascii="宋体" w:hAnsi="宋体"/>
                <w:sz w:val="24"/>
              </w:rPr>
              <w:t>运输道路沿线以荒草地为主，不存在珍稀、濒危野生动物出没区和动物迁徙通道。道路沿线区域的土壤类型主要为淡棕钙土；沿途植被覆盖较小，主要有沙蒿、刺篷等耐旱植被零星存在；道路沿线动物出没较少。</w:t>
            </w:r>
          </w:p>
          <w:p>
            <w:pPr>
              <w:spacing w:line="360" w:lineRule="auto"/>
              <w:ind w:firstLine="480" w:firstLineChars="200"/>
              <w:rPr>
                <w:rFonts w:ascii="宋体" w:hAnsi="宋体"/>
                <w:sz w:val="24"/>
              </w:rPr>
            </w:pPr>
            <w:r>
              <w:rPr>
                <w:rFonts w:hint="eastAsia" w:ascii="宋体" w:hAnsi="宋体"/>
                <w:sz w:val="24"/>
              </w:rPr>
              <w:t>进场道路主要用于建筑用砂运输，建设单位每三个月对道路进行一次维护，并经压路机压实，以减少车辆通行产生扬尘。同时，项目运输车辆在矿区严格沿道路低速行驶，不会偏离道路造成其他地表破坏。</w:t>
            </w:r>
          </w:p>
          <w:p>
            <w:pPr>
              <w:tabs>
                <w:tab w:val="left" w:pos="1014"/>
              </w:tabs>
              <w:spacing w:line="360" w:lineRule="auto"/>
              <w:ind w:left="480"/>
              <w:rPr>
                <w:rFonts w:ascii="宋体" w:hAnsi="宋体"/>
                <w:sz w:val="24"/>
              </w:rPr>
            </w:pPr>
            <w:r>
              <w:rPr>
                <w:rFonts w:hint="eastAsia" w:ascii="宋体" w:hAnsi="宋体"/>
                <w:sz w:val="24"/>
              </w:rPr>
              <w:t>3)土壤保护措施</w:t>
            </w:r>
          </w:p>
          <w:p>
            <w:pPr>
              <w:pStyle w:val="47"/>
              <w:ind w:firstLine="480"/>
              <w:rPr>
                <w:color w:val="auto"/>
              </w:rPr>
            </w:pPr>
            <w:r>
              <w:rPr>
                <w:rFonts w:hint="eastAsia"/>
                <w:color w:val="auto"/>
              </w:rPr>
              <w:t>项目开采过程中要剥离地表土壤植被层，对剥离的土壤运往露天二采区内废弃采坑内设置的表土单独存放场，排土场采取部分及时绿化，部分防尘网苫盖等措施，防止雨水冲涮，减少土壤营养物</w:t>
            </w:r>
            <w:r>
              <w:rPr>
                <w:rFonts w:hint="eastAsia" w:ascii="宋体" w:hAnsi="宋体"/>
                <w:color w:val="auto"/>
              </w:rPr>
              <w:t>质的损失。</w:t>
            </w:r>
          </w:p>
          <w:p>
            <w:pPr>
              <w:spacing w:line="360" w:lineRule="auto"/>
              <w:ind w:firstLine="480" w:firstLineChars="200"/>
              <w:rPr>
                <w:rFonts w:ascii="TimesNewRomanPSMT" w:hAnsi="TimesNewRomanPSMT" w:eastAsia="TimesNewRomanPSMT"/>
                <w:sz w:val="20"/>
              </w:rPr>
            </w:pPr>
            <w:r>
              <w:rPr>
                <w:rFonts w:hint="eastAsia"/>
                <w:snapToGrid w:val="0"/>
                <w:kern w:val="0"/>
                <w:sz w:val="24"/>
              </w:rPr>
              <w:t>4）野生动物、</w:t>
            </w:r>
            <w:r>
              <w:rPr>
                <w:rFonts w:hint="eastAsia" w:ascii="宋体" w:hAnsi="宋体"/>
                <w:sz w:val="24"/>
              </w:rPr>
              <w:t>植被保护措施</w:t>
            </w:r>
          </w:p>
          <w:p>
            <w:pPr>
              <w:spacing w:line="360" w:lineRule="auto"/>
              <w:ind w:firstLine="480" w:firstLineChars="200"/>
              <w:rPr>
                <w:rFonts w:ascii="宋体" w:hAnsi="宋体"/>
                <w:sz w:val="24"/>
              </w:rPr>
            </w:pPr>
            <w:r>
              <w:rPr>
                <w:rFonts w:hint="eastAsia" w:ascii="宋体" w:hAnsi="宋体"/>
                <w:sz w:val="24"/>
              </w:rPr>
              <w:t>采矿过程应采取切实有效措施减轻或减缓对矿区内野生动物生存环境与植物资源的破坏，拟采取以下措施保护动、植物资源：</w:t>
            </w:r>
          </w:p>
          <w:p>
            <w:pPr>
              <w:spacing w:line="360" w:lineRule="auto"/>
              <w:ind w:firstLine="480" w:firstLineChars="200"/>
              <w:rPr>
                <w:rFonts w:ascii="宋体" w:hAnsi="宋体"/>
                <w:sz w:val="24"/>
              </w:rPr>
            </w:pPr>
            <w:r>
              <w:rPr>
                <w:rFonts w:hint="eastAsia" w:ascii="宋体" w:hAnsi="宋体"/>
                <w:sz w:val="24"/>
              </w:rPr>
              <w:t>①建立严格保护的规章制度和职责明确、便于协调的管理体制，采取有效的“三废”治理措施，尽量减少对周围生态环境的影响，以利于生态资源的保护、管理。建设单位必须在相关部门划定的临时占地范围内进行生产活动，不得在临时占用的土地上修建永久性建筑物。</w:t>
            </w:r>
          </w:p>
          <w:p>
            <w:pPr>
              <w:spacing w:line="360" w:lineRule="auto"/>
              <w:ind w:firstLine="480" w:firstLineChars="200"/>
              <w:rPr>
                <w:rFonts w:ascii="宋体" w:hAnsi="宋体"/>
                <w:sz w:val="24"/>
              </w:rPr>
            </w:pPr>
            <w:r>
              <w:rPr>
                <w:rFonts w:hint="eastAsia" w:ascii="宋体" w:hAnsi="宋体"/>
                <w:sz w:val="24"/>
              </w:rPr>
              <w:t>②科学规划作业时间，晚间（21:00~7:00）严禁灯火通明，高噪声源设备不允许作业，以减轻对矿区动物的生活、觅食、繁衍生息造成影响。</w:t>
            </w:r>
          </w:p>
          <w:p>
            <w:pPr>
              <w:spacing w:line="360" w:lineRule="auto"/>
              <w:ind w:firstLine="480" w:firstLineChars="200"/>
              <w:rPr>
                <w:rFonts w:ascii="宋体" w:hAnsi="宋体"/>
                <w:sz w:val="24"/>
              </w:rPr>
            </w:pPr>
            <w:r>
              <w:rPr>
                <w:rFonts w:hint="eastAsia" w:ascii="宋体" w:hAnsi="宋体"/>
                <w:sz w:val="24"/>
              </w:rPr>
              <w:t>③合理设计，把矿山运行引起的难以避免的植被破坏减少到最低限度，对脆弱植被、环境条件恶劣的局部地区的植被和野生动物、鸟类的保护，加强施工管理，要最大限度地降低对矿区周围的生态系统的破坏，使矿山运行期间对周围环境的影响降低到最低程度。矿区服务期满后，拆除所有临时建筑，并进行场地平整及土地复垦，以恢复项目区野生动物生境。</w:t>
            </w:r>
          </w:p>
          <w:p>
            <w:pPr>
              <w:spacing w:line="360" w:lineRule="auto"/>
              <w:ind w:firstLine="480" w:firstLineChars="200"/>
              <w:rPr>
                <w:rFonts w:ascii="宋体" w:hAnsi="宋体"/>
                <w:sz w:val="24"/>
              </w:rPr>
            </w:pPr>
            <w:r>
              <w:rPr>
                <w:rFonts w:hint="eastAsia" w:ascii="宋体" w:hAnsi="宋体"/>
                <w:sz w:val="24"/>
              </w:rPr>
              <w:t>此外，项目通过合理的开采保护矿区生态环境，严格按照矿山开采设计方案设计的阶段台阶式开采方式进行，对可能出现的生态影响积极地采取保护和减缓措施，制定详细的保护计划，削减矿山运行时对人群和生态系统的负面效应。</w:t>
            </w:r>
          </w:p>
          <w:p>
            <w:pPr>
              <w:pStyle w:val="50"/>
              <w:ind w:firstLine="482"/>
              <w:rPr>
                <w:b/>
                <w:bCs/>
              </w:rPr>
            </w:pPr>
            <w:r>
              <w:rPr>
                <w:rFonts w:hint="eastAsia"/>
                <w:b/>
                <w:bCs/>
              </w:rPr>
              <w:t>2、大气防治措施</w:t>
            </w:r>
          </w:p>
          <w:p>
            <w:pPr>
              <w:autoSpaceDE w:val="0"/>
              <w:autoSpaceDN w:val="0"/>
              <w:spacing w:line="360" w:lineRule="auto"/>
              <w:ind w:firstLine="480" w:firstLineChars="200"/>
              <w:jc w:val="left"/>
              <w:rPr>
                <w:bCs/>
                <w:sz w:val="24"/>
              </w:rPr>
            </w:pPr>
            <w:r>
              <w:rPr>
                <w:rFonts w:hint="eastAsia"/>
                <w:bCs/>
                <w:sz w:val="24"/>
              </w:rPr>
              <w:t>⑴粉尘有组织排放</w:t>
            </w:r>
          </w:p>
          <w:p>
            <w:pPr>
              <w:spacing w:line="360" w:lineRule="auto"/>
              <w:ind w:firstLine="480" w:firstLineChars="200"/>
              <w:rPr>
                <w:sz w:val="24"/>
              </w:rPr>
            </w:pPr>
            <w:r>
              <w:rPr>
                <w:rFonts w:hint="eastAsia"/>
                <w:sz w:val="24"/>
              </w:rPr>
              <w:t>针对白云岩矿石破碎筛分生产线含尘废气，本项目通过在破碎机投料口﹑出料口及筛分机上部安装密闭收集装置，将含尘废气抽送至旋风除尘器+布袋除尘器处理，除尘系统综合除尘效率均为</w:t>
            </w:r>
            <w:r>
              <w:rPr>
                <w:sz w:val="24"/>
              </w:rPr>
              <w:t>99.91</w:t>
            </w:r>
            <w:r>
              <w:rPr>
                <w:rFonts w:hint="eastAsia"/>
                <w:sz w:val="24"/>
              </w:rPr>
              <w:t>%，处理后经1座15m高排气筒排放，白云岩矿石破碎筛分生产线含尘废气经收集处理后，污染物排放浓度、排放速率分别为</w:t>
            </w:r>
            <w:r>
              <w:rPr>
                <w:sz w:val="24"/>
              </w:rPr>
              <w:t>3.63</w:t>
            </w:r>
            <w:r>
              <w:rPr>
                <w:rFonts w:hint="eastAsia"/>
                <w:bCs/>
                <w:kern w:val="1"/>
                <w:sz w:val="24"/>
              </w:rPr>
              <w:t>mg/m</w:t>
            </w:r>
            <w:r>
              <w:rPr>
                <w:rFonts w:hint="eastAsia"/>
                <w:bCs/>
                <w:kern w:val="1"/>
                <w:sz w:val="24"/>
                <w:vertAlign w:val="superscript"/>
              </w:rPr>
              <w:t>3</w:t>
            </w:r>
            <w:r>
              <w:rPr>
                <w:rFonts w:hint="eastAsia"/>
                <w:bCs/>
                <w:kern w:val="1"/>
                <w:sz w:val="24"/>
              </w:rPr>
              <w:t>，</w:t>
            </w:r>
            <w:r>
              <w:rPr>
                <w:bCs/>
                <w:kern w:val="1"/>
                <w:sz w:val="24"/>
              </w:rPr>
              <w:t>0.036</w:t>
            </w:r>
            <w:r>
              <w:rPr>
                <w:rFonts w:hint="eastAsia"/>
                <w:bCs/>
                <w:kern w:val="1"/>
                <w:sz w:val="24"/>
              </w:rPr>
              <w:t>kg/h</w:t>
            </w:r>
            <w:r>
              <w:rPr>
                <w:rFonts w:hint="eastAsia"/>
                <w:sz w:val="24"/>
              </w:rPr>
              <w:t>，污染物排放浓度、排放速率和排气筒高度均满足《大气污染物综合排放标准》(GB16297-1996)表2中二级标准表的要求，对周围环境影响较小。</w:t>
            </w:r>
          </w:p>
          <w:p>
            <w:pPr>
              <w:spacing w:line="360" w:lineRule="auto"/>
              <w:ind w:firstLine="480" w:firstLineChars="200"/>
              <w:rPr>
                <w:sz w:val="24"/>
              </w:rPr>
            </w:pPr>
            <w:r>
              <w:rPr>
                <w:rFonts w:hint="eastAsia"/>
                <w:sz w:val="24"/>
              </w:rPr>
              <w:t>针对</w:t>
            </w:r>
            <w:r>
              <w:rPr>
                <w:rFonts w:hint="eastAsia"/>
                <w:kern w:val="1"/>
                <w:sz w:val="24"/>
              </w:rPr>
              <w:t>伴生石料</w:t>
            </w:r>
            <w:r>
              <w:rPr>
                <w:rFonts w:hint="eastAsia"/>
                <w:sz w:val="24"/>
              </w:rPr>
              <w:t>破碎筛分生产线含尘废气，本项目通过在破碎机投料口﹑出料口及筛分机上部安装密闭收集装置，将含尘废气抽送至旋风除尘器+布袋除尘器处理，除尘系统综合除尘效率均为</w:t>
            </w:r>
            <w:r>
              <w:rPr>
                <w:sz w:val="24"/>
              </w:rPr>
              <w:t>99.91</w:t>
            </w:r>
            <w:r>
              <w:rPr>
                <w:rFonts w:hint="eastAsia"/>
                <w:sz w:val="24"/>
              </w:rPr>
              <w:t>%，处理后经1座15m高排气筒排放，伴生石料破碎筛分生产线含尘废气经收集处理后，粉尘污染物排放浓度、排放速率分别为</w:t>
            </w:r>
            <w:r>
              <w:rPr>
                <w:sz w:val="24"/>
              </w:rPr>
              <w:t>3.634</w:t>
            </w:r>
            <w:r>
              <w:rPr>
                <w:rFonts w:hint="eastAsia"/>
                <w:bCs/>
                <w:kern w:val="1"/>
                <w:sz w:val="24"/>
              </w:rPr>
              <w:t>mg/m</w:t>
            </w:r>
            <w:r>
              <w:rPr>
                <w:rFonts w:hint="eastAsia"/>
                <w:bCs/>
                <w:kern w:val="1"/>
                <w:sz w:val="24"/>
                <w:vertAlign w:val="superscript"/>
              </w:rPr>
              <w:t>3</w:t>
            </w:r>
            <w:r>
              <w:rPr>
                <w:rFonts w:hint="eastAsia"/>
                <w:bCs/>
                <w:kern w:val="1"/>
                <w:sz w:val="24"/>
              </w:rPr>
              <w:t>，</w:t>
            </w:r>
            <w:r>
              <w:rPr>
                <w:bCs/>
                <w:kern w:val="1"/>
                <w:sz w:val="24"/>
              </w:rPr>
              <w:t>0.363</w:t>
            </w:r>
            <w:r>
              <w:rPr>
                <w:rFonts w:hint="eastAsia"/>
                <w:bCs/>
                <w:kern w:val="1"/>
                <w:sz w:val="24"/>
              </w:rPr>
              <w:t>kg/h</w:t>
            </w:r>
            <w:r>
              <w:rPr>
                <w:rFonts w:hint="eastAsia"/>
                <w:sz w:val="24"/>
              </w:rPr>
              <w:t>，污染物排放浓度、排放速率和排气筒高度均满足《大气污染物综合排放标准》(GB16297-1996)表2中二级标准表的要求，对周围环境影响较小。</w:t>
            </w:r>
          </w:p>
          <w:p>
            <w:pPr>
              <w:autoSpaceDE w:val="0"/>
              <w:autoSpaceDN w:val="0"/>
              <w:spacing w:line="360" w:lineRule="auto"/>
              <w:ind w:firstLine="482" w:firstLineChars="200"/>
              <w:jc w:val="left"/>
              <w:rPr>
                <w:b/>
                <w:sz w:val="24"/>
              </w:rPr>
            </w:pPr>
            <w:r>
              <w:rPr>
                <w:rFonts w:hint="eastAsia"/>
                <w:b/>
                <w:sz w:val="24"/>
              </w:rPr>
              <w:t>⑵粉尘无组织排放</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筛粉破碎粉尘</w:t>
            </w:r>
          </w:p>
          <w:p>
            <w:pPr>
              <w:spacing w:line="360" w:lineRule="auto"/>
              <w:ind w:firstLine="480" w:firstLineChars="200"/>
              <w:rPr>
                <w:kern w:val="0"/>
                <w:sz w:val="24"/>
              </w:rPr>
            </w:pPr>
            <w:r>
              <w:rPr>
                <w:rFonts w:hint="eastAsia"/>
                <w:kern w:val="0"/>
                <w:sz w:val="24"/>
              </w:rPr>
              <w:t>破碎筛分工序未收集的10%的无组织粉尘，通过采取喷淋装置处理，处理效率为7</w:t>
            </w:r>
            <w:r>
              <w:rPr>
                <w:kern w:val="0"/>
                <w:sz w:val="24"/>
              </w:rPr>
              <w:t>4</w:t>
            </w:r>
            <w:r>
              <w:rPr>
                <w:rFonts w:hint="eastAsia"/>
                <w:kern w:val="0"/>
                <w:sz w:val="24"/>
              </w:rPr>
              <w:t>%，则无组织粉尘排放量为</w:t>
            </w:r>
            <w:r>
              <w:rPr>
                <w:kern w:val="0"/>
                <w:sz w:val="24"/>
              </w:rPr>
              <w:t>12.831</w:t>
            </w:r>
            <w:r>
              <w:rPr>
                <w:rFonts w:hint="eastAsia"/>
                <w:kern w:val="0"/>
                <w:sz w:val="24"/>
              </w:rPr>
              <w:t>kg/h（</w:t>
            </w:r>
            <w:r>
              <w:rPr>
                <w:kern w:val="0"/>
                <w:sz w:val="24"/>
              </w:rPr>
              <w:t>61.59</w:t>
            </w:r>
            <w:r>
              <w:rPr>
                <w:rFonts w:hint="eastAsia"/>
                <w:kern w:val="0"/>
                <w:sz w:val="24"/>
              </w:rPr>
              <w:t>t/a）。</w:t>
            </w:r>
          </w:p>
          <w:p>
            <w:pPr>
              <w:autoSpaceDE w:val="0"/>
              <w:autoSpaceDN w:val="0"/>
              <w:spacing w:line="360" w:lineRule="auto"/>
              <w:ind w:firstLine="480" w:firstLineChars="200"/>
              <w:jc w:val="left"/>
              <w:rPr>
                <w:sz w:val="24"/>
              </w:rPr>
            </w:pPr>
            <w:r>
              <w:rPr>
                <w:rFonts w:hint="eastAsia"/>
                <w:sz w:val="24"/>
              </w:rPr>
              <w:t>②钻孔凿岩粉尘</w:t>
            </w:r>
          </w:p>
          <w:p>
            <w:pPr>
              <w:spacing w:line="360" w:lineRule="auto"/>
              <w:ind w:firstLine="480" w:firstLineChars="200"/>
              <w:rPr>
                <w:b/>
                <w:sz w:val="24"/>
              </w:rPr>
            </w:pPr>
            <w:r>
              <w:rPr>
                <w:rFonts w:hint="eastAsia"/>
                <w:sz w:val="24"/>
              </w:rPr>
              <w:t>采矿场的凿岩钻孔设备在工作时会产生粉尘污染，针对钻孔凿岩粉尘拟采用洒水车洒水和使用带收尘装置凿岩钻孔机的方式减少粉尘逸散措施，降尘效率可达95%以上，则该类粉尘无组织排放量为1.472t/a。</w:t>
            </w:r>
          </w:p>
          <w:p>
            <w:pPr>
              <w:autoSpaceDE w:val="0"/>
              <w:autoSpaceDN w:val="0"/>
              <w:spacing w:line="360" w:lineRule="auto"/>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爆破粉尘</w:t>
            </w:r>
          </w:p>
          <w:p>
            <w:pPr>
              <w:autoSpaceDE w:val="0"/>
              <w:autoSpaceDN w:val="0"/>
              <w:spacing w:line="360" w:lineRule="auto"/>
              <w:ind w:firstLine="480" w:firstLineChars="200"/>
              <w:jc w:val="left"/>
              <w:rPr>
                <w:sz w:val="24"/>
              </w:rPr>
            </w:pPr>
            <w:r>
              <w:rPr>
                <w:rFonts w:hint="eastAsia"/>
                <w:sz w:val="24"/>
              </w:rPr>
              <w:t>本项目白云岩矿为露天开采，工程采用多排孔松动爆破，爆破过程会产生一定量的粉尘，针对爆破粉尘，项目拟通过采用深孔爆破、在孔眼底部安装水袋，并采用合理的炮孔网度及向预爆区洒水，同时采用爆堆远程洒水的方式抑尘，爆破后区域开启雾炮机增湿等措施，降尘效率可达90%以上，项目爆破过程粉尘排放量7.241t/a。</w:t>
            </w:r>
          </w:p>
          <w:p>
            <w:pPr>
              <w:autoSpaceDE w:val="0"/>
              <w:autoSpaceDN w:val="0"/>
              <w:spacing w:line="360" w:lineRule="auto"/>
              <w:ind w:firstLine="480" w:firstLineChars="200"/>
              <w:jc w:val="left"/>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装卸扬尘</w:t>
            </w:r>
          </w:p>
          <w:p>
            <w:pPr>
              <w:autoSpaceDE w:val="0"/>
              <w:autoSpaceDN w:val="0"/>
              <w:spacing w:line="360" w:lineRule="auto"/>
              <w:ind w:firstLine="480" w:firstLineChars="200"/>
              <w:jc w:val="left"/>
              <w:rPr>
                <w:sz w:val="24"/>
              </w:rPr>
            </w:pPr>
            <w:r>
              <w:rPr>
                <w:rFonts w:hint="eastAsia"/>
                <w:sz w:val="24"/>
              </w:rPr>
              <w:t>本次评价要求建设单位加强装车管理工作，尽量降低装卸物料落差；除日常对堆场采取洒水降尘措施外，原料装卸车过程应临时增加对卸车矿石及卸车区域的喷洒水从而减少扬尘产生；物料装车后迅速遮盖篷布，防治发生二次扬尘；建设单位应选择无风或微风的天气条件下进行装卸，大风天气严禁装卸物料。通过以上措施控制后，项目装卸扬尘降尘效率可达</w:t>
            </w:r>
            <w:r>
              <w:rPr>
                <w:sz w:val="24"/>
              </w:rPr>
              <w:t>85</w:t>
            </w:r>
            <w:r>
              <w:rPr>
                <w:rFonts w:hint="eastAsia"/>
                <w:sz w:val="24"/>
              </w:rPr>
              <w:t>%，采取以上措施后，项目装卸扬尘排放为</w:t>
            </w:r>
            <w:r>
              <w:rPr>
                <w:sz w:val="24"/>
              </w:rPr>
              <w:t>193.35</w:t>
            </w:r>
            <w:r>
              <w:rPr>
                <w:rFonts w:hint="eastAsia"/>
                <w:sz w:val="24"/>
              </w:rPr>
              <w:t>t/a。</w:t>
            </w:r>
          </w:p>
          <w:p>
            <w:pPr>
              <w:autoSpaceDE w:val="0"/>
              <w:autoSpaceDN w:val="0"/>
              <w:spacing w:line="360" w:lineRule="auto"/>
              <w:ind w:firstLine="480" w:firstLineChars="200"/>
              <w:jc w:val="left"/>
              <w:rPr>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rFonts w:hint="eastAsia"/>
                <w:sz w:val="24"/>
              </w:rPr>
              <w:t>汽车道路扬尘</w:t>
            </w:r>
          </w:p>
          <w:p>
            <w:pPr>
              <w:autoSpaceDE w:val="0"/>
              <w:autoSpaceDN w:val="0"/>
              <w:spacing w:line="360" w:lineRule="auto"/>
              <w:ind w:firstLine="480" w:firstLineChars="200"/>
              <w:jc w:val="left"/>
              <w:rPr>
                <w:sz w:val="24"/>
              </w:rPr>
            </w:pPr>
            <w:r>
              <w:rPr>
                <w:rFonts w:hint="eastAsia"/>
                <w:sz w:val="24"/>
              </w:rPr>
              <w:t>汽车在场内运输过程中会有一定的扬尘产生，为无组织排放。针对汽车道路扬尘，项目拟采用道路洒水的方式控制汽车扬尘产生，同时本次评价要求建设单位对于矿区内道路进行铺石子或铺渣处理，降低厂内道路粉尘产生量。通过以上措施处理后，可减少9</w:t>
            </w:r>
            <w:r>
              <w:rPr>
                <w:sz w:val="24"/>
              </w:rPr>
              <w:t>5</w:t>
            </w:r>
            <w:r>
              <w:rPr>
                <w:rFonts w:hint="eastAsia"/>
                <w:sz w:val="24"/>
              </w:rPr>
              <w:t>%的道路扬尘产生，项目厂内汽车道路扬尘排放量为</w:t>
            </w:r>
            <w:r>
              <w:rPr>
                <w:sz w:val="24"/>
              </w:rPr>
              <w:t>12.17</w:t>
            </w:r>
            <w:r>
              <w:rPr>
                <w:rFonts w:hint="eastAsia"/>
                <w:sz w:val="24"/>
              </w:rPr>
              <w:t>t/a。</w:t>
            </w:r>
          </w:p>
          <w:p>
            <w:pPr>
              <w:autoSpaceDE w:val="0"/>
              <w:autoSpaceDN w:val="0"/>
              <w:spacing w:line="360" w:lineRule="auto"/>
              <w:ind w:firstLine="480" w:firstLineChars="200"/>
              <w:jc w:val="left"/>
              <w:rPr>
                <w:sz w:val="24"/>
              </w:rPr>
            </w:pPr>
            <w:r>
              <w:rPr>
                <w:sz w:val="24"/>
              </w:rPr>
              <w:fldChar w:fldCharType="begin"/>
            </w:r>
            <w:r>
              <w:rPr>
                <w:sz w:val="24"/>
              </w:rPr>
              <w:instrText xml:space="preserve"> </w:instrText>
            </w:r>
            <w:r>
              <w:rPr>
                <w:rFonts w:hint="eastAsia"/>
                <w:sz w:val="24"/>
              </w:rPr>
              <w:instrText xml:space="preserve">= 6 \* GB3</w:instrText>
            </w:r>
            <w:r>
              <w:rPr>
                <w:sz w:val="24"/>
              </w:rPr>
              <w:instrText xml:space="preserve"> </w:instrText>
            </w:r>
            <w:r>
              <w:rPr>
                <w:sz w:val="24"/>
              </w:rPr>
              <w:fldChar w:fldCharType="separate"/>
            </w:r>
            <w:r>
              <w:rPr>
                <w:rFonts w:hint="eastAsia"/>
                <w:sz w:val="24"/>
              </w:rPr>
              <w:t>⑥</w:t>
            </w:r>
            <w:r>
              <w:rPr>
                <w:sz w:val="24"/>
              </w:rPr>
              <w:fldChar w:fldCharType="end"/>
            </w:r>
            <w:r>
              <w:rPr>
                <w:rFonts w:hint="eastAsia"/>
                <w:sz w:val="24"/>
              </w:rPr>
              <w:t>堆场扬尘</w:t>
            </w:r>
          </w:p>
          <w:p>
            <w:pPr>
              <w:spacing w:line="360" w:lineRule="auto"/>
              <w:ind w:firstLine="480" w:firstLineChars="200"/>
              <w:rPr>
                <w:sz w:val="24"/>
              </w:rPr>
            </w:pPr>
            <w:r>
              <w:rPr>
                <w:rFonts w:hint="eastAsia"/>
                <w:sz w:val="24"/>
              </w:rPr>
              <w:t>本项目通过设置全封闭式的产品堆场，同时运行过程中控制产品堆存高度，定期洒水。采取以上措施后，项目运营期成品堆场扬尘排放量为2.55t/a。</w:t>
            </w:r>
          </w:p>
          <w:p>
            <w:pPr>
              <w:spacing w:line="360" w:lineRule="auto"/>
              <w:ind w:firstLine="480" w:firstLineChars="200"/>
              <w:rPr>
                <w:sz w:val="24"/>
              </w:rPr>
            </w:pPr>
            <w:r>
              <w:rPr>
                <w:rFonts w:hint="eastAsia"/>
                <w:sz w:val="24"/>
              </w:rPr>
              <w:t>因此项目粉尘无组织排放对周围环境影响较小。</w:t>
            </w:r>
          </w:p>
          <w:p>
            <w:pPr>
              <w:autoSpaceDE w:val="0"/>
              <w:autoSpaceDN w:val="0"/>
              <w:spacing w:line="360" w:lineRule="auto"/>
              <w:ind w:firstLine="480" w:firstLineChars="200"/>
              <w:jc w:val="left"/>
              <w:rPr>
                <w:sz w:val="24"/>
              </w:rPr>
            </w:pPr>
            <w:r>
              <w:rPr>
                <w:rFonts w:hint="eastAsia"/>
                <w:sz w:val="24"/>
              </w:rPr>
              <w:t>⑦开采机械柴油废气及机械尾气</w:t>
            </w:r>
          </w:p>
          <w:p>
            <w:pPr>
              <w:autoSpaceDE w:val="0"/>
              <w:autoSpaceDN w:val="0"/>
              <w:spacing w:line="360" w:lineRule="auto"/>
              <w:ind w:firstLine="480" w:firstLineChars="200"/>
              <w:jc w:val="left"/>
              <w:rPr>
                <w:sz w:val="24"/>
              </w:rPr>
            </w:pPr>
            <w:r>
              <w:rPr>
                <w:rFonts w:hint="eastAsia"/>
                <w:sz w:val="24"/>
              </w:rPr>
              <w:t>柴油机污染物排放量总体不大，汽车排放的尾气废气量较少，均位于露天，经空气稀释、扩散。为进一步降低尾气污染，对于砂石料场剥离、采掘使用的推土机、挖掘机等设备与运输车辆加强维护，可有效减轻尾气污染。</w:t>
            </w:r>
          </w:p>
          <w:p>
            <w:pPr>
              <w:spacing w:line="360" w:lineRule="auto"/>
              <w:ind w:firstLine="480" w:firstLineChars="200"/>
              <w:rPr>
                <w:sz w:val="24"/>
              </w:rPr>
            </w:pPr>
            <w:r>
              <w:rPr>
                <w:rFonts w:hint="eastAsia"/>
                <w:sz w:val="24"/>
              </w:rPr>
              <w:t>⑧排土场扬尘</w:t>
            </w:r>
          </w:p>
          <w:p>
            <w:pPr>
              <w:spacing w:line="360" w:lineRule="auto"/>
              <w:ind w:firstLine="480" w:firstLineChars="200"/>
              <w:rPr>
                <w:sz w:val="24"/>
              </w:rPr>
            </w:pPr>
            <w:r>
              <w:rPr>
                <w:rFonts w:hint="eastAsia"/>
                <w:sz w:val="24"/>
              </w:rPr>
              <w:t>本项目采用“边开采、边治理”方案，同时考虑到剥离物中只有部分细颗粒</w:t>
            </w:r>
          </w:p>
          <w:p>
            <w:pPr>
              <w:spacing w:line="360" w:lineRule="auto"/>
              <w:rPr>
                <w:sz w:val="24"/>
              </w:rPr>
            </w:pPr>
            <w:r>
              <w:rPr>
                <w:rFonts w:hint="eastAsia"/>
                <w:sz w:val="24"/>
              </w:rPr>
              <w:t>物易起尘，排土场下方设置挡土坝，沿排土场坡脚设置，挡土坝为土石垒砌</w:t>
            </w:r>
          </w:p>
          <w:p>
            <w:pPr>
              <w:spacing w:line="360" w:lineRule="auto"/>
              <w:rPr>
                <w:sz w:val="24"/>
              </w:rPr>
            </w:pPr>
            <w:r>
              <w:rPr>
                <w:rFonts w:hint="eastAsia"/>
                <w:sz w:val="24"/>
              </w:rPr>
              <w:t>而成，排土场采取及时压实，严格按照设计堆放高度堆存，定期洒水抑尘，排</w:t>
            </w:r>
          </w:p>
          <w:p>
            <w:pPr>
              <w:spacing w:line="360" w:lineRule="auto"/>
              <w:rPr>
                <w:sz w:val="24"/>
              </w:rPr>
            </w:pPr>
            <w:r>
              <w:rPr>
                <w:rFonts w:hint="eastAsia"/>
                <w:sz w:val="24"/>
              </w:rPr>
              <w:t>土场种植冰草、牛枝子、柠条等耐旱植被，同时遮盖防尘网，可有效抑制粉尘的产生，抑尘效率可达到</w:t>
            </w:r>
            <w:r>
              <w:rPr>
                <w:sz w:val="24"/>
              </w:rPr>
              <w:t>96.36</w:t>
            </w:r>
            <w:r>
              <w:rPr>
                <w:rFonts w:hint="eastAsia"/>
                <w:sz w:val="24"/>
              </w:rPr>
              <w:t>%左右。</w:t>
            </w:r>
          </w:p>
          <w:p>
            <w:pPr>
              <w:spacing w:line="360" w:lineRule="auto"/>
              <w:ind w:firstLine="480" w:firstLineChars="200"/>
              <w:rPr>
                <w:sz w:val="24"/>
              </w:rPr>
            </w:pPr>
            <w:r>
              <w:rPr>
                <w:rFonts w:hint="eastAsia"/>
                <w:sz w:val="24"/>
              </w:rPr>
              <w:t>排土场由于土壤松散，易发生水土流失，因此排土场下方设置挡土坝，采取洒水措施，并撒播草籽，可对土壤有效固定，防止扬尘和水土流失，目前是排土场常用的固土和防尘方法，治理技术成熟，经济可行。经采取以上措施后，排土场无组织扬尘排放满足《大气污染物综合排放标准》（GB16297-1996）表2 的无组织监控浓度限值要求，对周围环境影响较小。</w:t>
            </w:r>
          </w:p>
          <w:p>
            <w:pPr>
              <w:autoSpaceDE w:val="0"/>
              <w:autoSpaceDN w:val="0"/>
              <w:spacing w:line="360" w:lineRule="auto"/>
              <w:ind w:firstLine="482" w:firstLineChars="200"/>
              <w:jc w:val="left"/>
              <w:rPr>
                <w:b/>
                <w:sz w:val="24"/>
              </w:rPr>
            </w:pPr>
            <w:r>
              <w:rPr>
                <w:rFonts w:hint="eastAsia"/>
                <w:b/>
                <w:sz w:val="24"/>
              </w:rPr>
              <w:t>⑶小结</w:t>
            </w:r>
          </w:p>
          <w:p>
            <w:pPr>
              <w:spacing w:line="360" w:lineRule="auto"/>
              <w:ind w:firstLine="480" w:firstLineChars="200"/>
              <w:rPr>
                <w:sz w:val="24"/>
              </w:rPr>
            </w:pPr>
            <w:r>
              <w:rPr>
                <w:rFonts w:hint="eastAsia"/>
                <w:sz w:val="24"/>
              </w:rPr>
              <w:t>采取以上措施后，可实现项目含尘废气合理处置，可有效控制生产过程中的粉尘无组织排放产生，实现废气达标排放，对周围环境影响较小。</w:t>
            </w:r>
          </w:p>
          <w:p>
            <w:pPr>
              <w:pStyle w:val="50"/>
              <w:ind w:firstLine="482"/>
              <w:rPr>
                <w:b/>
                <w:bCs/>
              </w:rPr>
            </w:pPr>
            <w:r>
              <w:rPr>
                <w:rFonts w:hint="eastAsia"/>
                <w:b/>
                <w:bCs/>
              </w:rPr>
              <w:t>3、水环境防治措施</w:t>
            </w:r>
          </w:p>
          <w:p>
            <w:pPr>
              <w:pStyle w:val="50"/>
              <w:ind w:firstLine="480"/>
            </w:pPr>
            <w:r>
              <w:rPr>
                <w:rFonts w:hint="eastAsia"/>
              </w:rPr>
              <w:t>本项目露采为山坡露天开采，大气降水可在短时间内自然疏散，矿区内雨水经排水沟汇集后由矿区排入沉砂池沉淀后用于厂区洒水降尘。同时，为防止粉尘污染，本项目采用湿式凿岩，并对爆破堆、运输道路、装卸、矿石堆等采取洒水降尘措施，这些水将全部蒸发和渗透到地面中，综上，本项目无生产废水外排。项目员工生活废水生活区设置旱厕，定期由周边居民拉走堆肥，项目运输车辆冲洗水循环使用，不外排。采取以上措施后，项目废水可有效处置，无废水外排，对周围水环境影响较小，废水防治措施可行。</w:t>
            </w:r>
          </w:p>
          <w:p>
            <w:pPr>
              <w:pStyle w:val="50"/>
              <w:ind w:firstLine="482"/>
              <w:rPr>
                <w:b/>
                <w:bCs/>
              </w:rPr>
            </w:pPr>
            <w:r>
              <w:rPr>
                <w:rFonts w:hint="eastAsia"/>
                <w:b/>
                <w:bCs/>
              </w:rPr>
              <w:t>4、声环境防治措施</w:t>
            </w:r>
          </w:p>
          <w:p>
            <w:pPr>
              <w:pStyle w:val="50"/>
              <w:ind w:firstLine="480"/>
            </w:pPr>
            <w:r>
              <w:rPr>
                <w:rFonts w:hint="eastAsia"/>
              </w:rPr>
              <w:t>项目产噪声源主要为爆破噪声、钻机、挖掘机、破碎机、振动筛、装载机等运行噪声等。矿山开采过程中产生噪声以挖掘机、装载机、钻孔和汽车噪声为主，工业场地以破碎机产生的噪声为主，噪声源强在90dB(A)以上，采取相应的措施后可有效降低项目噪声对周围环境的影响，具体措施如下：</w:t>
            </w:r>
          </w:p>
          <w:p>
            <w:pPr>
              <w:pStyle w:val="50"/>
              <w:ind w:firstLine="480"/>
            </w:pPr>
            <w:r>
              <w:rPr>
                <w:rFonts w:hint="eastAsia"/>
              </w:rPr>
              <w:t>（1）合理布局：厂区布局上，应把噪声大的生产设备布置在远离厂界和厂内生活办公区的地方，同时将生产区和办公生活区分开，来减少噪声的影响。</w:t>
            </w:r>
          </w:p>
          <w:p>
            <w:pPr>
              <w:pStyle w:val="50"/>
              <w:ind w:firstLine="480"/>
            </w:pPr>
            <w:r>
              <w:rPr>
                <w:rFonts w:hint="eastAsia"/>
              </w:rPr>
              <w:t>（2）在满足工艺的前提下，尽可能选用功率小，噪声低的设备，特别是风机设备，应严格按照规定定购符合国家噪音标准的设备；</w:t>
            </w:r>
          </w:p>
          <w:p>
            <w:pPr>
              <w:pStyle w:val="50"/>
              <w:ind w:firstLine="480"/>
            </w:pPr>
            <w:r>
              <w:rPr>
                <w:rFonts w:hint="eastAsia"/>
              </w:rPr>
              <w:t>（3）减振降噪措施：各类泵设备安装橡胶垫减振，采用软性连接，降噪量约5dB(A)。</w:t>
            </w:r>
          </w:p>
          <w:p>
            <w:pPr>
              <w:pStyle w:val="50"/>
              <w:ind w:firstLine="480"/>
            </w:pPr>
            <w:r>
              <w:rPr>
                <w:rFonts w:hint="eastAsia"/>
              </w:rPr>
              <w:t>（4）机器设备必须定期检修与保养，机器设备在正常状态下运转。</w:t>
            </w:r>
          </w:p>
          <w:p>
            <w:pPr>
              <w:pStyle w:val="50"/>
              <w:ind w:firstLine="480"/>
            </w:pPr>
            <w:r>
              <w:rPr>
                <w:rFonts w:hint="eastAsia"/>
              </w:rPr>
              <w:t>通过采取以上措施后，</w:t>
            </w:r>
            <w:r>
              <w:rPr>
                <w:rFonts w:hint="eastAsia"/>
                <w:kern w:val="1"/>
              </w:rPr>
              <w:t>昼间与采矿场地距离100m的地方可符合《工业企业厂界环境噪声排放标准》2类标准限值中昼间噪声限值要求；在夜间与采矿场地距离300m的地方可符合《工业企业厂界环境噪声排放标准》2类标准限值中夜间噪声限值要求。据现场调查，本项目采矿场周围1078m范围内无居民、学校等环境保护目标；工业场地</w:t>
            </w:r>
            <w:r>
              <w:rPr>
                <w:rFonts w:hint="eastAsia"/>
              </w:rPr>
              <w:t xml:space="preserve">厂界噪声均未超过GB12348-2008《工业企业厂界环境噪声排放标准》昼夜2类标准的要求，且工业场地周围400m范围内无居民点，因此，矿山噪声对周围环境的影响较小，项目噪声防治措施可行。 </w:t>
            </w:r>
          </w:p>
          <w:p>
            <w:pPr>
              <w:pStyle w:val="50"/>
              <w:ind w:firstLine="480"/>
            </w:pPr>
            <w:r>
              <w:rPr>
                <w:rFonts w:hint="eastAsia"/>
              </w:rPr>
              <w:t>（5）强化生产管理：确保降噪设施的有效运行，并加强对生产设备的保养、检修与润滑，保证设备处于良好的运转状态。</w:t>
            </w:r>
          </w:p>
          <w:p>
            <w:pPr>
              <w:pStyle w:val="50"/>
              <w:ind w:firstLine="480"/>
            </w:pPr>
            <w:r>
              <w:rPr>
                <w:rFonts w:hint="eastAsia"/>
              </w:rPr>
              <w:t>（6）对于运输的载重车辆，保持其性能良好，在进出厂区时采取限速限鸣措施。</w:t>
            </w:r>
          </w:p>
          <w:p>
            <w:pPr>
              <w:pStyle w:val="50"/>
              <w:ind w:firstLine="480"/>
            </w:pPr>
            <w:r>
              <w:rPr>
                <w:rFonts w:hint="eastAsia"/>
              </w:rPr>
              <w:t>在严格落实各项噪声防治措施的条件下，本项目噪声对外界环境的影响将得到有效的控制，因此本项目噪声采取的污染防治措施是可行的。</w:t>
            </w:r>
          </w:p>
          <w:p>
            <w:pPr>
              <w:pStyle w:val="50"/>
              <w:ind w:firstLine="482"/>
              <w:rPr>
                <w:b/>
                <w:bCs/>
              </w:rPr>
            </w:pPr>
            <w:r>
              <w:rPr>
                <w:rFonts w:hint="eastAsia"/>
                <w:b/>
                <w:bCs/>
              </w:rPr>
              <w:t>5、固体废物防治措施</w:t>
            </w:r>
          </w:p>
          <w:p>
            <w:pPr>
              <w:spacing w:line="360" w:lineRule="auto"/>
              <w:ind w:firstLine="482"/>
              <w:rPr>
                <w:kern w:val="1"/>
                <w:sz w:val="24"/>
              </w:rPr>
            </w:pPr>
            <w:r>
              <w:rPr>
                <w:rFonts w:hint="eastAsia"/>
                <w:kern w:val="1"/>
                <w:sz w:val="24"/>
              </w:rPr>
              <w:t>本项目开采产生的固体废物主要有剥离岩石、矿石筛分、破碎过程除尘器收集尘，均属于第Ⅰ类一般固体废物，贮存应按《一般工业固体废物贮存和填埋污染控制标准》（GB18599-2020）要求执行。项目剥离过程产生的岩石属于中等坚硬岩，均在工业场地破碎后作为建筑材料外售，运营期</w:t>
            </w:r>
            <w:r>
              <w:rPr>
                <w:rFonts w:hint="eastAsia"/>
                <w:sz w:val="24"/>
              </w:rPr>
              <w:t>剥离表土9.47万m</w:t>
            </w:r>
            <w:r>
              <w:rPr>
                <w:rFonts w:hint="eastAsia"/>
                <w:sz w:val="24"/>
                <w:vertAlign w:val="superscript"/>
              </w:rPr>
              <w:t>3</w:t>
            </w:r>
            <w:r>
              <w:rPr>
                <w:rFonts w:hint="eastAsia"/>
                <w:sz w:val="24"/>
              </w:rPr>
              <w:t>，运往排土场，一部分及时进行绿化，另一部分用于后期复垦使用，</w:t>
            </w:r>
            <w:r>
              <w:rPr>
                <w:rFonts w:hint="eastAsia"/>
                <w:kern w:val="1"/>
                <w:sz w:val="24"/>
              </w:rPr>
              <w:t>矿石筛分、破碎过程除尘器收集尘外售用作白云粉生产原料。项目员工生活垃集中收集后送政府指定场所统一处理。</w:t>
            </w:r>
          </w:p>
          <w:p>
            <w:pPr>
              <w:spacing w:line="360" w:lineRule="auto"/>
              <w:ind w:firstLine="482"/>
              <w:rPr>
                <w:kern w:val="1"/>
                <w:sz w:val="24"/>
              </w:rPr>
            </w:pPr>
            <w:r>
              <w:rPr>
                <w:rFonts w:hint="eastAsia"/>
                <w:kern w:val="1"/>
                <w:sz w:val="24"/>
              </w:rPr>
              <w:t>根据《国家危险废物名录（2021年版）》，废润滑油、废油桶均属于危险废物，其中废润滑油废物代码为HW08废矿物油与含矿物油废物：900-214-08、废油桶废物代码为900-041-49，废润滑油产生量1t/a，废油桶产生量约5个,0.025t/a（200L容积塑料桶），废润滑油、废油桶暂存于20m</w:t>
            </w:r>
            <w:r>
              <w:rPr>
                <w:rFonts w:hint="eastAsia"/>
                <w:kern w:val="1"/>
                <w:sz w:val="24"/>
                <w:vertAlign w:val="superscript"/>
              </w:rPr>
              <w:t>2</w:t>
            </w:r>
            <w:r>
              <w:rPr>
                <w:rFonts w:hint="eastAsia"/>
                <w:kern w:val="1"/>
                <w:sz w:val="24"/>
              </w:rPr>
              <w:t>危废暂存间，容积满足贮存要求，定期交有资质单位处置。</w:t>
            </w:r>
          </w:p>
          <w:p>
            <w:pPr>
              <w:spacing w:line="360" w:lineRule="auto"/>
              <w:ind w:firstLine="482"/>
              <w:rPr>
                <w:kern w:val="1"/>
                <w:sz w:val="24"/>
              </w:rPr>
            </w:pPr>
            <w:r>
              <w:rPr>
                <w:rFonts w:hint="eastAsia"/>
                <w:kern w:val="1"/>
                <w:sz w:val="24"/>
              </w:rPr>
              <w:t>运营期建设单位应严格按照危险废物管理要求对上述危险废物进行建设、贮存、转移管理，定期交有资质单位妥善处置。具体要求如下：</w:t>
            </w:r>
          </w:p>
          <w:p>
            <w:pPr>
              <w:spacing w:line="360" w:lineRule="auto"/>
              <w:ind w:firstLine="482"/>
              <w:rPr>
                <w:kern w:val="1"/>
                <w:sz w:val="24"/>
              </w:rPr>
            </w:pPr>
            <w:r>
              <w:rPr>
                <w:rFonts w:hint="eastAsia"/>
                <w:kern w:val="1"/>
                <w:sz w:val="24"/>
              </w:rPr>
              <w:t>（1）危废贮存间（建筑20m</w:t>
            </w:r>
            <w:r>
              <w:rPr>
                <w:rFonts w:hint="eastAsia"/>
                <w:kern w:val="1"/>
                <w:sz w:val="24"/>
                <w:vertAlign w:val="superscript"/>
              </w:rPr>
              <w:t>2</w:t>
            </w:r>
            <w:r>
              <w:rPr>
                <w:rFonts w:hint="eastAsia"/>
                <w:kern w:val="1"/>
                <w:sz w:val="24"/>
              </w:rPr>
              <w:t>）污染控制要求：</w:t>
            </w:r>
          </w:p>
          <w:p>
            <w:pPr>
              <w:spacing w:line="360" w:lineRule="auto"/>
              <w:ind w:firstLine="482"/>
              <w:rPr>
                <w:kern w:val="1"/>
                <w:sz w:val="24"/>
              </w:rPr>
            </w:pPr>
            <w:r>
              <w:rPr>
                <w:rFonts w:hint="eastAsia"/>
                <w:kern w:val="1"/>
                <w:sz w:val="24"/>
              </w:rPr>
              <w:t>①危废贮存间应根据危险废物的类别、数量、形态、物理化学性质和污染防治等要求设置必要的贮存分区，避免不相容的危险废物接触、混合。贮存分区内地面、墙面裙脚、堵截泄漏的围堰、接触危险废物的隔板和墙体等应采用坚固的材料建造，表面无裂缝。</w:t>
            </w:r>
          </w:p>
          <w:p>
            <w:pPr>
              <w:spacing w:line="360" w:lineRule="auto"/>
              <w:ind w:firstLine="482"/>
              <w:rPr>
                <w:kern w:val="1"/>
                <w:sz w:val="24"/>
              </w:rPr>
            </w:pPr>
            <w:r>
              <w:rPr>
                <w:rFonts w:hint="eastAsia"/>
                <w:kern w:val="1"/>
                <w:sz w:val="24"/>
              </w:rPr>
              <w:t>②危废贮存间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kern w:val="1"/>
                <w:sz w:val="24"/>
                <w:vertAlign w:val="superscript"/>
              </w:rPr>
              <w:t>-7</w:t>
            </w:r>
            <w:r>
              <w:rPr>
                <w:rFonts w:hint="eastAsia"/>
                <w:kern w:val="1"/>
                <w:sz w:val="24"/>
              </w:rPr>
              <w:t>cm/s），或至少2mm厚高密度聚乙烯膜等人工防渗材料（渗透系数不大于10</w:t>
            </w:r>
            <w:r>
              <w:rPr>
                <w:rFonts w:hint="eastAsia"/>
                <w:kern w:val="1"/>
                <w:sz w:val="24"/>
                <w:vertAlign w:val="superscript"/>
              </w:rPr>
              <w:t>-10</w:t>
            </w:r>
            <w:r>
              <w:rPr>
                <w:rFonts w:hint="eastAsia"/>
                <w:kern w:val="1"/>
                <w:sz w:val="24"/>
              </w:rPr>
              <w:t>cm/s），或其他防渗性能等效的材料。</w:t>
            </w:r>
          </w:p>
          <w:p>
            <w:pPr>
              <w:spacing w:line="360" w:lineRule="auto"/>
              <w:ind w:firstLine="482"/>
              <w:rPr>
                <w:kern w:val="1"/>
                <w:sz w:val="24"/>
              </w:rPr>
            </w:pPr>
            <w:r>
              <w:rPr>
                <w:rFonts w:hint="eastAsia"/>
                <w:kern w:val="1"/>
                <w:sz w:val="24"/>
              </w:rPr>
              <w:t>③危废贮存间宜采用相同的防渗、防腐工艺（包括防渗、防腐结构或材料），防渗、防腐材料应覆盖所有可能与废物及其渗滤液、渗漏液等接触的构筑物表面；采用不同防渗、防腐工艺应分别建设贮存分区。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kern w:val="1"/>
                <w:sz w:val="24"/>
              </w:rPr>
            </w:pPr>
            <w:r>
              <w:rPr>
                <w:kern w:val="1"/>
                <w:sz w:val="24"/>
              </w:rPr>
              <w:fldChar w:fldCharType="begin"/>
            </w:r>
            <w:r>
              <w:rPr>
                <w:kern w:val="1"/>
                <w:sz w:val="24"/>
              </w:rPr>
              <w:instrText xml:space="preserve"> </w:instrText>
            </w:r>
            <w:r>
              <w:rPr>
                <w:rFonts w:hint="eastAsia"/>
                <w:kern w:val="1"/>
                <w:sz w:val="24"/>
              </w:rPr>
              <w:instrText xml:space="preserve">= 4 \* GB3</w:instrText>
            </w:r>
            <w:r>
              <w:rPr>
                <w:kern w:val="1"/>
                <w:sz w:val="24"/>
              </w:rPr>
              <w:instrText xml:space="preserve"> </w:instrText>
            </w:r>
            <w:r>
              <w:rPr>
                <w:kern w:val="1"/>
                <w:sz w:val="24"/>
              </w:rPr>
              <w:fldChar w:fldCharType="separate"/>
            </w:r>
            <w:r>
              <w:rPr>
                <w:rFonts w:hint="eastAsia"/>
                <w:kern w:val="1"/>
                <w:sz w:val="24"/>
              </w:rPr>
              <w:t>④</w:t>
            </w:r>
            <w:r>
              <w:rPr>
                <w:kern w:val="1"/>
                <w:sz w:val="24"/>
              </w:rPr>
              <w:fldChar w:fldCharType="end"/>
            </w:r>
            <w:r>
              <w:rPr>
                <w:rFonts w:hint="eastAsia"/>
                <w:kern w:val="1"/>
                <w:sz w:val="24"/>
              </w:rPr>
              <w:t>危废贮存间应采取技术和管理措施防止无关人员进入。</w:t>
            </w:r>
          </w:p>
          <w:p>
            <w:pPr>
              <w:spacing w:line="360" w:lineRule="auto"/>
              <w:ind w:firstLine="482"/>
              <w:rPr>
                <w:kern w:val="1"/>
                <w:sz w:val="24"/>
              </w:rPr>
            </w:pPr>
            <w:r>
              <w:rPr>
                <w:rFonts w:hint="eastAsia"/>
                <w:kern w:val="1"/>
                <w:sz w:val="24"/>
              </w:rPr>
              <w:t>⑤危废贮存间不同贮存分区之间应采取隔离措施。隔离措施可根据危险废物特性采用过道、隔板或隔墙等方式。</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6 \* GB3</w:instrText>
            </w:r>
            <w:r>
              <w:rPr>
                <w:kern w:val="1"/>
                <w:sz w:val="24"/>
              </w:rPr>
              <w:instrText xml:space="preserve"> </w:instrText>
            </w:r>
            <w:r>
              <w:rPr>
                <w:kern w:val="1"/>
                <w:sz w:val="24"/>
              </w:rPr>
              <w:fldChar w:fldCharType="separate"/>
            </w:r>
            <w:r>
              <w:rPr>
                <w:rFonts w:hint="eastAsia"/>
                <w:kern w:val="1"/>
                <w:sz w:val="24"/>
              </w:rPr>
              <w:t>⑥</w:t>
            </w:r>
            <w:r>
              <w:rPr>
                <w:kern w:val="1"/>
                <w:sz w:val="24"/>
              </w:rPr>
              <w:fldChar w:fldCharType="end"/>
            </w:r>
            <w:r>
              <w:rPr>
                <w:rFonts w:hint="eastAsia"/>
                <w:kern w:val="1"/>
                <w:sz w:val="24"/>
              </w:rPr>
              <w:t>在贮存间内通过贮存分区方式贮存液态危险废物的（废机油），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w:t>
            </w:r>
          </w:p>
          <w:p>
            <w:pPr>
              <w:spacing w:line="360" w:lineRule="auto"/>
              <w:rPr>
                <w:kern w:val="1"/>
                <w:sz w:val="24"/>
              </w:rPr>
            </w:pPr>
            <w:r>
              <w:rPr>
                <w:rFonts w:hint="eastAsia"/>
                <w:kern w:val="1"/>
                <w:sz w:val="24"/>
              </w:rPr>
              <w:t>的收集要求。</w:t>
            </w:r>
          </w:p>
          <w:p>
            <w:pPr>
              <w:spacing w:line="360" w:lineRule="auto"/>
              <w:ind w:firstLine="482"/>
              <w:rPr>
                <w:kern w:val="1"/>
                <w:sz w:val="24"/>
              </w:rPr>
            </w:pPr>
            <w:r>
              <w:rPr>
                <w:rFonts w:hint="eastAsia"/>
                <w:kern w:val="1"/>
                <w:sz w:val="24"/>
              </w:rPr>
              <w:t>（2）容器和包装物污染控制要求</w:t>
            </w:r>
          </w:p>
          <w:p>
            <w:pPr>
              <w:spacing w:line="360" w:lineRule="auto"/>
              <w:ind w:firstLine="482"/>
              <w:rPr>
                <w:kern w:val="1"/>
                <w:sz w:val="24"/>
              </w:rPr>
            </w:pPr>
            <w:r>
              <w:rPr>
                <w:rFonts w:hint="eastAsia"/>
                <w:kern w:val="1"/>
                <w:sz w:val="24"/>
              </w:rPr>
              <w:t>①废润滑油利用废油桶存放，容器和包装物材质、内衬应与盛装的危险废物相容。</w:t>
            </w:r>
          </w:p>
          <w:p>
            <w:pPr>
              <w:spacing w:line="360" w:lineRule="auto"/>
              <w:ind w:firstLine="482"/>
              <w:rPr>
                <w:kern w:val="1"/>
                <w:sz w:val="24"/>
              </w:rPr>
            </w:pPr>
            <w:r>
              <w:rPr>
                <w:rFonts w:hint="eastAsia"/>
                <w:kern w:val="1"/>
                <w:sz w:val="24"/>
              </w:rPr>
              <w:fldChar w:fldCharType="begin"/>
            </w:r>
            <w:r>
              <w:rPr>
                <w:rFonts w:hint="eastAsia"/>
                <w:kern w:val="1"/>
                <w:sz w:val="24"/>
              </w:rPr>
              <w:instrText xml:space="preserve"> = 2 \* GB3 \* MERGEFORMAT </w:instrText>
            </w:r>
            <w:r>
              <w:rPr>
                <w:rFonts w:hint="eastAsia"/>
                <w:kern w:val="1"/>
                <w:sz w:val="24"/>
              </w:rPr>
              <w:fldChar w:fldCharType="separate"/>
            </w:r>
            <w:r>
              <w:rPr>
                <w:rFonts w:hint="eastAsia"/>
                <w:kern w:val="1"/>
                <w:sz w:val="24"/>
              </w:rPr>
              <w:t>②</w:t>
            </w:r>
            <w:r>
              <w:rPr>
                <w:rFonts w:hint="eastAsia"/>
                <w:kern w:val="1"/>
                <w:sz w:val="24"/>
              </w:rPr>
              <w:fldChar w:fldCharType="end"/>
            </w:r>
            <w:r>
              <w:rPr>
                <w:rFonts w:hint="eastAsia"/>
                <w:kern w:val="1"/>
                <w:sz w:val="24"/>
              </w:rPr>
              <w:t>其容器和包装物应满足相应的防渗、防漏、防腐和强度等要求。</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3 \* GB3</w:instrText>
            </w:r>
            <w:r>
              <w:rPr>
                <w:kern w:val="1"/>
                <w:sz w:val="24"/>
              </w:rPr>
              <w:instrText xml:space="preserve"> </w:instrText>
            </w:r>
            <w:r>
              <w:rPr>
                <w:kern w:val="1"/>
                <w:sz w:val="24"/>
              </w:rPr>
              <w:fldChar w:fldCharType="separate"/>
            </w:r>
            <w:r>
              <w:rPr>
                <w:rFonts w:hint="eastAsia"/>
                <w:kern w:val="1"/>
                <w:sz w:val="24"/>
              </w:rPr>
              <w:t>③</w:t>
            </w:r>
            <w:r>
              <w:rPr>
                <w:kern w:val="1"/>
                <w:sz w:val="24"/>
              </w:rPr>
              <w:fldChar w:fldCharType="end"/>
            </w:r>
            <w:r>
              <w:rPr>
                <w:rFonts w:hint="eastAsia"/>
                <w:kern w:val="1"/>
                <w:sz w:val="24"/>
              </w:rPr>
              <w:t>油桶及其支护结构堆叠码放时不应有明显变形，无破损泄漏。</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4 \* GB3</w:instrText>
            </w:r>
            <w:r>
              <w:rPr>
                <w:kern w:val="1"/>
                <w:sz w:val="24"/>
              </w:rPr>
              <w:instrText xml:space="preserve"> </w:instrText>
            </w:r>
            <w:r>
              <w:rPr>
                <w:kern w:val="1"/>
                <w:sz w:val="24"/>
              </w:rPr>
              <w:fldChar w:fldCharType="separate"/>
            </w:r>
            <w:r>
              <w:rPr>
                <w:rFonts w:hint="eastAsia"/>
                <w:kern w:val="1"/>
                <w:sz w:val="24"/>
              </w:rPr>
              <w:t>④</w:t>
            </w:r>
            <w:r>
              <w:rPr>
                <w:kern w:val="1"/>
                <w:sz w:val="24"/>
              </w:rPr>
              <w:fldChar w:fldCharType="end"/>
            </w:r>
            <w:r>
              <w:rPr>
                <w:rFonts w:hint="eastAsia"/>
                <w:kern w:val="1"/>
                <w:sz w:val="24"/>
              </w:rPr>
              <w:t>柔性容器和包装物堆叠码放时应封口严密，无破损泄漏。</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5 \* GB3</w:instrText>
            </w:r>
            <w:r>
              <w:rPr>
                <w:kern w:val="1"/>
                <w:sz w:val="24"/>
              </w:rPr>
              <w:instrText xml:space="preserve"> </w:instrText>
            </w:r>
            <w:r>
              <w:rPr>
                <w:kern w:val="1"/>
                <w:sz w:val="24"/>
              </w:rPr>
              <w:fldChar w:fldCharType="separate"/>
            </w:r>
            <w:r>
              <w:rPr>
                <w:rFonts w:hint="eastAsia"/>
                <w:kern w:val="1"/>
                <w:sz w:val="24"/>
              </w:rPr>
              <w:t>⑤</w:t>
            </w:r>
            <w:r>
              <w:rPr>
                <w:kern w:val="1"/>
                <w:sz w:val="24"/>
              </w:rPr>
              <w:fldChar w:fldCharType="end"/>
            </w:r>
            <w:r>
              <w:rPr>
                <w:rFonts w:hint="eastAsia"/>
                <w:kern w:val="1"/>
                <w:sz w:val="24"/>
              </w:rPr>
              <w:t>容器内部应留有适当的空间，以适应因温度变化等可能引发的收缩和膨胀，防止其导致容器渗漏或永久变形。</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6 \* GB3</w:instrText>
            </w:r>
            <w:r>
              <w:rPr>
                <w:kern w:val="1"/>
                <w:sz w:val="24"/>
              </w:rPr>
              <w:instrText xml:space="preserve"> </w:instrText>
            </w:r>
            <w:r>
              <w:rPr>
                <w:kern w:val="1"/>
                <w:sz w:val="24"/>
              </w:rPr>
              <w:fldChar w:fldCharType="separate"/>
            </w:r>
            <w:r>
              <w:rPr>
                <w:rFonts w:hint="eastAsia"/>
                <w:kern w:val="1"/>
                <w:sz w:val="24"/>
              </w:rPr>
              <w:t>⑥</w:t>
            </w:r>
            <w:r>
              <w:rPr>
                <w:kern w:val="1"/>
                <w:sz w:val="24"/>
              </w:rPr>
              <w:fldChar w:fldCharType="end"/>
            </w:r>
            <w:r>
              <w:rPr>
                <w:rFonts w:hint="eastAsia"/>
                <w:kern w:val="1"/>
                <w:sz w:val="24"/>
              </w:rPr>
              <w:t>容器和包装物外表面应保持清洁。</w:t>
            </w:r>
          </w:p>
          <w:p>
            <w:pPr>
              <w:spacing w:line="360" w:lineRule="auto"/>
              <w:ind w:firstLine="482"/>
              <w:rPr>
                <w:kern w:val="1"/>
                <w:sz w:val="24"/>
              </w:rPr>
            </w:pPr>
            <w:r>
              <w:rPr>
                <w:rFonts w:hint="eastAsia"/>
                <w:kern w:val="1"/>
                <w:sz w:val="24"/>
              </w:rPr>
              <w:t>（3）贮存过程污染控制要求</w:t>
            </w:r>
          </w:p>
          <w:p>
            <w:pPr>
              <w:spacing w:line="360" w:lineRule="auto"/>
              <w:ind w:firstLine="482"/>
              <w:rPr>
                <w:kern w:val="1"/>
                <w:sz w:val="24"/>
              </w:rPr>
            </w:pPr>
            <w:r>
              <w:rPr>
                <w:rFonts w:hint="eastAsia"/>
                <w:kern w:val="1"/>
                <w:sz w:val="24"/>
              </w:rPr>
              <w:t>1）危废暂存间运行环境管理要求</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1 \* GB3</w:instrText>
            </w:r>
            <w:r>
              <w:rPr>
                <w:kern w:val="1"/>
                <w:sz w:val="24"/>
              </w:rPr>
              <w:instrText xml:space="preserve"> </w:instrText>
            </w:r>
            <w:r>
              <w:rPr>
                <w:kern w:val="1"/>
                <w:sz w:val="24"/>
              </w:rPr>
              <w:fldChar w:fldCharType="separate"/>
            </w:r>
            <w:r>
              <w:rPr>
                <w:rFonts w:hint="eastAsia"/>
                <w:kern w:val="1"/>
                <w:sz w:val="24"/>
              </w:rPr>
              <w:t>①</w:t>
            </w:r>
            <w:r>
              <w:rPr>
                <w:kern w:val="1"/>
                <w:sz w:val="24"/>
              </w:rPr>
              <w:fldChar w:fldCharType="end"/>
            </w:r>
            <w:r>
              <w:rPr>
                <w:rFonts w:hint="eastAsia"/>
                <w:kern w:val="1"/>
                <w:sz w:val="24"/>
              </w:rPr>
              <w:t>废润滑油利用废油桶密封存放。</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2 \* GB3</w:instrText>
            </w:r>
            <w:r>
              <w:rPr>
                <w:kern w:val="1"/>
                <w:sz w:val="24"/>
              </w:rPr>
              <w:instrText xml:space="preserve"> </w:instrText>
            </w:r>
            <w:r>
              <w:rPr>
                <w:kern w:val="1"/>
                <w:sz w:val="24"/>
              </w:rPr>
              <w:fldChar w:fldCharType="separate"/>
            </w:r>
            <w:r>
              <w:rPr>
                <w:rFonts w:hint="eastAsia"/>
                <w:kern w:val="1"/>
                <w:sz w:val="24"/>
              </w:rPr>
              <w:t>②</w:t>
            </w:r>
            <w:r>
              <w:rPr>
                <w:kern w:val="1"/>
                <w:sz w:val="24"/>
              </w:rPr>
              <w:fldChar w:fldCharType="end"/>
            </w:r>
            <w:r>
              <w:rPr>
                <w:rFonts w:hint="eastAsia"/>
                <w:kern w:val="1"/>
                <w:sz w:val="24"/>
              </w:rPr>
              <w:t>危险废物存入危废暂存间前应对危险废物类别和特性与危险废物标签等危险废物识别标志的一致性进行核验，不一致的或类别、特性不明的不应存入。</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3 \* GB3</w:instrText>
            </w:r>
            <w:r>
              <w:rPr>
                <w:kern w:val="1"/>
                <w:sz w:val="24"/>
              </w:rPr>
              <w:instrText xml:space="preserve"> </w:instrText>
            </w:r>
            <w:r>
              <w:rPr>
                <w:kern w:val="1"/>
                <w:sz w:val="24"/>
              </w:rPr>
              <w:fldChar w:fldCharType="separate"/>
            </w:r>
            <w:r>
              <w:rPr>
                <w:rFonts w:hint="eastAsia"/>
                <w:kern w:val="1"/>
                <w:sz w:val="24"/>
              </w:rPr>
              <w:t>③</w:t>
            </w:r>
            <w:r>
              <w:rPr>
                <w:kern w:val="1"/>
                <w:sz w:val="24"/>
              </w:rPr>
              <w:fldChar w:fldCharType="end"/>
            </w:r>
            <w:r>
              <w:rPr>
                <w:rFonts w:hint="eastAsia"/>
                <w:kern w:val="1"/>
                <w:sz w:val="24"/>
              </w:rPr>
              <w:t>应定期检查危险废物的贮存状况，及时清理危废暂存间地面，更换破损泄漏的危险废物贮存容器和包装物，保证危废暂存间的防雨、防风、防扬尘等设施功能完好。</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4 \* GB3</w:instrText>
            </w:r>
            <w:r>
              <w:rPr>
                <w:kern w:val="1"/>
                <w:sz w:val="24"/>
              </w:rPr>
              <w:instrText xml:space="preserve"> </w:instrText>
            </w:r>
            <w:r>
              <w:rPr>
                <w:kern w:val="1"/>
                <w:sz w:val="24"/>
              </w:rPr>
              <w:fldChar w:fldCharType="separate"/>
            </w:r>
            <w:r>
              <w:rPr>
                <w:rFonts w:hint="eastAsia"/>
                <w:kern w:val="1"/>
                <w:sz w:val="24"/>
              </w:rPr>
              <w:t>④</w:t>
            </w:r>
            <w:r>
              <w:rPr>
                <w:kern w:val="1"/>
                <w:sz w:val="24"/>
              </w:rPr>
              <w:fldChar w:fldCharType="end"/>
            </w:r>
            <w:r>
              <w:rPr>
                <w:rFonts w:hint="eastAsia"/>
                <w:kern w:val="1"/>
                <w:sz w:val="24"/>
              </w:rPr>
              <w:t>作业设备及车辆等结束作业离开危废暂存间时，应对其残留的危险废物进行清理，清理的废物或清洗废水应收集处理。</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5 \* GB3</w:instrText>
            </w:r>
            <w:r>
              <w:rPr>
                <w:kern w:val="1"/>
                <w:sz w:val="24"/>
              </w:rPr>
              <w:instrText xml:space="preserve"> </w:instrText>
            </w:r>
            <w:r>
              <w:rPr>
                <w:kern w:val="1"/>
                <w:sz w:val="24"/>
              </w:rPr>
              <w:fldChar w:fldCharType="separate"/>
            </w:r>
            <w:r>
              <w:rPr>
                <w:rFonts w:hint="eastAsia"/>
                <w:kern w:val="1"/>
                <w:sz w:val="24"/>
              </w:rPr>
              <w:t>⑤</w:t>
            </w:r>
            <w:r>
              <w:rPr>
                <w:kern w:val="1"/>
                <w:sz w:val="24"/>
              </w:rPr>
              <w:fldChar w:fldCharType="end"/>
            </w:r>
            <w:r>
              <w:rPr>
                <w:rFonts w:hint="eastAsia"/>
                <w:kern w:val="1"/>
                <w:sz w:val="24"/>
              </w:rPr>
              <w:t>危废暂存间运行期间，应按国家有关标准和规定建立危险废物管理台账并保存。</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6 \* GB3</w:instrText>
            </w:r>
            <w:r>
              <w:rPr>
                <w:kern w:val="1"/>
                <w:sz w:val="24"/>
              </w:rPr>
              <w:instrText xml:space="preserve"> </w:instrText>
            </w:r>
            <w:r>
              <w:rPr>
                <w:kern w:val="1"/>
                <w:sz w:val="24"/>
              </w:rPr>
              <w:fldChar w:fldCharType="separate"/>
            </w:r>
            <w:r>
              <w:rPr>
                <w:rFonts w:hint="eastAsia"/>
                <w:kern w:val="1"/>
                <w:sz w:val="24"/>
              </w:rPr>
              <w:t>⑥</w:t>
            </w:r>
            <w:r>
              <w:rPr>
                <w:kern w:val="1"/>
                <w:sz w:val="24"/>
              </w:rPr>
              <w:fldChar w:fldCharType="end"/>
            </w:r>
            <w:r>
              <w:rPr>
                <w:rFonts w:hint="eastAsia"/>
                <w:kern w:val="1"/>
                <w:sz w:val="24"/>
              </w:rPr>
              <w:t>危废暂存间所有者或运营者应建立贮存设施环境管理制度、管理人员岗位职责制度、设施运行操作制度、人员岗位培训制度等。</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7 \* GB3</w:instrText>
            </w:r>
            <w:r>
              <w:rPr>
                <w:kern w:val="1"/>
                <w:sz w:val="24"/>
              </w:rPr>
              <w:instrText xml:space="preserve"> </w:instrText>
            </w:r>
            <w:r>
              <w:rPr>
                <w:kern w:val="1"/>
                <w:sz w:val="24"/>
              </w:rPr>
              <w:fldChar w:fldCharType="separate"/>
            </w:r>
            <w:r>
              <w:rPr>
                <w:rFonts w:hint="eastAsia"/>
                <w:kern w:val="1"/>
                <w:sz w:val="24"/>
              </w:rPr>
              <w:t>⑦</w:t>
            </w:r>
            <w:r>
              <w:rPr>
                <w:kern w:val="1"/>
                <w:sz w:val="24"/>
              </w:rPr>
              <w:fldChar w:fldCharType="end"/>
            </w:r>
            <w:r>
              <w:rPr>
                <w:rFonts w:hint="eastAsia"/>
                <w:kern w:val="1"/>
                <w:sz w:val="24"/>
              </w:rPr>
              <w:t>危废暂存间所有者或运营者应依据国家土壤和地下水污染防治的有关规定，结合危废暂存间特点建立土壤和地下水污染隐患排查制度，并定期开展隐患排查；发现隐患应及时采取措施消除隐患，并建立档案。</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8 \* GB3</w:instrText>
            </w:r>
            <w:r>
              <w:rPr>
                <w:kern w:val="1"/>
                <w:sz w:val="24"/>
              </w:rPr>
              <w:instrText xml:space="preserve"> </w:instrText>
            </w:r>
            <w:r>
              <w:rPr>
                <w:kern w:val="1"/>
                <w:sz w:val="24"/>
              </w:rPr>
              <w:fldChar w:fldCharType="separate"/>
            </w:r>
            <w:r>
              <w:rPr>
                <w:rFonts w:hint="eastAsia"/>
                <w:kern w:val="1"/>
                <w:sz w:val="24"/>
              </w:rPr>
              <w:t>⑧</w:t>
            </w:r>
            <w:r>
              <w:rPr>
                <w:kern w:val="1"/>
                <w:sz w:val="24"/>
              </w:rPr>
              <w:fldChar w:fldCharType="end"/>
            </w:r>
            <w:r>
              <w:rPr>
                <w:rFonts w:hint="eastAsia"/>
                <w:kern w:val="1"/>
                <w:sz w:val="24"/>
              </w:rPr>
              <w:t>危废暂存间所有者或运营者应建立危废暂存间全部档案，包括设计、施工、验收、运行、监测和环境应急等，应按国家有关档案管理的法律法规进行整理和归档。</w:t>
            </w:r>
          </w:p>
          <w:p>
            <w:pPr>
              <w:spacing w:line="360" w:lineRule="auto"/>
              <w:ind w:firstLine="482"/>
              <w:rPr>
                <w:kern w:val="1"/>
                <w:sz w:val="24"/>
              </w:rPr>
            </w:pPr>
            <w:r>
              <w:rPr>
                <w:rFonts w:hint="eastAsia"/>
                <w:kern w:val="1"/>
                <w:sz w:val="24"/>
              </w:rPr>
              <w:t>2）危废间环境管理要求</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1 \* GB3</w:instrText>
            </w:r>
            <w:r>
              <w:rPr>
                <w:kern w:val="1"/>
                <w:sz w:val="24"/>
              </w:rPr>
              <w:instrText xml:space="preserve"> </w:instrText>
            </w:r>
            <w:r>
              <w:rPr>
                <w:kern w:val="1"/>
                <w:sz w:val="24"/>
              </w:rPr>
              <w:fldChar w:fldCharType="separate"/>
            </w:r>
            <w:r>
              <w:rPr>
                <w:rFonts w:hint="eastAsia"/>
                <w:kern w:val="1"/>
                <w:sz w:val="24"/>
              </w:rPr>
              <w:t>①</w:t>
            </w:r>
            <w:r>
              <w:rPr>
                <w:kern w:val="1"/>
                <w:sz w:val="24"/>
              </w:rPr>
              <w:fldChar w:fldCharType="end"/>
            </w:r>
            <w:r>
              <w:rPr>
                <w:rFonts w:hint="eastAsia"/>
                <w:kern w:val="1"/>
                <w:sz w:val="24"/>
              </w:rPr>
              <w:t>危废暂存间应具有固定的区域边界，并应采取与其他区域进行隔离的措施。</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2 \* GB3</w:instrText>
            </w:r>
            <w:r>
              <w:rPr>
                <w:kern w:val="1"/>
                <w:sz w:val="24"/>
              </w:rPr>
              <w:instrText xml:space="preserve"> </w:instrText>
            </w:r>
            <w:r>
              <w:rPr>
                <w:kern w:val="1"/>
                <w:sz w:val="24"/>
              </w:rPr>
              <w:fldChar w:fldCharType="separate"/>
            </w:r>
            <w:r>
              <w:rPr>
                <w:rFonts w:hint="eastAsia"/>
                <w:kern w:val="1"/>
                <w:sz w:val="24"/>
              </w:rPr>
              <w:t>②</w:t>
            </w:r>
            <w:r>
              <w:rPr>
                <w:kern w:val="1"/>
                <w:sz w:val="24"/>
              </w:rPr>
              <w:fldChar w:fldCharType="end"/>
            </w:r>
            <w:r>
              <w:rPr>
                <w:rFonts w:hint="eastAsia"/>
                <w:kern w:val="1"/>
                <w:sz w:val="24"/>
              </w:rPr>
              <w:t>危废暂存间应采取防风、防雨、防晒和防止危险废物流失、扬散等措施。</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3 \* GB3</w:instrText>
            </w:r>
            <w:r>
              <w:rPr>
                <w:kern w:val="1"/>
                <w:sz w:val="24"/>
              </w:rPr>
              <w:instrText xml:space="preserve"> </w:instrText>
            </w:r>
            <w:r>
              <w:rPr>
                <w:kern w:val="1"/>
                <w:sz w:val="24"/>
              </w:rPr>
              <w:fldChar w:fldCharType="separate"/>
            </w:r>
            <w:r>
              <w:rPr>
                <w:rFonts w:hint="eastAsia"/>
                <w:kern w:val="1"/>
                <w:sz w:val="24"/>
              </w:rPr>
              <w:t>③</w:t>
            </w:r>
            <w:r>
              <w:rPr>
                <w:kern w:val="1"/>
                <w:sz w:val="24"/>
              </w:rPr>
              <w:fldChar w:fldCharType="end"/>
            </w:r>
            <w:r>
              <w:rPr>
                <w:rFonts w:hint="eastAsia"/>
                <w:kern w:val="1"/>
                <w:sz w:val="24"/>
              </w:rPr>
              <w:t>危废暂存间的危险废物应置于容器或包装物中，不应直接散堆。</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4 \* GB3</w:instrText>
            </w:r>
            <w:r>
              <w:rPr>
                <w:kern w:val="1"/>
                <w:sz w:val="24"/>
              </w:rPr>
              <w:instrText xml:space="preserve"> </w:instrText>
            </w:r>
            <w:r>
              <w:rPr>
                <w:kern w:val="1"/>
                <w:sz w:val="24"/>
              </w:rPr>
              <w:fldChar w:fldCharType="separate"/>
            </w:r>
            <w:r>
              <w:rPr>
                <w:rFonts w:hint="eastAsia"/>
                <w:kern w:val="1"/>
                <w:sz w:val="24"/>
              </w:rPr>
              <w:t>④</w:t>
            </w:r>
            <w:r>
              <w:rPr>
                <w:kern w:val="1"/>
                <w:sz w:val="24"/>
              </w:rPr>
              <w:fldChar w:fldCharType="end"/>
            </w:r>
            <w:r>
              <w:rPr>
                <w:rFonts w:hint="eastAsia"/>
                <w:kern w:val="1"/>
                <w:sz w:val="24"/>
              </w:rPr>
              <w:t>危废暂存间应根据危险废物的形态、物理化学性质、包装形式等，采取防渗、防漏等污染防治措施或采用具有相应功能的装置。</w:t>
            </w:r>
          </w:p>
          <w:p>
            <w:pPr>
              <w:spacing w:line="360" w:lineRule="auto"/>
              <w:ind w:firstLine="482"/>
              <w:rPr>
                <w:kern w:val="1"/>
                <w:sz w:val="24"/>
              </w:rPr>
            </w:pPr>
            <w:r>
              <w:rPr>
                <w:kern w:val="1"/>
                <w:sz w:val="24"/>
              </w:rPr>
              <w:fldChar w:fldCharType="begin"/>
            </w:r>
            <w:r>
              <w:rPr>
                <w:kern w:val="1"/>
                <w:sz w:val="24"/>
              </w:rPr>
              <w:instrText xml:space="preserve"> </w:instrText>
            </w:r>
            <w:r>
              <w:rPr>
                <w:rFonts w:hint="eastAsia"/>
                <w:kern w:val="1"/>
                <w:sz w:val="24"/>
              </w:rPr>
              <w:instrText xml:space="preserve">= 5 \* GB3</w:instrText>
            </w:r>
            <w:r>
              <w:rPr>
                <w:kern w:val="1"/>
                <w:sz w:val="24"/>
              </w:rPr>
              <w:instrText xml:space="preserve"> </w:instrText>
            </w:r>
            <w:r>
              <w:rPr>
                <w:kern w:val="1"/>
                <w:sz w:val="24"/>
              </w:rPr>
              <w:fldChar w:fldCharType="separate"/>
            </w:r>
            <w:r>
              <w:rPr>
                <w:rFonts w:hint="eastAsia"/>
                <w:kern w:val="1"/>
                <w:sz w:val="24"/>
              </w:rPr>
              <w:t>⑤</w:t>
            </w:r>
            <w:r>
              <w:rPr>
                <w:kern w:val="1"/>
                <w:sz w:val="24"/>
              </w:rPr>
              <w:fldChar w:fldCharType="end"/>
            </w:r>
            <w:r>
              <w:rPr>
                <w:rFonts w:hint="eastAsia"/>
                <w:kern w:val="1"/>
                <w:sz w:val="24"/>
              </w:rPr>
              <w:t>危废暂存间应及时清运贮存的危险废物，实时贮存量不应超过3吨。</w:t>
            </w:r>
          </w:p>
          <w:p>
            <w:pPr>
              <w:spacing w:line="360" w:lineRule="auto"/>
              <w:ind w:firstLine="482"/>
              <w:rPr>
                <w:kern w:val="1"/>
                <w:sz w:val="24"/>
              </w:rPr>
            </w:pPr>
            <w:r>
              <w:rPr>
                <w:rFonts w:hint="eastAsia"/>
                <w:kern w:val="1"/>
                <w:sz w:val="24"/>
              </w:rPr>
              <w:t>通过以上措施后，项目产生的本项目固体废物均得到妥善处置。因此本项目固废采取的污染防治措施是可行的。</w:t>
            </w:r>
          </w:p>
          <w:p>
            <w:pPr>
              <w:pStyle w:val="50"/>
              <w:ind w:left="420" w:firstLine="0" w:firstLineChars="0"/>
              <w:rPr>
                <w:b/>
                <w:bCs/>
                <w:szCs w:val="24"/>
              </w:rPr>
            </w:pPr>
            <w:r>
              <w:rPr>
                <w:rFonts w:hint="eastAsia"/>
                <w:b/>
                <w:bCs/>
                <w:szCs w:val="24"/>
              </w:rPr>
              <w:t>8、矿物外运交通影响防治措施</w:t>
            </w:r>
          </w:p>
          <w:p>
            <w:pPr>
              <w:tabs>
                <w:tab w:val="left" w:pos="4830"/>
              </w:tabs>
              <w:spacing w:line="360" w:lineRule="auto"/>
              <w:ind w:firstLine="480" w:firstLineChars="200"/>
              <w:rPr>
                <w:sz w:val="24"/>
              </w:rPr>
            </w:pPr>
            <w:r>
              <w:rPr>
                <w:rFonts w:hint="eastAsia"/>
                <w:sz w:val="24"/>
              </w:rPr>
              <w:t>本项目建成后产品外运量为550万t/a，车型以25t载重车辆为主，平均每年需外运220000辆次，折合733辆次/d。项目货运主干道矿山大道为新修建道路，主要是为沿线各类矿山服务，车流量整体较小，项目建成后虽然会对矿山大道增加一定的车辆负荷，但总体影响不大。因此本项目矿物外运产生的交通影响较小。</w:t>
            </w:r>
          </w:p>
          <w:p>
            <w:pPr>
              <w:tabs>
                <w:tab w:val="left" w:pos="4830"/>
              </w:tabs>
              <w:spacing w:line="360" w:lineRule="auto"/>
              <w:rPr>
                <w:sz w:val="24"/>
              </w:rPr>
            </w:pPr>
            <w:r>
              <w:rPr>
                <w:rFonts w:hint="eastAsia"/>
                <w:sz w:val="24"/>
              </w:rPr>
              <w:t>为进一步减少项目外运所产生的交通影响。本次环评提出以下相关管理要求：</w:t>
            </w:r>
          </w:p>
          <w:p>
            <w:pPr>
              <w:tabs>
                <w:tab w:val="left" w:pos="4830"/>
              </w:tabs>
              <w:spacing w:line="360" w:lineRule="auto"/>
              <w:ind w:firstLine="480" w:firstLineChars="200"/>
              <w:rPr>
                <w:sz w:val="24"/>
              </w:rPr>
            </w:pPr>
            <w:r>
              <w:rPr>
                <w:rFonts w:hint="eastAsia"/>
                <w:sz w:val="24"/>
              </w:rPr>
              <w:t>①项目运输车辆驶出场区出口前均需进行车辆清洗。</w:t>
            </w:r>
          </w:p>
          <w:p>
            <w:pPr>
              <w:tabs>
                <w:tab w:val="left" w:pos="4830"/>
              </w:tabs>
              <w:spacing w:line="360" w:lineRule="auto"/>
              <w:ind w:firstLine="480" w:firstLineChars="200"/>
              <w:rPr>
                <w:sz w:val="24"/>
              </w:rPr>
            </w:pPr>
            <w:r>
              <w:rPr>
                <w:rFonts w:hint="eastAsia"/>
                <w:sz w:val="24"/>
              </w:rPr>
              <w:t>②出场满载车辆必须加盖篷布，严禁超载超高，外运道路行驶路段降低车速，防止洒漏；</w:t>
            </w:r>
          </w:p>
          <w:p>
            <w:pPr>
              <w:tabs>
                <w:tab w:val="left" w:pos="4830"/>
              </w:tabs>
              <w:spacing w:line="360" w:lineRule="auto"/>
              <w:ind w:firstLine="480" w:firstLineChars="200"/>
              <w:rPr>
                <w:sz w:val="24"/>
              </w:rPr>
            </w:pPr>
            <w:r>
              <w:rPr>
                <w:rFonts w:hint="eastAsia"/>
                <w:sz w:val="24"/>
              </w:rPr>
              <w:t>③严格控制矿物外运出厂时间，尽量避免运输车辆装载产品夜间出场，要求出厂车辆在矿山大道运行途中途径村镇时应降低车速，严禁鸣笛。</w:t>
            </w:r>
          </w:p>
          <w:p>
            <w:pPr>
              <w:tabs>
                <w:tab w:val="left" w:pos="4830"/>
              </w:tabs>
              <w:spacing w:line="360" w:lineRule="auto"/>
              <w:ind w:firstLine="480" w:firstLineChars="200"/>
            </w:pPr>
            <w:r>
              <w:rPr>
                <w:rFonts w:hint="eastAsia"/>
                <w:sz w:val="24"/>
              </w:rPr>
              <w:t>采取以上措施后，可有效项目矿物外运产生的交通影响。因此项目交通影响防治措施可行。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dxa"/>
            <w:vAlign w:val="center"/>
          </w:tcPr>
          <w:p>
            <w:pPr>
              <w:jc w:val="center"/>
              <w:rPr>
                <w:bCs/>
                <w:spacing w:val="10"/>
                <w:szCs w:val="21"/>
              </w:rPr>
            </w:pPr>
            <w:r>
              <w:rPr>
                <w:rFonts w:hint="eastAsia"/>
                <w:bCs/>
                <w:szCs w:val="21"/>
              </w:rPr>
              <w:t>其他</w:t>
            </w:r>
          </w:p>
        </w:tc>
        <w:tc>
          <w:tcPr>
            <w:tcW w:w="8540" w:type="dxa"/>
            <w:vAlign w:val="center"/>
          </w:tcPr>
          <w:p>
            <w:pPr>
              <w:pStyle w:val="63"/>
              <w:ind w:firstLine="482"/>
              <w:rPr>
                <w:b/>
                <w:bCs/>
              </w:rPr>
            </w:pPr>
            <w:r>
              <w:rPr>
                <w:rFonts w:hint="eastAsia"/>
                <w:b/>
                <w:bCs/>
              </w:rPr>
              <w:t>1、闭矿期生态保护及生态恢复措施</w:t>
            </w:r>
          </w:p>
          <w:p>
            <w:pPr>
              <w:pStyle w:val="63"/>
              <w:ind w:firstLine="480"/>
            </w:pPr>
            <w:r>
              <w:rPr>
                <w:rFonts w:hint="eastAsia"/>
              </w:rPr>
              <w:t>青龙山北段杜家圈南冶镁白云岩露天开采结束后对露天采区、工业场地、矿山道路进行土地恢复与利用，具体措施包括矿区现状存有坑道回填，露天开采区、矿山道路平整以及植被恢复、工业场地建构筑物、硬化地面拆除清理工程、土地平整、覆土工程。通过以上土地复垦措施，可达到生态修复的目的。</w:t>
            </w:r>
          </w:p>
          <w:p>
            <w:pPr>
              <w:pStyle w:val="63"/>
              <w:ind w:firstLine="480"/>
            </w:pPr>
            <w:r>
              <w:rPr>
                <w:rFonts w:hint="eastAsia"/>
              </w:rPr>
              <w:t>（1）土地复垦区与复垦责任范围</w:t>
            </w:r>
          </w:p>
          <w:p>
            <w:pPr>
              <w:pStyle w:val="63"/>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复垦区范围由已损毁和拟损毁的土地共同构成的区域。</w:t>
            </w:r>
          </w:p>
          <w:p>
            <w:pPr>
              <w:pStyle w:val="63"/>
              <w:ind w:firstLine="564"/>
            </w:pPr>
            <w:r>
              <w:rPr>
                <w:rFonts w:hint="eastAsia"/>
                <w:spacing w:val="21"/>
              </w:rPr>
              <w:t>本矿山已损毁土地为现有的坑道和现有塌陷区。其中现有坑道面积为</w:t>
            </w:r>
            <w:r>
              <w:t>4.29hm</w:t>
            </w:r>
            <w:r>
              <w:rPr>
                <w:vertAlign w:val="superscript"/>
              </w:rPr>
              <w:t>2</w:t>
            </w:r>
            <w:r>
              <w:rPr>
                <w:rFonts w:hint="eastAsia"/>
              </w:rPr>
              <w:t>（</w:t>
            </w:r>
            <w:r>
              <w:rPr>
                <w:rFonts w:hint="eastAsia"/>
                <w:spacing w:val="-24"/>
              </w:rPr>
              <w:t>其中</w:t>
            </w:r>
            <w:r>
              <w:t>2.85hm</w:t>
            </w:r>
            <w:r>
              <w:rPr>
                <w:vertAlign w:val="superscript"/>
              </w:rPr>
              <w:t>2</w:t>
            </w:r>
            <w:r>
              <w:rPr>
                <w:rFonts w:hint="eastAsia"/>
              </w:rPr>
              <w:t>位于本项目矿山开采产生的塌陷区之内，</w:t>
            </w:r>
            <w:r>
              <w:t>1.44hm</w:t>
            </w:r>
            <w:r>
              <w:rPr>
                <w:vertAlign w:val="superscript"/>
              </w:rPr>
              <w:t>2</w:t>
            </w:r>
            <w:r>
              <w:rPr>
                <w:rFonts w:hint="eastAsia"/>
              </w:rPr>
              <w:t>位于本项目塌陷区之外），</w:t>
            </w:r>
            <w:r>
              <w:rPr>
                <w:rFonts w:hint="eastAsia"/>
                <w:spacing w:val="-7"/>
              </w:rPr>
              <w:t>现有塌陷区面积为</w:t>
            </w:r>
            <w:r>
              <w:t>1.78hm</w:t>
            </w:r>
            <w:r>
              <w:rPr>
                <w:vertAlign w:val="superscript"/>
              </w:rPr>
              <w:t>2</w:t>
            </w:r>
            <w:r>
              <w:rPr>
                <w:rFonts w:hint="eastAsia"/>
              </w:rPr>
              <w:t>（全部位于本项目矿山开采产生的塌陷</w:t>
            </w:r>
            <w:r>
              <w:rPr>
                <w:rFonts w:hint="eastAsia"/>
                <w:spacing w:val="-5"/>
              </w:rPr>
              <w:t>区之内，且</w:t>
            </w:r>
            <w:r>
              <w:t>1.66hm</w:t>
            </w:r>
            <w:r>
              <w:rPr>
                <w:vertAlign w:val="superscript"/>
              </w:rPr>
              <w:t>2</w:t>
            </w:r>
            <w:r>
              <w:rPr>
                <w:rFonts w:hint="eastAsia"/>
              </w:rPr>
              <w:t>与已有坑道重叠，</w:t>
            </w:r>
            <w:r>
              <w:t>0.12hm</w:t>
            </w:r>
            <w:r>
              <w:rPr>
                <w:vertAlign w:val="superscript"/>
              </w:rPr>
              <w:t>2</w:t>
            </w:r>
            <w:r>
              <w:rPr>
                <w:rFonts w:hint="eastAsia"/>
              </w:rPr>
              <w:t>不与已有坑道重叠），因此该矿</w:t>
            </w:r>
            <w:r>
              <w:rPr>
                <w:rFonts w:hint="eastAsia"/>
                <w:spacing w:val="-3"/>
              </w:rPr>
              <w:t>山已损毁土地面积为</w:t>
            </w:r>
            <w:r>
              <w:t>4.29hm</w:t>
            </w:r>
            <w:r>
              <w:rPr>
                <w:vertAlign w:val="superscript"/>
              </w:rPr>
              <w:t>2</w:t>
            </w:r>
            <w:r>
              <w:t>+0.12hm</w:t>
            </w:r>
            <w:r>
              <w:rPr>
                <w:vertAlign w:val="superscript"/>
              </w:rPr>
              <w:t>2</w:t>
            </w:r>
            <w:r>
              <w:t>=4.41hm</w:t>
            </w:r>
            <w:r>
              <w:rPr>
                <w:vertAlign w:val="superscript"/>
              </w:rPr>
              <w:t>2</w:t>
            </w:r>
            <w:r>
              <w:rPr>
                <w:rFonts w:hint="eastAsia"/>
              </w:rPr>
              <w:t>（</w:t>
            </w:r>
            <w:r>
              <w:rPr>
                <w:rFonts w:hint="eastAsia"/>
                <w:spacing w:val="-10"/>
              </w:rPr>
              <w:t>其中</w:t>
            </w:r>
            <w:r>
              <w:t>2.97hm</w:t>
            </w:r>
            <w:r>
              <w:rPr>
                <w:vertAlign w:val="superscript"/>
              </w:rPr>
              <w:t>2</w:t>
            </w:r>
            <w:r>
              <w:rPr>
                <w:rFonts w:hint="eastAsia"/>
              </w:rPr>
              <w:t>与本项目矿山开采产生的塌陷区重叠，</w:t>
            </w:r>
            <w:r>
              <w:t>1.44hm</w:t>
            </w:r>
            <w:r>
              <w:rPr>
                <w:vertAlign w:val="superscript"/>
              </w:rPr>
              <w:t>2</w:t>
            </w:r>
            <w:r>
              <w:rPr>
                <w:rFonts w:hint="eastAsia"/>
              </w:rPr>
              <w:t>不重叠）。</w:t>
            </w:r>
          </w:p>
          <w:p>
            <w:pPr>
              <w:pStyle w:val="63"/>
              <w:ind w:firstLine="452"/>
            </w:pPr>
            <w:r>
              <w:rPr>
                <w:rFonts w:hint="eastAsia"/>
                <w:spacing w:val="-7"/>
              </w:rPr>
              <w:t>拟损毁土地为露天开采区、工业场地、矿山道路以及预测塌陷区。其中露天</w:t>
            </w:r>
            <w:r>
              <w:rPr>
                <w:rFonts w:hint="eastAsia"/>
                <w:spacing w:val="7"/>
              </w:rPr>
              <w:t>开采区面积为</w:t>
            </w:r>
            <w:r>
              <w:t>31.31hm</w:t>
            </w:r>
            <w:r>
              <w:rPr>
                <w:vertAlign w:val="superscript"/>
              </w:rPr>
              <w:t>2</w:t>
            </w:r>
            <w:r>
              <w:rPr>
                <w:rFonts w:hint="eastAsia"/>
              </w:rPr>
              <w:t>（全部位于预测塌陷区范围之内，面积不重复计算），</w:t>
            </w:r>
            <w:r>
              <w:rPr>
                <w:rFonts w:hint="eastAsia"/>
                <w:spacing w:val="-10"/>
              </w:rPr>
              <w:t>工业场地面积为</w:t>
            </w:r>
            <w:r>
              <w:t>10.28hm</w:t>
            </w:r>
            <w:r>
              <w:rPr>
                <w:vertAlign w:val="superscript"/>
              </w:rPr>
              <w:t>2</w:t>
            </w:r>
            <w:r>
              <w:rPr>
                <w:rFonts w:hint="eastAsia"/>
                <w:spacing w:val="-9"/>
              </w:rPr>
              <w:t>，矿山道路面积为</w:t>
            </w:r>
            <w:r>
              <w:t>0.93hm</w:t>
            </w:r>
            <w:r>
              <w:rPr>
                <w:vertAlign w:val="superscript"/>
              </w:rPr>
              <w:t>2</w:t>
            </w:r>
            <w:r>
              <w:rPr>
                <w:rFonts w:hint="eastAsia"/>
              </w:rPr>
              <w:t>（此面积已扣除预测塌陷区范围内的面积），</w:t>
            </w:r>
            <w:r>
              <w:rPr>
                <w:rFonts w:hint="eastAsia"/>
                <w:spacing w:val="-8"/>
              </w:rPr>
              <w:t>预测塌陷区面积为</w:t>
            </w:r>
            <w:r>
              <w:t>169.03hm</w:t>
            </w:r>
            <w:r>
              <w:rPr>
                <w:vertAlign w:val="superscript"/>
              </w:rPr>
              <w:t>2</w:t>
            </w:r>
            <w:r>
              <w:rPr>
                <w:rFonts w:hint="eastAsia"/>
              </w:rPr>
              <w:t>，因此该矿山拟损毁土地面积为</w:t>
            </w:r>
            <w:r>
              <w:t>10.28hm</w:t>
            </w:r>
            <w:r>
              <w:rPr>
                <w:vertAlign w:val="superscript"/>
              </w:rPr>
              <w:t>2</w:t>
            </w:r>
            <w:r>
              <w:t>+0.93hm</w:t>
            </w:r>
            <w:r>
              <w:rPr>
                <w:vertAlign w:val="superscript"/>
              </w:rPr>
              <w:t>2</w:t>
            </w:r>
            <w:r>
              <w:t>+169.03hm</w:t>
            </w:r>
            <w:r>
              <w:rPr>
                <w:vertAlign w:val="superscript"/>
              </w:rPr>
              <w:t>2</w:t>
            </w:r>
            <w:r>
              <w:t>=180.24hm</w:t>
            </w:r>
            <w:r>
              <w:rPr>
                <w:vertAlign w:val="superscript"/>
              </w:rPr>
              <w:t>2</w:t>
            </w:r>
            <w:r>
              <w:rPr>
                <w:rFonts w:hint="eastAsia"/>
              </w:rPr>
              <w:t>（此面积已扣除重叠区域面积）。</w:t>
            </w:r>
          </w:p>
          <w:p>
            <w:pPr>
              <w:pStyle w:val="63"/>
              <w:ind w:firstLine="468"/>
            </w:pPr>
            <w:r>
              <w:rPr>
                <w:rFonts w:hint="eastAsia"/>
                <w:spacing w:val="-3"/>
              </w:rPr>
              <w:t>因此该矿山复垦区范围为</w:t>
            </w:r>
            <w:r>
              <w:t>1.44hm</w:t>
            </w:r>
            <w:r>
              <w:rPr>
                <w:vertAlign w:val="superscript"/>
              </w:rPr>
              <w:t>2</w:t>
            </w:r>
            <w:r>
              <w:t>+180.24hm</w:t>
            </w:r>
            <w:r>
              <w:rPr>
                <w:vertAlign w:val="superscript"/>
              </w:rPr>
              <w:t>2</w:t>
            </w:r>
            <w:r>
              <w:t>=181.68hm</w:t>
            </w:r>
            <w:r>
              <w:rPr>
                <w:vertAlign w:val="superscript"/>
              </w:rPr>
              <w:t>2</w:t>
            </w:r>
            <w:r>
              <w:rPr>
                <w:rFonts w:hint="eastAsia"/>
              </w:rPr>
              <w:t>。复垦区面积组成</w:t>
            </w:r>
            <w:r>
              <w:rPr>
                <w:rFonts w:hint="eastAsia"/>
                <w:spacing w:val="-8"/>
              </w:rPr>
              <w:t>及地类统计见下表</w:t>
            </w:r>
            <w:r>
              <w:rPr>
                <w:rFonts w:hint="eastAsia"/>
              </w:rPr>
              <w:t>。</w:t>
            </w:r>
          </w:p>
          <w:p>
            <w:pPr>
              <w:pStyle w:val="50"/>
              <w:numPr>
                <w:ilvl w:val="0"/>
                <w:numId w:val="2"/>
              </w:numPr>
              <w:snapToGrid w:val="0"/>
              <w:spacing w:line="240" w:lineRule="auto"/>
              <w:ind w:firstLineChars="0"/>
              <w:jc w:val="center"/>
              <w:rPr>
                <w:b/>
                <w:bCs/>
              </w:rPr>
            </w:pPr>
            <w:r>
              <w:rPr>
                <w:rFonts w:hint="eastAsia"/>
                <w:b/>
                <w:bCs/>
              </w:rPr>
              <w:t>复垦区面积组成及地类统计表</w:t>
            </w:r>
          </w:p>
          <w:tbl>
            <w:tblPr>
              <w:tblStyle w:val="22"/>
              <w:tblW w:w="829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61"/>
              <w:gridCol w:w="581"/>
              <w:gridCol w:w="912"/>
              <w:gridCol w:w="746"/>
              <w:gridCol w:w="1080"/>
              <w:gridCol w:w="745"/>
              <w:gridCol w:w="1327"/>
              <w:gridCol w:w="1246"/>
              <w:gridCol w:w="10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2054" w:type="dxa"/>
                  <w:gridSpan w:val="3"/>
                  <w:vMerge w:val="restart"/>
                  <w:shd w:val="clear" w:color="auto" w:fill="auto"/>
                  <w:vAlign w:val="center"/>
                </w:tcPr>
                <w:p>
                  <w:pPr>
                    <w:autoSpaceDE w:val="0"/>
                    <w:autoSpaceDN w:val="0"/>
                    <w:spacing w:line="240" w:lineRule="exact"/>
                    <w:jc w:val="center"/>
                    <w:rPr>
                      <w:kern w:val="0"/>
                      <w:szCs w:val="21"/>
                    </w:rPr>
                  </w:pPr>
                  <w:r>
                    <w:rPr>
                      <w:rFonts w:hint="eastAsia"/>
                      <w:kern w:val="0"/>
                      <w:szCs w:val="21"/>
                    </w:rPr>
                    <w:t>项目</w:t>
                  </w:r>
                </w:p>
              </w:tc>
              <w:tc>
                <w:tcPr>
                  <w:tcW w:w="3898" w:type="dxa"/>
                  <w:gridSpan w:val="4"/>
                  <w:shd w:val="clear" w:color="auto" w:fill="auto"/>
                  <w:vAlign w:val="center"/>
                </w:tcPr>
                <w:p>
                  <w:pPr>
                    <w:autoSpaceDE w:val="0"/>
                    <w:autoSpaceDN w:val="0"/>
                    <w:spacing w:line="240" w:lineRule="exact"/>
                    <w:jc w:val="center"/>
                    <w:rPr>
                      <w:kern w:val="0"/>
                      <w:szCs w:val="21"/>
                    </w:rPr>
                  </w:pPr>
                  <w:r>
                    <w:rPr>
                      <w:rFonts w:hint="eastAsia"/>
                      <w:kern w:val="0"/>
                      <w:szCs w:val="21"/>
                    </w:rPr>
                    <w:t>损毁类型</w:t>
                  </w:r>
                </w:p>
              </w:tc>
              <w:tc>
                <w:tcPr>
                  <w:tcW w:w="2342" w:type="dxa"/>
                  <w:gridSpan w:val="2"/>
                  <w:shd w:val="clear" w:color="auto" w:fill="auto"/>
                  <w:vAlign w:val="center"/>
                </w:tcPr>
                <w:p>
                  <w:pPr>
                    <w:autoSpaceDE w:val="0"/>
                    <w:autoSpaceDN w:val="0"/>
                    <w:spacing w:line="240" w:lineRule="exact"/>
                    <w:jc w:val="center"/>
                    <w:rPr>
                      <w:kern w:val="0"/>
                      <w:szCs w:val="21"/>
                    </w:rPr>
                  </w:pPr>
                  <w:r>
                    <w:rPr>
                      <w:rFonts w:hint="eastAsia"/>
                      <w:kern w:val="0"/>
                      <w:szCs w:val="21"/>
                    </w:rPr>
                    <w:t>损毁面积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2054" w:type="dxa"/>
                  <w:gridSpan w:val="3"/>
                  <w:vMerge w:val="continue"/>
                  <w:shd w:val="clear" w:color="auto" w:fill="auto"/>
                  <w:vAlign w:val="center"/>
                </w:tcPr>
                <w:p>
                  <w:pPr>
                    <w:widowControl/>
                    <w:spacing w:line="240" w:lineRule="exact"/>
                    <w:jc w:val="center"/>
                    <w:rPr>
                      <w:kern w:val="0"/>
                      <w:szCs w:val="21"/>
                    </w:rPr>
                  </w:pPr>
                </w:p>
              </w:tc>
              <w:tc>
                <w:tcPr>
                  <w:tcW w:w="1826" w:type="dxa"/>
                  <w:gridSpan w:val="2"/>
                  <w:shd w:val="clear" w:color="auto" w:fill="auto"/>
                  <w:vAlign w:val="center"/>
                </w:tcPr>
                <w:p>
                  <w:pPr>
                    <w:autoSpaceDE w:val="0"/>
                    <w:autoSpaceDN w:val="0"/>
                    <w:spacing w:line="240" w:lineRule="exact"/>
                    <w:jc w:val="center"/>
                    <w:rPr>
                      <w:kern w:val="0"/>
                      <w:szCs w:val="21"/>
                    </w:rPr>
                  </w:pPr>
                  <w:r>
                    <w:rPr>
                      <w:rFonts w:hint="eastAsia"/>
                      <w:kern w:val="0"/>
                      <w:szCs w:val="21"/>
                    </w:rPr>
                    <w:t>一级地类</w:t>
                  </w:r>
                </w:p>
              </w:tc>
              <w:tc>
                <w:tcPr>
                  <w:tcW w:w="2072" w:type="dxa"/>
                  <w:gridSpan w:val="2"/>
                  <w:shd w:val="clear" w:color="auto" w:fill="auto"/>
                  <w:vAlign w:val="center"/>
                </w:tcPr>
                <w:p>
                  <w:pPr>
                    <w:autoSpaceDE w:val="0"/>
                    <w:autoSpaceDN w:val="0"/>
                    <w:spacing w:line="240" w:lineRule="exact"/>
                    <w:jc w:val="center"/>
                    <w:rPr>
                      <w:kern w:val="0"/>
                      <w:szCs w:val="21"/>
                    </w:rPr>
                  </w:pPr>
                  <w:r>
                    <w:rPr>
                      <w:rFonts w:hint="eastAsia"/>
                      <w:kern w:val="0"/>
                      <w:szCs w:val="21"/>
                    </w:rPr>
                    <w:t>二级地类</w:t>
                  </w:r>
                </w:p>
              </w:tc>
              <w:tc>
                <w:tcPr>
                  <w:tcW w:w="2342" w:type="dxa"/>
                  <w:gridSpan w:val="2"/>
                  <w:shd w:val="clear" w:color="auto" w:fill="auto"/>
                  <w:vAlign w:val="center"/>
                </w:tcPr>
                <w:p>
                  <w:pPr>
                    <w:autoSpaceDE w:val="0"/>
                    <w:autoSpaceDN w:val="0"/>
                    <w:spacing w:line="240" w:lineRule="exact"/>
                    <w:jc w:val="center"/>
                    <w:rPr>
                      <w:kern w:val="0"/>
                      <w:szCs w:val="21"/>
                    </w:rPr>
                  </w:pPr>
                  <w:r>
                    <w:rPr>
                      <w:rFonts w:hint="eastAsia"/>
                      <w:kern w:val="0"/>
                      <w:szCs w:val="21"/>
                    </w:rPr>
                    <w:t>（</w:t>
                  </w:r>
                  <w:r>
                    <w:rPr>
                      <w:kern w:val="0"/>
                      <w:szCs w:val="21"/>
                    </w:rPr>
                    <w:t>hm</w:t>
                  </w:r>
                  <w:r>
                    <w:rPr>
                      <w:kern w:val="0"/>
                      <w:szCs w:val="21"/>
                      <w:vertAlign w:val="superscript"/>
                    </w:rPr>
                    <w:t>2</w:t>
                  </w:r>
                  <w:r>
                    <w:rPr>
                      <w:rFonts w:hint="eastAsia"/>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已损毁</w:t>
                  </w:r>
                </w:p>
              </w:tc>
              <w:tc>
                <w:tcPr>
                  <w:tcW w:w="581"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挖损区</w:t>
                  </w:r>
                </w:p>
              </w:tc>
              <w:tc>
                <w:tcPr>
                  <w:tcW w:w="912"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坑道（塌陷区</w:t>
                  </w:r>
                </w:p>
                <w:p>
                  <w:pPr>
                    <w:autoSpaceDE w:val="0"/>
                    <w:autoSpaceDN w:val="0"/>
                    <w:spacing w:line="240" w:lineRule="exact"/>
                    <w:jc w:val="center"/>
                    <w:rPr>
                      <w:kern w:val="0"/>
                      <w:szCs w:val="21"/>
                    </w:rPr>
                  </w:pPr>
                  <w:r>
                    <w:rPr>
                      <w:rFonts w:hint="eastAsia"/>
                      <w:kern w:val="0"/>
                      <w:szCs w:val="21"/>
                    </w:rPr>
                    <w:t>范围以外）</w:t>
                  </w:r>
                </w:p>
              </w:tc>
              <w:tc>
                <w:tcPr>
                  <w:tcW w:w="746" w:type="dxa"/>
                  <w:vMerge w:val="restart"/>
                  <w:shd w:val="clear" w:color="auto" w:fill="auto"/>
                  <w:vAlign w:val="center"/>
                </w:tcPr>
                <w:p>
                  <w:pPr>
                    <w:autoSpaceDE w:val="0"/>
                    <w:autoSpaceDN w:val="0"/>
                    <w:spacing w:line="240" w:lineRule="exact"/>
                    <w:jc w:val="center"/>
                    <w:rPr>
                      <w:kern w:val="0"/>
                      <w:szCs w:val="21"/>
                    </w:rPr>
                  </w:pPr>
                  <w:r>
                    <w:rPr>
                      <w:kern w:val="0"/>
                      <w:szCs w:val="21"/>
                    </w:rPr>
                    <w:t>04</w:t>
                  </w:r>
                </w:p>
              </w:tc>
              <w:tc>
                <w:tcPr>
                  <w:tcW w:w="1080"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草地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0401</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天然牧草地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0.24</w:t>
                  </w:r>
                </w:p>
              </w:tc>
              <w:tc>
                <w:tcPr>
                  <w:tcW w:w="1096" w:type="dxa"/>
                  <w:vMerge w:val="restart"/>
                  <w:shd w:val="clear" w:color="auto" w:fill="auto"/>
                  <w:vAlign w:val="center"/>
                </w:tcPr>
                <w:p>
                  <w:pPr>
                    <w:autoSpaceDE w:val="0"/>
                    <w:autoSpaceDN w:val="0"/>
                    <w:spacing w:line="240" w:lineRule="exact"/>
                    <w:jc w:val="center"/>
                    <w:rPr>
                      <w:kern w:val="0"/>
                      <w:szCs w:val="21"/>
                    </w:rPr>
                  </w:pPr>
                  <w:r>
                    <w:rPr>
                      <w:kern w:val="0"/>
                      <w:szCs w:val="21"/>
                    </w:rPr>
                    <w:t>1.44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continue"/>
                  <w:shd w:val="clear" w:color="auto" w:fill="auto"/>
                  <w:vAlign w:val="center"/>
                </w:tcPr>
                <w:p>
                  <w:pPr>
                    <w:widowControl/>
                    <w:spacing w:line="240" w:lineRule="exact"/>
                    <w:jc w:val="center"/>
                    <w:rPr>
                      <w:kern w:val="0"/>
                      <w:szCs w:val="21"/>
                    </w:rPr>
                  </w:pPr>
                </w:p>
              </w:tc>
              <w:tc>
                <w:tcPr>
                  <w:tcW w:w="1080" w:type="dxa"/>
                  <w:vMerge w:val="continue"/>
                  <w:shd w:val="clear" w:color="auto" w:fill="auto"/>
                  <w:vAlign w:val="center"/>
                </w:tcPr>
                <w:p>
                  <w:pPr>
                    <w:widowControl/>
                    <w:spacing w:line="240" w:lineRule="exact"/>
                    <w:jc w:val="center"/>
                    <w:rPr>
                      <w:kern w:val="0"/>
                      <w:szCs w:val="21"/>
                    </w:rPr>
                  </w:pPr>
                </w:p>
              </w:tc>
              <w:tc>
                <w:tcPr>
                  <w:tcW w:w="745" w:type="dxa"/>
                  <w:shd w:val="clear" w:color="auto" w:fill="auto"/>
                  <w:vAlign w:val="center"/>
                </w:tcPr>
                <w:p>
                  <w:pPr>
                    <w:autoSpaceDE w:val="0"/>
                    <w:autoSpaceDN w:val="0"/>
                    <w:spacing w:line="240" w:lineRule="exact"/>
                    <w:jc w:val="center"/>
                    <w:rPr>
                      <w:kern w:val="0"/>
                      <w:szCs w:val="21"/>
                    </w:rPr>
                  </w:pPr>
                  <w:r>
                    <w:rPr>
                      <w:kern w:val="0"/>
                      <w:szCs w:val="21"/>
                    </w:rPr>
                    <w:t>0404</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其他草地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1.20</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6056" w:type="dxa"/>
                  <w:gridSpan w:val="6"/>
                  <w:shd w:val="clear" w:color="auto" w:fill="auto"/>
                  <w:vAlign w:val="center"/>
                </w:tcPr>
                <w:p>
                  <w:pPr>
                    <w:autoSpaceDE w:val="0"/>
                    <w:autoSpaceDN w:val="0"/>
                    <w:spacing w:line="240" w:lineRule="exact"/>
                    <w:jc w:val="center"/>
                    <w:rPr>
                      <w:kern w:val="0"/>
                      <w:szCs w:val="21"/>
                    </w:rPr>
                  </w:pPr>
                  <w:r>
                    <w:rPr>
                      <w:rFonts w:hint="eastAsia"/>
                      <w:kern w:val="0"/>
                      <w:szCs w:val="21"/>
                    </w:rPr>
                    <w:t>小计</w:t>
                  </w:r>
                </w:p>
              </w:tc>
              <w:tc>
                <w:tcPr>
                  <w:tcW w:w="1096" w:type="dxa"/>
                  <w:shd w:val="clear" w:color="auto" w:fill="auto"/>
                  <w:vAlign w:val="center"/>
                </w:tcPr>
                <w:p>
                  <w:pPr>
                    <w:autoSpaceDE w:val="0"/>
                    <w:autoSpaceDN w:val="0"/>
                    <w:spacing w:line="240" w:lineRule="exact"/>
                    <w:jc w:val="center"/>
                    <w:rPr>
                      <w:kern w:val="0"/>
                      <w:szCs w:val="21"/>
                    </w:rPr>
                  </w:pPr>
                  <w:r>
                    <w:rPr>
                      <w:kern w:val="0"/>
                      <w:szCs w:val="21"/>
                    </w:rPr>
                    <w:t>1.44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拟损毁</w:t>
                  </w:r>
                </w:p>
              </w:tc>
              <w:tc>
                <w:tcPr>
                  <w:tcW w:w="581"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压占区</w:t>
                  </w:r>
                </w:p>
              </w:tc>
              <w:tc>
                <w:tcPr>
                  <w:tcW w:w="912"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工业场地</w:t>
                  </w:r>
                </w:p>
              </w:tc>
              <w:tc>
                <w:tcPr>
                  <w:tcW w:w="746" w:type="dxa"/>
                  <w:shd w:val="clear" w:color="auto" w:fill="auto"/>
                  <w:vAlign w:val="center"/>
                </w:tcPr>
                <w:p>
                  <w:pPr>
                    <w:autoSpaceDE w:val="0"/>
                    <w:autoSpaceDN w:val="0"/>
                    <w:spacing w:line="240" w:lineRule="exact"/>
                    <w:jc w:val="center"/>
                    <w:rPr>
                      <w:kern w:val="0"/>
                      <w:szCs w:val="21"/>
                    </w:rPr>
                  </w:pPr>
                  <w:r>
                    <w:rPr>
                      <w:kern w:val="0"/>
                      <w:szCs w:val="21"/>
                    </w:rPr>
                    <w:t>01</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耕地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0103</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旱地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0.61</w:t>
                  </w:r>
                </w:p>
              </w:tc>
              <w:tc>
                <w:tcPr>
                  <w:tcW w:w="1096" w:type="dxa"/>
                  <w:vMerge w:val="restart"/>
                  <w:shd w:val="clear" w:color="auto" w:fill="auto"/>
                  <w:vAlign w:val="center"/>
                </w:tcPr>
                <w:p>
                  <w:pPr>
                    <w:autoSpaceDE w:val="0"/>
                    <w:autoSpaceDN w:val="0"/>
                    <w:spacing w:line="240" w:lineRule="exact"/>
                    <w:jc w:val="center"/>
                    <w:rPr>
                      <w:kern w:val="0"/>
                      <w:szCs w:val="21"/>
                    </w:rPr>
                  </w:pPr>
                  <w:r>
                    <w:rPr>
                      <w:kern w:val="0"/>
                      <w:szCs w:val="21"/>
                    </w:rPr>
                    <w:t>10.28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restart"/>
                  <w:shd w:val="clear" w:color="auto" w:fill="auto"/>
                  <w:vAlign w:val="center"/>
                </w:tcPr>
                <w:p>
                  <w:pPr>
                    <w:autoSpaceDE w:val="0"/>
                    <w:autoSpaceDN w:val="0"/>
                    <w:spacing w:line="240" w:lineRule="exact"/>
                    <w:jc w:val="center"/>
                    <w:rPr>
                      <w:kern w:val="0"/>
                      <w:szCs w:val="21"/>
                    </w:rPr>
                  </w:pPr>
                  <w:r>
                    <w:rPr>
                      <w:kern w:val="0"/>
                      <w:szCs w:val="21"/>
                    </w:rPr>
                    <w:t>04</w:t>
                  </w:r>
                </w:p>
              </w:tc>
              <w:tc>
                <w:tcPr>
                  <w:tcW w:w="1080"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草地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0401</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天然牧草地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2.18</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continue"/>
                  <w:shd w:val="clear" w:color="auto" w:fill="auto"/>
                  <w:vAlign w:val="center"/>
                </w:tcPr>
                <w:p>
                  <w:pPr>
                    <w:widowControl/>
                    <w:spacing w:line="240" w:lineRule="exact"/>
                    <w:jc w:val="center"/>
                    <w:rPr>
                      <w:kern w:val="0"/>
                      <w:szCs w:val="21"/>
                    </w:rPr>
                  </w:pPr>
                </w:p>
              </w:tc>
              <w:tc>
                <w:tcPr>
                  <w:tcW w:w="1080" w:type="dxa"/>
                  <w:vMerge w:val="continue"/>
                  <w:shd w:val="clear" w:color="auto" w:fill="auto"/>
                  <w:vAlign w:val="center"/>
                </w:tcPr>
                <w:p>
                  <w:pPr>
                    <w:widowControl/>
                    <w:spacing w:line="240" w:lineRule="exact"/>
                    <w:jc w:val="center"/>
                    <w:rPr>
                      <w:kern w:val="0"/>
                      <w:szCs w:val="21"/>
                    </w:rPr>
                  </w:pPr>
                </w:p>
              </w:tc>
              <w:tc>
                <w:tcPr>
                  <w:tcW w:w="745" w:type="dxa"/>
                  <w:shd w:val="clear" w:color="auto" w:fill="auto"/>
                  <w:vAlign w:val="center"/>
                </w:tcPr>
                <w:p>
                  <w:pPr>
                    <w:autoSpaceDE w:val="0"/>
                    <w:autoSpaceDN w:val="0"/>
                    <w:spacing w:line="240" w:lineRule="exact"/>
                    <w:jc w:val="center"/>
                    <w:rPr>
                      <w:kern w:val="0"/>
                      <w:szCs w:val="21"/>
                    </w:rPr>
                  </w:pPr>
                  <w:r>
                    <w:rPr>
                      <w:kern w:val="0"/>
                      <w:szCs w:val="21"/>
                    </w:rPr>
                    <w:t>0404</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其他草地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3.50</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shd w:val="clear" w:color="auto" w:fill="auto"/>
                  <w:vAlign w:val="center"/>
                </w:tcPr>
                <w:p>
                  <w:pPr>
                    <w:autoSpaceDE w:val="0"/>
                    <w:autoSpaceDN w:val="0"/>
                    <w:spacing w:line="240" w:lineRule="exact"/>
                    <w:jc w:val="center"/>
                    <w:rPr>
                      <w:kern w:val="0"/>
                      <w:szCs w:val="21"/>
                    </w:rPr>
                  </w:pPr>
                  <w:r>
                    <w:rPr>
                      <w:kern w:val="0"/>
                      <w:szCs w:val="21"/>
                    </w:rPr>
                    <w:t>06</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工矿仓储用地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0602</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采矿用地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2.40</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shd w:val="clear" w:color="auto" w:fill="auto"/>
                  <w:vAlign w:val="center"/>
                </w:tcPr>
                <w:p>
                  <w:pPr>
                    <w:autoSpaceDE w:val="0"/>
                    <w:autoSpaceDN w:val="0"/>
                    <w:spacing w:line="240" w:lineRule="exact"/>
                    <w:jc w:val="center"/>
                    <w:rPr>
                      <w:kern w:val="0"/>
                      <w:szCs w:val="21"/>
                    </w:rPr>
                  </w:pPr>
                  <w:r>
                    <w:rPr>
                      <w:kern w:val="0"/>
                      <w:szCs w:val="21"/>
                    </w:rPr>
                    <w:t>10</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交通运输用地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1006</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农村道路</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0.82</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shd w:val="clear" w:color="auto" w:fill="auto"/>
                  <w:vAlign w:val="center"/>
                </w:tcPr>
                <w:p>
                  <w:pPr>
                    <w:autoSpaceDE w:val="0"/>
                    <w:autoSpaceDN w:val="0"/>
                    <w:spacing w:line="240" w:lineRule="exact"/>
                    <w:jc w:val="center"/>
                    <w:rPr>
                      <w:kern w:val="0"/>
                      <w:szCs w:val="21"/>
                    </w:rPr>
                  </w:pPr>
                  <w:r>
                    <w:rPr>
                      <w:kern w:val="0"/>
                      <w:szCs w:val="21"/>
                    </w:rPr>
                    <w:t>12</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其他土地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1206</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裸土地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0.78</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矿山道路（塌陷区范围以</w:t>
                  </w:r>
                </w:p>
                <w:p>
                  <w:pPr>
                    <w:autoSpaceDE w:val="0"/>
                    <w:autoSpaceDN w:val="0"/>
                    <w:spacing w:line="240" w:lineRule="exact"/>
                    <w:jc w:val="center"/>
                    <w:rPr>
                      <w:kern w:val="0"/>
                      <w:szCs w:val="21"/>
                    </w:rPr>
                  </w:pPr>
                  <w:r>
                    <w:rPr>
                      <w:rFonts w:hint="eastAsia"/>
                      <w:kern w:val="0"/>
                      <w:szCs w:val="21"/>
                    </w:rPr>
                    <w:t>外）</w:t>
                  </w:r>
                </w:p>
              </w:tc>
              <w:tc>
                <w:tcPr>
                  <w:tcW w:w="746" w:type="dxa"/>
                  <w:vMerge w:val="restart"/>
                  <w:shd w:val="clear" w:color="auto" w:fill="auto"/>
                  <w:vAlign w:val="center"/>
                </w:tcPr>
                <w:p>
                  <w:pPr>
                    <w:autoSpaceDE w:val="0"/>
                    <w:autoSpaceDN w:val="0"/>
                    <w:spacing w:line="240" w:lineRule="exact"/>
                    <w:jc w:val="center"/>
                    <w:rPr>
                      <w:kern w:val="0"/>
                      <w:szCs w:val="21"/>
                    </w:rPr>
                  </w:pPr>
                  <w:r>
                    <w:rPr>
                      <w:kern w:val="0"/>
                      <w:szCs w:val="21"/>
                    </w:rPr>
                    <w:t>04</w:t>
                  </w:r>
                </w:p>
              </w:tc>
              <w:tc>
                <w:tcPr>
                  <w:tcW w:w="1080"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草地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0401</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天然牧草地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0.50</w:t>
                  </w:r>
                </w:p>
              </w:tc>
              <w:tc>
                <w:tcPr>
                  <w:tcW w:w="1096" w:type="dxa"/>
                  <w:vMerge w:val="restart"/>
                  <w:shd w:val="clear" w:color="auto" w:fill="auto"/>
                  <w:vAlign w:val="center"/>
                </w:tcPr>
                <w:p>
                  <w:pPr>
                    <w:autoSpaceDE w:val="0"/>
                    <w:autoSpaceDN w:val="0"/>
                    <w:spacing w:line="240" w:lineRule="exact"/>
                    <w:jc w:val="center"/>
                    <w:rPr>
                      <w:b/>
                      <w:kern w:val="0"/>
                      <w:szCs w:val="26"/>
                    </w:rPr>
                  </w:pPr>
                </w:p>
                <w:p>
                  <w:pPr>
                    <w:autoSpaceDE w:val="0"/>
                    <w:autoSpaceDN w:val="0"/>
                    <w:spacing w:line="240" w:lineRule="exact"/>
                    <w:jc w:val="center"/>
                    <w:rPr>
                      <w:kern w:val="0"/>
                      <w:szCs w:val="21"/>
                    </w:rPr>
                  </w:pPr>
                  <w:r>
                    <w:rPr>
                      <w:kern w:val="0"/>
                      <w:szCs w:val="21"/>
                    </w:rPr>
                    <w:t>0.93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continue"/>
                  <w:shd w:val="clear" w:color="auto" w:fill="auto"/>
                  <w:vAlign w:val="center"/>
                </w:tcPr>
                <w:p>
                  <w:pPr>
                    <w:widowControl/>
                    <w:spacing w:line="240" w:lineRule="exact"/>
                    <w:jc w:val="center"/>
                    <w:rPr>
                      <w:kern w:val="0"/>
                      <w:szCs w:val="21"/>
                    </w:rPr>
                  </w:pPr>
                </w:p>
              </w:tc>
              <w:tc>
                <w:tcPr>
                  <w:tcW w:w="1080" w:type="dxa"/>
                  <w:vMerge w:val="continue"/>
                  <w:shd w:val="clear" w:color="auto" w:fill="auto"/>
                  <w:vAlign w:val="center"/>
                </w:tcPr>
                <w:p>
                  <w:pPr>
                    <w:widowControl/>
                    <w:spacing w:line="240" w:lineRule="exact"/>
                    <w:jc w:val="center"/>
                    <w:rPr>
                      <w:kern w:val="0"/>
                      <w:szCs w:val="21"/>
                    </w:rPr>
                  </w:pPr>
                </w:p>
              </w:tc>
              <w:tc>
                <w:tcPr>
                  <w:tcW w:w="745" w:type="dxa"/>
                  <w:shd w:val="clear" w:color="auto" w:fill="auto"/>
                  <w:vAlign w:val="center"/>
                </w:tcPr>
                <w:p>
                  <w:pPr>
                    <w:autoSpaceDE w:val="0"/>
                    <w:autoSpaceDN w:val="0"/>
                    <w:spacing w:line="240" w:lineRule="exact"/>
                    <w:jc w:val="center"/>
                    <w:rPr>
                      <w:kern w:val="0"/>
                      <w:szCs w:val="21"/>
                    </w:rPr>
                  </w:pPr>
                  <w:r>
                    <w:rPr>
                      <w:kern w:val="0"/>
                      <w:szCs w:val="21"/>
                    </w:rPr>
                    <w:t>0404</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其他草地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0.23</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shd w:val="clear" w:color="auto" w:fill="auto"/>
                  <w:vAlign w:val="center"/>
                </w:tcPr>
                <w:p>
                  <w:pPr>
                    <w:autoSpaceDE w:val="0"/>
                    <w:autoSpaceDN w:val="0"/>
                    <w:spacing w:line="240" w:lineRule="exact"/>
                    <w:jc w:val="center"/>
                    <w:rPr>
                      <w:kern w:val="0"/>
                      <w:szCs w:val="21"/>
                    </w:rPr>
                  </w:pPr>
                  <w:r>
                    <w:rPr>
                      <w:kern w:val="0"/>
                      <w:szCs w:val="21"/>
                    </w:rPr>
                    <w:t>10</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交通运输用地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1006</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农村道路</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0.20</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6056" w:type="dxa"/>
                  <w:gridSpan w:val="6"/>
                  <w:shd w:val="clear" w:color="auto" w:fill="auto"/>
                  <w:vAlign w:val="center"/>
                </w:tcPr>
                <w:p>
                  <w:pPr>
                    <w:autoSpaceDE w:val="0"/>
                    <w:autoSpaceDN w:val="0"/>
                    <w:spacing w:line="240" w:lineRule="exact"/>
                    <w:jc w:val="center"/>
                    <w:rPr>
                      <w:kern w:val="0"/>
                      <w:szCs w:val="21"/>
                    </w:rPr>
                  </w:pPr>
                  <w:r>
                    <w:rPr>
                      <w:rFonts w:hint="eastAsia"/>
                      <w:kern w:val="0"/>
                      <w:szCs w:val="21"/>
                    </w:rPr>
                    <w:t>小计</w:t>
                  </w:r>
                </w:p>
              </w:tc>
              <w:tc>
                <w:tcPr>
                  <w:tcW w:w="1096" w:type="dxa"/>
                  <w:shd w:val="clear" w:color="auto" w:fill="auto"/>
                  <w:vAlign w:val="center"/>
                </w:tcPr>
                <w:p>
                  <w:pPr>
                    <w:autoSpaceDE w:val="0"/>
                    <w:autoSpaceDN w:val="0"/>
                    <w:spacing w:line="240" w:lineRule="exact"/>
                    <w:jc w:val="center"/>
                    <w:rPr>
                      <w:kern w:val="0"/>
                      <w:szCs w:val="21"/>
                    </w:rPr>
                  </w:pPr>
                  <w:r>
                    <w:rPr>
                      <w:kern w:val="0"/>
                      <w:szCs w:val="21"/>
                    </w:rPr>
                    <w:t>11.21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塌陷区</w:t>
                  </w:r>
                </w:p>
              </w:tc>
              <w:tc>
                <w:tcPr>
                  <w:tcW w:w="912"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塌陷区（包括露天采场、部分坑道、部分矿山道路）</w:t>
                  </w:r>
                </w:p>
              </w:tc>
              <w:tc>
                <w:tcPr>
                  <w:tcW w:w="746" w:type="dxa"/>
                  <w:shd w:val="clear" w:color="auto" w:fill="auto"/>
                  <w:vAlign w:val="center"/>
                </w:tcPr>
                <w:p>
                  <w:pPr>
                    <w:autoSpaceDE w:val="0"/>
                    <w:autoSpaceDN w:val="0"/>
                    <w:spacing w:line="240" w:lineRule="exact"/>
                    <w:jc w:val="center"/>
                    <w:rPr>
                      <w:kern w:val="0"/>
                      <w:szCs w:val="21"/>
                    </w:rPr>
                  </w:pPr>
                  <w:r>
                    <w:rPr>
                      <w:kern w:val="0"/>
                      <w:szCs w:val="21"/>
                    </w:rPr>
                    <w:t>03</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林地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0305</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灌木林地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2.25</w:t>
                  </w:r>
                </w:p>
              </w:tc>
              <w:tc>
                <w:tcPr>
                  <w:tcW w:w="1096" w:type="dxa"/>
                  <w:vMerge w:val="restart"/>
                  <w:shd w:val="clear" w:color="auto" w:fill="auto"/>
                  <w:vAlign w:val="center"/>
                </w:tcPr>
                <w:p>
                  <w:pPr>
                    <w:autoSpaceDE w:val="0"/>
                    <w:autoSpaceDN w:val="0"/>
                    <w:spacing w:line="240" w:lineRule="exact"/>
                    <w:jc w:val="center"/>
                    <w:rPr>
                      <w:kern w:val="0"/>
                      <w:szCs w:val="21"/>
                    </w:rPr>
                  </w:pPr>
                  <w:r>
                    <w:rPr>
                      <w:kern w:val="0"/>
                      <w:szCs w:val="21"/>
                    </w:rPr>
                    <w:t>169.03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restart"/>
                  <w:shd w:val="clear" w:color="auto" w:fill="auto"/>
                  <w:vAlign w:val="center"/>
                </w:tcPr>
                <w:p>
                  <w:pPr>
                    <w:autoSpaceDE w:val="0"/>
                    <w:autoSpaceDN w:val="0"/>
                    <w:spacing w:line="240" w:lineRule="exact"/>
                    <w:jc w:val="center"/>
                    <w:rPr>
                      <w:kern w:val="0"/>
                      <w:szCs w:val="21"/>
                    </w:rPr>
                  </w:pPr>
                  <w:r>
                    <w:rPr>
                      <w:kern w:val="0"/>
                      <w:szCs w:val="21"/>
                    </w:rPr>
                    <w:t>04</w:t>
                  </w:r>
                </w:p>
              </w:tc>
              <w:tc>
                <w:tcPr>
                  <w:tcW w:w="1080"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草地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0401</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天然牧草地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82.46</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continue"/>
                  <w:shd w:val="clear" w:color="auto" w:fill="auto"/>
                  <w:vAlign w:val="center"/>
                </w:tcPr>
                <w:p>
                  <w:pPr>
                    <w:widowControl/>
                    <w:spacing w:line="240" w:lineRule="exact"/>
                    <w:jc w:val="center"/>
                    <w:rPr>
                      <w:kern w:val="0"/>
                      <w:szCs w:val="21"/>
                    </w:rPr>
                  </w:pPr>
                </w:p>
              </w:tc>
              <w:tc>
                <w:tcPr>
                  <w:tcW w:w="1080" w:type="dxa"/>
                  <w:vMerge w:val="continue"/>
                  <w:shd w:val="clear" w:color="auto" w:fill="auto"/>
                  <w:vAlign w:val="center"/>
                </w:tcPr>
                <w:p>
                  <w:pPr>
                    <w:widowControl/>
                    <w:spacing w:line="240" w:lineRule="exact"/>
                    <w:jc w:val="center"/>
                    <w:rPr>
                      <w:kern w:val="0"/>
                      <w:szCs w:val="21"/>
                    </w:rPr>
                  </w:pPr>
                </w:p>
              </w:tc>
              <w:tc>
                <w:tcPr>
                  <w:tcW w:w="745" w:type="dxa"/>
                  <w:shd w:val="clear" w:color="auto" w:fill="auto"/>
                  <w:vAlign w:val="center"/>
                </w:tcPr>
                <w:p>
                  <w:pPr>
                    <w:autoSpaceDE w:val="0"/>
                    <w:autoSpaceDN w:val="0"/>
                    <w:spacing w:line="240" w:lineRule="exact"/>
                    <w:jc w:val="center"/>
                    <w:rPr>
                      <w:kern w:val="0"/>
                      <w:szCs w:val="21"/>
                    </w:rPr>
                  </w:pPr>
                  <w:r>
                    <w:rPr>
                      <w:kern w:val="0"/>
                      <w:szCs w:val="21"/>
                    </w:rPr>
                    <w:t>0404</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其他草地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78.46</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shd w:val="clear" w:color="auto" w:fill="auto"/>
                  <w:vAlign w:val="center"/>
                </w:tcPr>
                <w:p>
                  <w:pPr>
                    <w:autoSpaceDE w:val="0"/>
                    <w:autoSpaceDN w:val="0"/>
                    <w:spacing w:line="240" w:lineRule="exact"/>
                    <w:jc w:val="center"/>
                    <w:rPr>
                      <w:kern w:val="0"/>
                      <w:szCs w:val="21"/>
                    </w:rPr>
                  </w:pPr>
                  <w:r>
                    <w:rPr>
                      <w:kern w:val="0"/>
                      <w:szCs w:val="21"/>
                    </w:rPr>
                    <w:t>06</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工矿仓储用地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0602</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采矿用地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2.81</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restart"/>
                  <w:shd w:val="clear" w:color="auto" w:fill="auto"/>
                  <w:vAlign w:val="center"/>
                </w:tcPr>
                <w:p>
                  <w:pPr>
                    <w:autoSpaceDE w:val="0"/>
                    <w:autoSpaceDN w:val="0"/>
                    <w:spacing w:line="240" w:lineRule="exact"/>
                    <w:jc w:val="center"/>
                    <w:rPr>
                      <w:kern w:val="0"/>
                      <w:szCs w:val="21"/>
                    </w:rPr>
                  </w:pPr>
                  <w:r>
                    <w:rPr>
                      <w:kern w:val="0"/>
                      <w:szCs w:val="21"/>
                    </w:rPr>
                    <w:t>10</w:t>
                  </w:r>
                </w:p>
              </w:tc>
              <w:tc>
                <w:tcPr>
                  <w:tcW w:w="1080" w:type="dxa"/>
                  <w:vMerge w:val="restart"/>
                  <w:shd w:val="clear" w:color="auto" w:fill="auto"/>
                  <w:vAlign w:val="center"/>
                </w:tcPr>
                <w:p>
                  <w:pPr>
                    <w:autoSpaceDE w:val="0"/>
                    <w:autoSpaceDN w:val="0"/>
                    <w:spacing w:line="240" w:lineRule="exact"/>
                    <w:jc w:val="center"/>
                    <w:rPr>
                      <w:kern w:val="0"/>
                      <w:szCs w:val="21"/>
                    </w:rPr>
                  </w:pPr>
                  <w:r>
                    <w:rPr>
                      <w:rFonts w:hint="eastAsia"/>
                      <w:kern w:val="0"/>
                      <w:szCs w:val="21"/>
                    </w:rPr>
                    <w:t>交通运输用地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1003</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公路用地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0.79</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vMerge w:val="continue"/>
                  <w:shd w:val="clear" w:color="auto" w:fill="auto"/>
                  <w:vAlign w:val="center"/>
                </w:tcPr>
                <w:p>
                  <w:pPr>
                    <w:widowControl/>
                    <w:spacing w:line="240" w:lineRule="exact"/>
                    <w:jc w:val="center"/>
                    <w:rPr>
                      <w:kern w:val="0"/>
                      <w:szCs w:val="21"/>
                    </w:rPr>
                  </w:pPr>
                </w:p>
              </w:tc>
              <w:tc>
                <w:tcPr>
                  <w:tcW w:w="1080" w:type="dxa"/>
                  <w:vMerge w:val="continue"/>
                  <w:shd w:val="clear" w:color="auto" w:fill="auto"/>
                  <w:vAlign w:val="center"/>
                </w:tcPr>
                <w:p>
                  <w:pPr>
                    <w:widowControl/>
                    <w:spacing w:line="240" w:lineRule="exact"/>
                    <w:jc w:val="center"/>
                    <w:rPr>
                      <w:kern w:val="0"/>
                      <w:szCs w:val="21"/>
                    </w:rPr>
                  </w:pPr>
                </w:p>
              </w:tc>
              <w:tc>
                <w:tcPr>
                  <w:tcW w:w="745" w:type="dxa"/>
                  <w:shd w:val="clear" w:color="auto" w:fill="auto"/>
                  <w:vAlign w:val="center"/>
                </w:tcPr>
                <w:p>
                  <w:pPr>
                    <w:autoSpaceDE w:val="0"/>
                    <w:autoSpaceDN w:val="0"/>
                    <w:spacing w:line="240" w:lineRule="exact"/>
                    <w:jc w:val="center"/>
                    <w:rPr>
                      <w:kern w:val="0"/>
                      <w:szCs w:val="21"/>
                    </w:rPr>
                  </w:pPr>
                  <w:r>
                    <w:rPr>
                      <w:kern w:val="0"/>
                      <w:szCs w:val="21"/>
                    </w:rPr>
                    <w:t>1006</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农村道路</w:t>
                  </w:r>
                </w:p>
              </w:tc>
              <w:tc>
                <w:tcPr>
                  <w:tcW w:w="1246" w:type="dxa"/>
                  <w:shd w:val="clear" w:color="auto" w:fill="auto"/>
                  <w:vAlign w:val="center"/>
                </w:tcPr>
                <w:p>
                  <w:pPr>
                    <w:autoSpaceDE w:val="0"/>
                    <w:autoSpaceDN w:val="0"/>
                    <w:spacing w:line="240" w:lineRule="exact"/>
                    <w:jc w:val="center"/>
                    <w:rPr>
                      <w:kern w:val="0"/>
                      <w:szCs w:val="21"/>
                    </w:rPr>
                  </w:pPr>
                  <w:r>
                    <w:rPr>
                      <w:kern w:val="0"/>
                      <w:szCs w:val="21"/>
                    </w:rPr>
                    <w:t>1.88</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912" w:type="dxa"/>
                  <w:vMerge w:val="continue"/>
                  <w:shd w:val="clear" w:color="auto" w:fill="auto"/>
                  <w:vAlign w:val="center"/>
                </w:tcPr>
                <w:p>
                  <w:pPr>
                    <w:widowControl/>
                    <w:spacing w:line="240" w:lineRule="exact"/>
                    <w:jc w:val="center"/>
                    <w:rPr>
                      <w:kern w:val="0"/>
                      <w:szCs w:val="21"/>
                    </w:rPr>
                  </w:pPr>
                </w:p>
              </w:tc>
              <w:tc>
                <w:tcPr>
                  <w:tcW w:w="746" w:type="dxa"/>
                  <w:shd w:val="clear" w:color="auto" w:fill="auto"/>
                  <w:vAlign w:val="center"/>
                </w:tcPr>
                <w:p>
                  <w:pPr>
                    <w:autoSpaceDE w:val="0"/>
                    <w:autoSpaceDN w:val="0"/>
                    <w:spacing w:line="240" w:lineRule="exact"/>
                    <w:jc w:val="center"/>
                    <w:rPr>
                      <w:kern w:val="0"/>
                      <w:szCs w:val="21"/>
                    </w:rPr>
                  </w:pPr>
                  <w:r>
                    <w:rPr>
                      <w:kern w:val="0"/>
                      <w:szCs w:val="21"/>
                    </w:rPr>
                    <w:t>12</w:t>
                  </w:r>
                </w:p>
              </w:tc>
              <w:tc>
                <w:tcPr>
                  <w:tcW w:w="1080" w:type="dxa"/>
                  <w:shd w:val="clear" w:color="auto" w:fill="auto"/>
                  <w:vAlign w:val="center"/>
                </w:tcPr>
                <w:p>
                  <w:pPr>
                    <w:autoSpaceDE w:val="0"/>
                    <w:autoSpaceDN w:val="0"/>
                    <w:spacing w:line="240" w:lineRule="exact"/>
                    <w:jc w:val="center"/>
                    <w:rPr>
                      <w:kern w:val="0"/>
                      <w:szCs w:val="21"/>
                    </w:rPr>
                  </w:pPr>
                  <w:r>
                    <w:rPr>
                      <w:rFonts w:hint="eastAsia"/>
                      <w:kern w:val="0"/>
                      <w:szCs w:val="21"/>
                    </w:rPr>
                    <w:t>其他土地</w:t>
                  </w:r>
                </w:p>
              </w:tc>
              <w:tc>
                <w:tcPr>
                  <w:tcW w:w="745" w:type="dxa"/>
                  <w:shd w:val="clear" w:color="auto" w:fill="auto"/>
                  <w:vAlign w:val="center"/>
                </w:tcPr>
                <w:p>
                  <w:pPr>
                    <w:autoSpaceDE w:val="0"/>
                    <w:autoSpaceDN w:val="0"/>
                    <w:spacing w:line="240" w:lineRule="exact"/>
                    <w:jc w:val="center"/>
                    <w:rPr>
                      <w:kern w:val="0"/>
                      <w:szCs w:val="21"/>
                    </w:rPr>
                  </w:pPr>
                  <w:r>
                    <w:rPr>
                      <w:kern w:val="0"/>
                      <w:szCs w:val="21"/>
                    </w:rPr>
                    <w:t>0207</w:t>
                  </w:r>
                </w:p>
              </w:tc>
              <w:tc>
                <w:tcPr>
                  <w:tcW w:w="1327" w:type="dxa"/>
                  <w:shd w:val="clear" w:color="auto" w:fill="auto"/>
                  <w:vAlign w:val="center"/>
                </w:tcPr>
                <w:p>
                  <w:pPr>
                    <w:autoSpaceDE w:val="0"/>
                    <w:autoSpaceDN w:val="0"/>
                    <w:spacing w:line="240" w:lineRule="exact"/>
                    <w:jc w:val="center"/>
                    <w:rPr>
                      <w:kern w:val="0"/>
                      <w:szCs w:val="21"/>
                    </w:rPr>
                  </w:pPr>
                  <w:r>
                    <w:rPr>
                      <w:rFonts w:hint="eastAsia"/>
                      <w:kern w:val="0"/>
                      <w:szCs w:val="21"/>
                    </w:rPr>
                    <w:t>裸岩石砾地</w:t>
                  </w:r>
                </w:p>
              </w:tc>
              <w:tc>
                <w:tcPr>
                  <w:tcW w:w="1246" w:type="dxa"/>
                  <w:shd w:val="clear" w:color="auto" w:fill="auto"/>
                  <w:vAlign w:val="center"/>
                </w:tcPr>
                <w:p>
                  <w:pPr>
                    <w:autoSpaceDE w:val="0"/>
                    <w:autoSpaceDN w:val="0"/>
                    <w:spacing w:line="240" w:lineRule="exact"/>
                    <w:jc w:val="center"/>
                    <w:rPr>
                      <w:kern w:val="0"/>
                      <w:szCs w:val="21"/>
                    </w:rPr>
                  </w:pPr>
                  <w:r>
                    <w:rPr>
                      <w:kern w:val="0"/>
                      <w:szCs w:val="21"/>
                    </w:rPr>
                    <w:t>0.40</w:t>
                  </w:r>
                </w:p>
              </w:tc>
              <w:tc>
                <w:tcPr>
                  <w:tcW w:w="1096" w:type="dxa"/>
                  <w:vMerge w:val="continue"/>
                  <w:shd w:val="clear" w:color="auto" w:fill="auto"/>
                  <w:vAlign w:val="center"/>
                </w:tcPr>
                <w:p>
                  <w:pPr>
                    <w:widowControl/>
                    <w:spacing w:line="240" w:lineRule="exact"/>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561" w:type="dxa"/>
                  <w:vMerge w:val="continue"/>
                  <w:shd w:val="clear" w:color="auto" w:fill="auto"/>
                  <w:vAlign w:val="center"/>
                </w:tcPr>
                <w:p>
                  <w:pPr>
                    <w:widowControl/>
                    <w:spacing w:line="240" w:lineRule="exact"/>
                    <w:jc w:val="center"/>
                    <w:rPr>
                      <w:kern w:val="0"/>
                      <w:szCs w:val="21"/>
                    </w:rPr>
                  </w:pPr>
                </w:p>
              </w:tc>
              <w:tc>
                <w:tcPr>
                  <w:tcW w:w="581" w:type="dxa"/>
                  <w:vMerge w:val="continue"/>
                  <w:shd w:val="clear" w:color="auto" w:fill="auto"/>
                  <w:vAlign w:val="center"/>
                </w:tcPr>
                <w:p>
                  <w:pPr>
                    <w:widowControl/>
                    <w:spacing w:line="240" w:lineRule="exact"/>
                    <w:jc w:val="center"/>
                    <w:rPr>
                      <w:kern w:val="0"/>
                      <w:szCs w:val="21"/>
                    </w:rPr>
                  </w:pPr>
                </w:p>
              </w:tc>
              <w:tc>
                <w:tcPr>
                  <w:tcW w:w="6056" w:type="dxa"/>
                  <w:gridSpan w:val="6"/>
                  <w:shd w:val="clear" w:color="auto" w:fill="auto"/>
                  <w:vAlign w:val="center"/>
                </w:tcPr>
                <w:p>
                  <w:pPr>
                    <w:autoSpaceDE w:val="0"/>
                    <w:autoSpaceDN w:val="0"/>
                    <w:spacing w:line="240" w:lineRule="exact"/>
                    <w:jc w:val="center"/>
                    <w:rPr>
                      <w:kern w:val="0"/>
                      <w:szCs w:val="21"/>
                    </w:rPr>
                  </w:pPr>
                  <w:r>
                    <w:rPr>
                      <w:rFonts w:hint="eastAsia"/>
                      <w:kern w:val="0"/>
                      <w:szCs w:val="21"/>
                    </w:rPr>
                    <w:t>小计</w:t>
                  </w:r>
                </w:p>
              </w:tc>
              <w:tc>
                <w:tcPr>
                  <w:tcW w:w="1096" w:type="dxa"/>
                  <w:shd w:val="clear" w:color="auto" w:fill="auto"/>
                  <w:vAlign w:val="center"/>
                </w:tcPr>
                <w:p>
                  <w:pPr>
                    <w:autoSpaceDE w:val="0"/>
                    <w:autoSpaceDN w:val="0"/>
                    <w:spacing w:line="240" w:lineRule="exact"/>
                    <w:jc w:val="center"/>
                    <w:rPr>
                      <w:kern w:val="0"/>
                      <w:szCs w:val="21"/>
                    </w:rPr>
                  </w:pPr>
                  <w:r>
                    <w:rPr>
                      <w:kern w:val="0"/>
                      <w:szCs w:val="21"/>
                    </w:rPr>
                    <w:t>169.03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3" w:hRule="atLeast"/>
                <w:jc w:val="center"/>
              </w:trPr>
              <w:tc>
                <w:tcPr>
                  <w:tcW w:w="7198" w:type="dxa"/>
                  <w:gridSpan w:val="8"/>
                  <w:shd w:val="clear" w:color="auto" w:fill="auto"/>
                  <w:vAlign w:val="center"/>
                </w:tcPr>
                <w:p>
                  <w:pPr>
                    <w:autoSpaceDE w:val="0"/>
                    <w:autoSpaceDN w:val="0"/>
                    <w:spacing w:line="240" w:lineRule="exact"/>
                    <w:jc w:val="center"/>
                    <w:rPr>
                      <w:kern w:val="0"/>
                      <w:szCs w:val="21"/>
                    </w:rPr>
                  </w:pPr>
                  <w:r>
                    <w:rPr>
                      <w:rFonts w:hint="eastAsia"/>
                      <w:kern w:val="0"/>
                      <w:szCs w:val="21"/>
                    </w:rPr>
                    <w:t>合计</w:t>
                  </w:r>
                </w:p>
              </w:tc>
              <w:tc>
                <w:tcPr>
                  <w:tcW w:w="1096" w:type="dxa"/>
                  <w:shd w:val="clear" w:color="auto" w:fill="auto"/>
                  <w:vAlign w:val="center"/>
                </w:tcPr>
                <w:p>
                  <w:pPr>
                    <w:autoSpaceDE w:val="0"/>
                    <w:autoSpaceDN w:val="0"/>
                    <w:spacing w:line="240" w:lineRule="exact"/>
                    <w:jc w:val="center"/>
                    <w:rPr>
                      <w:kern w:val="0"/>
                      <w:szCs w:val="21"/>
                    </w:rPr>
                  </w:pPr>
                  <w:r>
                    <w:rPr>
                      <w:kern w:val="0"/>
                      <w:szCs w:val="21"/>
                    </w:rPr>
                    <w:t>181.68</w:t>
                  </w:r>
                </w:p>
              </w:tc>
            </w:tr>
          </w:tbl>
          <w:p>
            <w:pPr>
              <w:pStyle w:val="63"/>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复垦责任范围</w:t>
            </w:r>
          </w:p>
          <w:p>
            <w:pPr>
              <w:pStyle w:val="63"/>
              <w:ind w:firstLine="480"/>
            </w:pPr>
            <w:r>
              <w:rPr>
                <w:rFonts w:hint="eastAsia"/>
              </w:rPr>
              <w:t>复垦责任范围为复垦区域损毁土地及不再继续留用工业场地和矿山道路，在矿山开采完毕后将不再继续使用，也纳入复垦责任范围，因此本矿山复垦责任范围与复垦区范围一致，面积为</w:t>
            </w:r>
            <w:r>
              <w:t>181.68hm</w:t>
            </w:r>
            <w:r>
              <w:rPr>
                <w:vertAlign w:val="superscript"/>
              </w:rPr>
              <w:t>2</w:t>
            </w:r>
            <w:r>
              <w:rPr>
                <w:rFonts w:hint="eastAsia"/>
              </w:rPr>
              <w:t>。</w:t>
            </w:r>
          </w:p>
          <w:p>
            <w:pPr>
              <w:pStyle w:val="63"/>
              <w:ind w:firstLine="480"/>
            </w:pPr>
            <w:r>
              <w:rPr>
                <w:rFonts w:hint="eastAsia"/>
              </w:rPr>
              <w:t>（2）土资源平衡分析</w:t>
            </w:r>
          </w:p>
          <w:p>
            <w:pPr>
              <w:pStyle w:val="63"/>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可用表土量分析</w:t>
            </w:r>
          </w:p>
          <w:p>
            <w:pPr>
              <w:pStyle w:val="63"/>
              <w:ind w:firstLine="480"/>
            </w:pPr>
            <w:r>
              <w:rPr>
                <w:rFonts w:hint="eastAsia"/>
              </w:rPr>
              <w:t>根据《矿产资源开发利用方案》，该矿山在开采过程中共剥离表土方量为</w:t>
            </w:r>
            <w:r>
              <w:t>14.78</w:t>
            </w:r>
            <w:r>
              <w:rPr>
                <w:rFonts w:hint="eastAsia"/>
              </w:rPr>
              <w:t>万</w:t>
            </w:r>
            <w:r>
              <w:t>m</w:t>
            </w:r>
            <w:r>
              <w:rPr>
                <w:vertAlign w:val="superscript"/>
              </w:rPr>
              <w:t>3</w:t>
            </w:r>
            <w:r>
              <w:rPr>
                <w:rFonts w:hint="eastAsia"/>
              </w:rPr>
              <w:t>，剥离的表土为第四系马兰组黄土，具有一定的肥力，可以保障草本植物生长。</w:t>
            </w:r>
          </w:p>
          <w:p>
            <w:pPr>
              <w:pStyle w:val="63"/>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需土量分析</w:t>
            </w:r>
          </w:p>
          <w:p>
            <w:pPr>
              <w:pStyle w:val="63"/>
              <w:ind w:firstLine="480"/>
            </w:pPr>
            <w:r>
              <w:rPr>
                <w:rFonts w:hint="eastAsia"/>
              </w:rPr>
              <w:t>在复垦过程中，需要覆土的复垦单元为已有坑道（露天采场之外）、露天采场底部及台阶（根据开采终了平面图测量可知露天采场底部及台阶面积为</w:t>
            </w:r>
            <w:r>
              <w:t>20.01hm</w:t>
            </w:r>
            <w:r>
              <w:rPr>
                <w:vertAlign w:val="superscript"/>
              </w:rPr>
              <w:t>2</w:t>
            </w:r>
            <w:r>
              <w:rPr>
                <w:rFonts w:hint="eastAsia"/>
              </w:rPr>
              <w:t>，边坡面积为</w:t>
            </w:r>
            <w:r>
              <w:t>11.30hm</w:t>
            </w:r>
            <w:r>
              <w:rPr>
                <w:vertAlign w:val="superscript"/>
              </w:rPr>
              <w:t>2</w:t>
            </w:r>
            <w:r>
              <w:rPr>
                <w:rFonts w:hint="eastAsia"/>
              </w:rPr>
              <w:t xml:space="preserve">）、工业场地和矿山道路，由于塌陷区对地表土壤层损毁较小，因此无需覆土。原地类为旱地的区域复垦为旱地，其它地类复垦为人工牧草地，露天采场边坡土地利用方向为裸岩石砾地，经计算，需覆土区域面积为 </w:t>
            </w:r>
            <w:r>
              <w:t>34.59hm</w:t>
            </w:r>
            <w:r>
              <w:rPr>
                <w:vertAlign w:val="superscript"/>
              </w:rPr>
              <w:t>2</w:t>
            </w:r>
            <w:r>
              <w:rPr>
                <w:rFonts w:hint="eastAsia"/>
              </w:rPr>
              <w:t>，共需土方</w:t>
            </w:r>
            <w:r>
              <w:t>70400m</w:t>
            </w:r>
            <w:r>
              <w:rPr>
                <w:vertAlign w:val="superscript"/>
              </w:rPr>
              <w:t>3</w:t>
            </w:r>
            <w:r>
              <w:rPr>
                <w:rFonts w:hint="eastAsia"/>
              </w:rPr>
              <w:t>，具体需土量情况见下表。</w:t>
            </w:r>
          </w:p>
          <w:p>
            <w:pPr>
              <w:pStyle w:val="50"/>
              <w:numPr>
                <w:ilvl w:val="0"/>
                <w:numId w:val="2"/>
              </w:numPr>
              <w:snapToGrid w:val="0"/>
              <w:spacing w:line="240" w:lineRule="auto"/>
              <w:ind w:firstLineChars="0"/>
              <w:jc w:val="center"/>
              <w:rPr>
                <w:b/>
                <w:bCs/>
              </w:rPr>
            </w:pPr>
            <w:r>
              <w:rPr>
                <w:rFonts w:hint="eastAsia"/>
                <w:b/>
                <w:bCs/>
              </w:rPr>
              <w:t>复垦工程需土量情况统计表</w:t>
            </w:r>
          </w:p>
          <w:tbl>
            <w:tblPr>
              <w:tblStyle w:val="22"/>
              <w:tblW w:w="829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163"/>
              <w:gridCol w:w="1800"/>
              <w:gridCol w:w="1369"/>
              <w:gridCol w:w="1525"/>
              <w:gridCol w:w="14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163" w:type="dxa"/>
                  <w:shd w:val="clear" w:color="auto" w:fill="auto"/>
                  <w:vAlign w:val="center"/>
                </w:tcPr>
                <w:p>
                  <w:pPr>
                    <w:pStyle w:val="33"/>
                    <w:spacing w:line="360" w:lineRule="exact"/>
                    <w:jc w:val="center"/>
                    <w:rPr>
                      <w:b/>
                      <w:szCs w:val="21"/>
                    </w:rPr>
                  </w:pPr>
                  <w:r>
                    <w:rPr>
                      <w:rFonts w:hint="eastAsia"/>
                      <w:b/>
                      <w:szCs w:val="21"/>
                    </w:rPr>
                    <w:t>评价单元</w:t>
                  </w:r>
                </w:p>
              </w:tc>
              <w:tc>
                <w:tcPr>
                  <w:tcW w:w="1800" w:type="dxa"/>
                  <w:shd w:val="clear" w:color="auto" w:fill="auto"/>
                  <w:vAlign w:val="center"/>
                </w:tcPr>
                <w:p>
                  <w:pPr>
                    <w:pStyle w:val="33"/>
                    <w:spacing w:line="360" w:lineRule="exact"/>
                    <w:jc w:val="center"/>
                    <w:rPr>
                      <w:b/>
                      <w:szCs w:val="21"/>
                    </w:rPr>
                  </w:pPr>
                  <w:r>
                    <w:rPr>
                      <w:rFonts w:hint="eastAsia"/>
                      <w:b/>
                      <w:szCs w:val="21"/>
                    </w:rPr>
                    <w:t>覆土面积（hm</w:t>
                  </w:r>
                  <w:r>
                    <w:rPr>
                      <w:b/>
                      <w:szCs w:val="21"/>
                      <w:vertAlign w:val="superscript"/>
                    </w:rPr>
                    <w:t>2</w:t>
                  </w:r>
                  <w:r>
                    <w:rPr>
                      <w:rFonts w:hint="eastAsia"/>
                      <w:b/>
                      <w:szCs w:val="21"/>
                    </w:rPr>
                    <w:t>）</w:t>
                  </w:r>
                </w:p>
              </w:tc>
              <w:tc>
                <w:tcPr>
                  <w:tcW w:w="1369" w:type="dxa"/>
                  <w:shd w:val="clear" w:color="auto" w:fill="auto"/>
                  <w:vAlign w:val="center"/>
                </w:tcPr>
                <w:p>
                  <w:pPr>
                    <w:pStyle w:val="33"/>
                    <w:spacing w:line="360" w:lineRule="exact"/>
                    <w:jc w:val="center"/>
                    <w:rPr>
                      <w:b/>
                      <w:szCs w:val="21"/>
                    </w:rPr>
                  </w:pPr>
                  <w:r>
                    <w:rPr>
                      <w:rFonts w:hint="eastAsia"/>
                      <w:b/>
                      <w:szCs w:val="21"/>
                    </w:rPr>
                    <w:t>复垦方向</w:t>
                  </w:r>
                </w:p>
              </w:tc>
              <w:tc>
                <w:tcPr>
                  <w:tcW w:w="1525" w:type="dxa"/>
                  <w:shd w:val="clear" w:color="auto" w:fill="auto"/>
                  <w:vAlign w:val="center"/>
                </w:tcPr>
                <w:p>
                  <w:pPr>
                    <w:pStyle w:val="33"/>
                    <w:spacing w:line="360" w:lineRule="exact"/>
                    <w:jc w:val="center"/>
                    <w:rPr>
                      <w:b/>
                      <w:szCs w:val="21"/>
                    </w:rPr>
                  </w:pPr>
                  <w:r>
                    <w:rPr>
                      <w:rFonts w:hint="eastAsia"/>
                      <w:b/>
                      <w:spacing w:val="-7"/>
                      <w:szCs w:val="21"/>
                    </w:rPr>
                    <w:t>覆土厚度</w:t>
                  </w:r>
                  <w:r>
                    <w:rPr>
                      <w:rFonts w:hint="eastAsia"/>
                      <w:b/>
                      <w:spacing w:val="-3"/>
                      <w:szCs w:val="21"/>
                    </w:rPr>
                    <w:t>（cm）</w:t>
                  </w:r>
                </w:p>
              </w:tc>
              <w:tc>
                <w:tcPr>
                  <w:tcW w:w="1437" w:type="dxa"/>
                  <w:shd w:val="clear" w:color="auto" w:fill="auto"/>
                  <w:vAlign w:val="center"/>
                </w:tcPr>
                <w:p>
                  <w:pPr>
                    <w:pStyle w:val="33"/>
                    <w:spacing w:line="360" w:lineRule="exact"/>
                    <w:jc w:val="center"/>
                    <w:rPr>
                      <w:b/>
                      <w:szCs w:val="21"/>
                    </w:rPr>
                  </w:pPr>
                  <w:r>
                    <w:rPr>
                      <w:rFonts w:hint="eastAsia"/>
                      <w:b/>
                      <w:szCs w:val="21"/>
                    </w:rPr>
                    <w:t>需土量（m</w:t>
                  </w:r>
                  <w:r>
                    <w:rPr>
                      <w:b/>
                      <w:szCs w:val="21"/>
                      <w:vertAlign w:val="superscript"/>
                    </w:rPr>
                    <w:t>3</w:t>
                  </w:r>
                  <w:r>
                    <w:rPr>
                      <w:rFonts w:hint="eastAsia"/>
                      <w:b/>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jc w:val="center"/>
              </w:trPr>
              <w:tc>
                <w:tcPr>
                  <w:tcW w:w="2163" w:type="dxa"/>
                  <w:shd w:val="clear" w:color="auto" w:fill="auto"/>
                  <w:vAlign w:val="center"/>
                </w:tcPr>
                <w:p>
                  <w:pPr>
                    <w:pStyle w:val="33"/>
                    <w:spacing w:line="360" w:lineRule="exact"/>
                    <w:jc w:val="center"/>
                    <w:rPr>
                      <w:szCs w:val="21"/>
                    </w:rPr>
                  </w:pPr>
                  <w:r>
                    <w:rPr>
                      <w:rFonts w:hint="eastAsia"/>
                      <w:szCs w:val="21"/>
                    </w:rPr>
                    <w:t>坑道（露天采场之外）</w:t>
                  </w:r>
                </w:p>
              </w:tc>
              <w:tc>
                <w:tcPr>
                  <w:tcW w:w="1800" w:type="dxa"/>
                  <w:shd w:val="clear" w:color="auto" w:fill="auto"/>
                  <w:vAlign w:val="center"/>
                </w:tcPr>
                <w:p>
                  <w:pPr>
                    <w:pStyle w:val="33"/>
                    <w:spacing w:line="360" w:lineRule="exact"/>
                    <w:jc w:val="center"/>
                    <w:rPr>
                      <w:szCs w:val="21"/>
                    </w:rPr>
                  </w:pPr>
                  <w:r>
                    <w:rPr>
                      <w:szCs w:val="21"/>
                    </w:rPr>
                    <w:t>3.05</w:t>
                  </w:r>
                </w:p>
              </w:tc>
              <w:tc>
                <w:tcPr>
                  <w:tcW w:w="1369" w:type="dxa"/>
                  <w:shd w:val="clear" w:color="auto" w:fill="auto"/>
                  <w:vAlign w:val="center"/>
                </w:tcPr>
                <w:p>
                  <w:pPr>
                    <w:pStyle w:val="33"/>
                    <w:spacing w:line="360" w:lineRule="exact"/>
                    <w:jc w:val="center"/>
                    <w:rPr>
                      <w:szCs w:val="21"/>
                    </w:rPr>
                  </w:pPr>
                  <w:r>
                    <w:rPr>
                      <w:rFonts w:hint="eastAsia"/>
                      <w:szCs w:val="21"/>
                    </w:rPr>
                    <w:t>人工牧草地</w:t>
                  </w:r>
                </w:p>
              </w:tc>
              <w:tc>
                <w:tcPr>
                  <w:tcW w:w="1525" w:type="dxa"/>
                  <w:shd w:val="clear" w:color="auto" w:fill="auto"/>
                  <w:vAlign w:val="center"/>
                </w:tcPr>
                <w:p>
                  <w:pPr>
                    <w:pStyle w:val="33"/>
                    <w:spacing w:line="360" w:lineRule="exact"/>
                    <w:jc w:val="center"/>
                    <w:rPr>
                      <w:szCs w:val="21"/>
                    </w:rPr>
                  </w:pPr>
                  <w:r>
                    <w:rPr>
                      <w:szCs w:val="21"/>
                    </w:rPr>
                    <w:t>20</w:t>
                  </w:r>
                </w:p>
              </w:tc>
              <w:tc>
                <w:tcPr>
                  <w:tcW w:w="1437" w:type="dxa"/>
                  <w:shd w:val="clear" w:color="auto" w:fill="auto"/>
                  <w:vAlign w:val="center"/>
                </w:tcPr>
                <w:p>
                  <w:pPr>
                    <w:pStyle w:val="33"/>
                    <w:spacing w:line="360" w:lineRule="exact"/>
                    <w:jc w:val="center"/>
                    <w:rPr>
                      <w:b/>
                      <w:szCs w:val="21"/>
                    </w:rPr>
                  </w:pPr>
                  <w:r>
                    <w:rPr>
                      <w:b/>
                      <w:szCs w:val="21"/>
                    </w:rPr>
                    <w:t>6100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163" w:type="dxa"/>
                  <w:shd w:val="clear" w:color="auto" w:fill="auto"/>
                  <w:vAlign w:val="center"/>
                </w:tcPr>
                <w:p>
                  <w:pPr>
                    <w:pStyle w:val="33"/>
                    <w:spacing w:line="360" w:lineRule="exact"/>
                    <w:jc w:val="center"/>
                    <w:rPr>
                      <w:szCs w:val="21"/>
                    </w:rPr>
                  </w:pPr>
                  <w:r>
                    <w:rPr>
                      <w:rFonts w:hint="eastAsia"/>
                      <w:szCs w:val="21"/>
                    </w:rPr>
                    <w:t>露天采场</w:t>
                  </w:r>
                </w:p>
              </w:tc>
              <w:tc>
                <w:tcPr>
                  <w:tcW w:w="1800" w:type="dxa"/>
                  <w:shd w:val="clear" w:color="auto" w:fill="auto"/>
                  <w:vAlign w:val="center"/>
                </w:tcPr>
                <w:p>
                  <w:pPr>
                    <w:pStyle w:val="33"/>
                    <w:spacing w:line="360" w:lineRule="exact"/>
                    <w:jc w:val="center"/>
                    <w:rPr>
                      <w:szCs w:val="21"/>
                    </w:rPr>
                  </w:pPr>
                  <w:r>
                    <w:rPr>
                      <w:szCs w:val="21"/>
                    </w:rPr>
                    <w:t>20.01</w:t>
                  </w:r>
                </w:p>
              </w:tc>
              <w:tc>
                <w:tcPr>
                  <w:tcW w:w="1369" w:type="dxa"/>
                  <w:shd w:val="clear" w:color="auto" w:fill="auto"/>
                  <w:vAlign w:val="center"/>
                </w:tcPr>
                <w:p>
                  <w:pPr>
                    <w:pStyle w:val="33"/>
                    <w:spacing w:line="360" w:lineRule="exact"/>
                    <w:jc w:val="center"/>
                    <w:rPr>
                      <w:szCs w:val="21"/>
                    </w:rPr>
                  </w:pPr>
                  <w:r>
                    <w:rPr>
                      <w:rFonts w:hint="eastAsia"/>
                      <w:szCs w:val="21"/>
                    </w:rPr>
                    <w:t>人工牧草地</w:t>
                  </w:r>
                </w:p>
              </w:tc>
              <w:tc>
                <w:tcPr>
                  <w:tcW w:w="1525" w:type="dxa"/>
                  <w:shd w:val="clear" w:color="auto" w:fill="auto"/>
                  <w:vAlign w:val="center"/>
                </w:tcPr>
                <w:p>
                  <w:pPr>
                    <w:pStyle w:val="33"/>
                    <w:spacing w:line="360" w:lineRule="exact"/>
                    <w:jc w:val="center"/>
                    <w:rPr>
                      <w:szCs w:val="21"/>
                    </w:rPr>
                  </w:pPr>
                  <w:r>
                    <w:rPr>
                      <w:szCs w:val="21"/>
                    </w:rPr>
                    <w:t>20</w:t>
                  </w:r>
                </w:p>
              </w:tc>
              <w:tc>
                <w:tcPr>
                  <w:tcW w:w="1437" w:type="dxa"/>
                  <w:shd w:val="clear" w:color="auto" w:fill="auto"/>
                  <w:vAlign w:val="center"/>
                </w:tcPr>
                <w:p>
                  <w:pPr>
                    <w:pStyle w:val="33"/>
                    <w:spacing w:line="360" w:lineRule="exact"/>
                    <w:jc w:val="center"/>
                    <w:rPr>
                      <w:b/>
                      <w:szCs w:val="21"/>
                    </w:rPr>
                  </w:pPr>
                  <w:r>
                    <w:rPr>
                      <w:b/>
                      <w:szCs w:val="21"/>
                    </w:rPr>
                    <w:t>40020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163" w:type="dxa"/>
                  <w:vMerge w:val="restart"/>
                  <w:shd w:val="clear" w:color="auto" w:fill="auto"/>
                  <w:vAlign w:val="center"/>
                </w:tcPr>
                <w:p>
                  <w:pPr>
                    <w:pStyle w:val="33"/>
                    <w:spacing w:line="360" w:lineRule="exact"/>
                    <w:jc w:val="center"/>
                    <w:rPr>
                      <w:szCs w:val="21"/>
                    </w:rPr>
                  </w:pPr>
                  <w:r>
                    <w:rPr>
                      <w:rFonts w:hint="eastAsia"/>
                      <w:szCs w:val="21"/>
                    </w:rPr>
                    <w:t>工业场地</w:t>
                  </w:r>
                </w:p>
              </w:tc>
              <w:tc>
                <w:tcPr>
                  <w:tcW w:w="1800" w:type="dxa"/>
                  <w:shd w:val="clear" w:color="auto" w:fill="auto"/>
                  <w:vAlign w:val="center"/>
                </w:tcPr>
                <w:p>
                  <w:pPr>
                    <w:pStyle w:val="33"/>
                    <w:spacing w:line="360" w:lineRule="exact"/>
                    <w:jc w:val="center"/>
                    <w:rPr>
                      <w:szCs w:val="21"/>
                    </w:rPr>
                  </w:pPr>
                  <w:r>
                    <w:rPr>
                      <w:szCs w:val="21"/>
                    </w:rPr>
                    <w:t>0.61</w:t>
                  </w:r>
                </w:p>
              </w:tc>
              <w:tc>
                <w:tcPr>
                  <w:tcW w:w="1369" w:type="dxa"/>
                  <w:shd w:val="clear" w:color="auto" w:fill="auto"/>
                  <w:vAlign w:val="center"/>
                </w:tcPr>
                <w:p>
                  <w:pPr>
                    <w:pStyle w:val="33"/>
                    <w:spacing w:line="360" w:lineRule="exact"/>
                    <w:jc w:val="center"/>
                    <w:rPr>
                      <w:szCs w:val="21"/>
                    </w:rPr>
                  </w:pPr>
                  <w:r>
                    <w:rPr>
                      <w:rFonts w:hint="eastAsia"/>
                      <w:szCs w:val="21"/>
                    </w:rPr>
                    <w:t>旱地</w:t>
                  </w:r>
                </w:p>
              </w:tc>
              <w:tc>
                <w:tcPr>
                  <w:tcW w:w="1525" w:type="dxa"/>
                  <w:shd w:val="clear" w:color="auto" w:fill="auto"/>
                  <w:vAlign w:val="center"/>
                </w:tcPr>
                <w:p>
                  <w:pPr>
                    <w:pStyle w:val="33"/>
                    <w:spacing w:line="360" w:lineRule="exact"/>
                    <w:jc w:val="center"/>
                    <w:rPr>
                      <w:szCs w:val="21"/>
                    </w:rPr>
                  </w:pPr>
                  <w:r>
                    <w:rPr>
                      <w:szCs w:val="21"/>
                    </w:rPr>
                    <w:t>40</w:t>
                  </w:r>
                </w:p>
              </w:tc>
              <w:tc>
                <w:tcPr>
                  <w:tcW w:w="1437" w:type="dxa"/>
                  <w:shd w:val="clear" w:color="auto" w:fill="auto"/>
                  <w:vAlign w:val="center"/>
                </w:tcPr>
                <w:p>
                  <w:pPr>
                    <w:pStyle w:val="33"/>
                    <w:spacing w:line="360" w:lineRule="exact"/>
                    <w:jc w:val="center"/>
                    <w:rPr>
                      <w:b/>
                      <w:szCs w:val="21"/>
                    </w:rPr>
                  </w:pPr>
                  <w:r>
                    <w:rPr>
                      <w:b/>
                      <w:szCs w:val="21"/>
                    </w:rPr>
                    <w:t>2440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jc w:val="center"/>
              </w:trPr>
              <w:tc>
                <w:tcPr>
                  <w:tcW w:w="2163" w:type="dxa"/>
                  <w:vMerge w:val="continue"/>
                  <w:shd w:val="clear" w:color="auto" w:fill="auto"/>
                  <w:vAlign w:val="center"/>
                </w:tcPr>
                <w:p>
                  <w:pPr>
                    <w:widowControl/>
                    <w:spacing w:line="360" w:lineRule="exact"/>
                    <w:jc w:val="center"/>
                    <w:rPr>
                      <w:szCs w:val="21"/>
                    </w:rPr>
                  </w:pPr>
                </w:p>
              </w:tc>
              <w:tc>
                <w:tcPr>
                  <w:tcW w:w="1800" w:type="dxa"/>
                  <w:shd w:val="clear" w:color="auto" w:fill="auto"/>
                  <w:vAlign w:val="center"/>
                </w:tcPr>
                <w:p>
                  <w:pPr>
                    <w:pStyle w:val="33"/>
                    <w:spacing w:line="360" w:lineRule="exact"/>
                    <w:jc w:val="center"/>
                    <w:rPr>
                      <w:szCs w:val="21"/>
                    </w:rPr>
                  </w:pPr>
                  <w:r>
                    <w:rPr>
                      <w:szCs w:val="21"/>
                    </w:rPr>
                    <w:t>9.67</w:t>
                  </w:r>
                </w:p>
              </w:tc>
              <w:tc>
                <w:tcPr>
                  <w:tcW w:w="1369" w:type="dxa"/>
                  <w:shd w:val="clear" w:color="auto" w:fill="auto"/>
                  <w:vAlign w:val="center"/>
                </w:tcPr>
                <w:p>
                  <w:pPr>
                    <w:pStyle w:val="33"/>
                    <w:spacing w:line="360" w:lineRule="exact"/>
                    <w:jc w:val="center"/>
                    <w:rPr>
                      <w:szCs w:val="21"/>
                    </w:rPr>
                  </w:pPr>
                  <w:r>
                    <w:rPr>
                      <w:rFonts w:hint="eastAsia"/>
                      <w:szCs w:val="21"/>
                    </w:rPr>
                    <w:t>人工牧草地</w:t>
                  </w:r>
                </w:p>
              </w:tc>
              <w:tc>
                <w:tcPr>
                  <w:tcW w:w="1525" w:type="dxa"/>
                  <w:shd w:val="clear" w:color="auto" w:fill="auto"/>
                  <w:vAlign w:val="center"/>
                </w:tcPr>
                <w:p>
                  <w:pPr>
                    <w:pStyle w:val="33"/>
                    <w:spacing w:line="360" w:lineRule="exact"/>
                    <w:jc w:val="center"/>
                    <w:rPr>
                      <w:szCs w:val="21"/>
                    </w:rPr>
                  </w:pPr>
                  <w:r>
                    <w:rPr>
                      <w:szCs w:val="21"/>
                    </w:rPr>
                    <w:t>20</w:t>
                  </w:r>
                </w:p>
              </w:tc>
              <w:tc>
                <w:tcPr>
                  <w:tcW w:w="1437" w:type="dxa"/>
                  <w:shd w:val="clear" w:color="auto" w:fill="auto"/>
                  <w:vAlign w:val="center"/>
                </w:tcPr>
                <w:p>
                  <w:pPr>
                    <w:pStyle w:val="33"/>
                    <w:spacing w:line="360" w:lineRule="exact"/>
                    <w:jc w:val="center"/>
                    <w:rPr>
                      <w:b/>
                      <w:szCs w:val="21"/>
                    </w:rPr>
                  </w:pPr>
                  <w:r>
                    <w:rPr>
                      <w:b/>
                      <w:szCs w:val="21"/>
                    </w:rPr>
                    <w:t>19340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163" w:type="dxa"/>
                  <w:shd w:val="clear" w:color="auto" w:fill="auto"/>
                  <w:vAlign w:val="center"/>
                </w:tcPr>
                <w:p>
                  <w:pPr>
                    <w:pStyle w:val="33"/>
                    <w:spacing w:line="360" w:lineRule="exact"/>
                    <w:jc w:val="center"/>
                    <w:rPr>
                      <w:szCs w:val="21"/>
                    </w:rPr>
                  </w:pPr>
                  <w:r>
                    <w:rPr>
                      <w:rFonts w:hint="eastAsia"/>
                      <w:szCs w:val="21"/>
                    </w:rPr>
                    <w:t>矿山道路</w:t>
                  </w:r>
                </w:p>
              </w:tc>
              <w:tc>
                <w:tcPr>
                  <w:tcW w:w="1800" w:type="dxa"/>
                  <w:shd w:val="clear" w:color="auto" w:fill="auto"/>
                  <w:vAlign w:val="center"/>
                </w:tcPr>
                <w:p>
                  <w:pPr>
                    <w:pStyle w:val="33"/>
                    <w:spacing w:line="360" w:lineRule="exact"/>
                    <w:jc w:val="center"/>
                    <w:rPr>
                      <w:szCs w:val="21"/>
                    </w:rPr>
                  </w:pPr>
                  <w:r>
                    <w:rPr>
                      <w:szCs w:val="21"/>
                    </w:rPr>
                    <w:t>1.25</w:t>
                  </w:r>
                </w:p>
              </w:tc>
              <w:tc>
                <w:tcPr>
                  <w:tcW w:w="1369" w:type="dxa"/>
                  <w:shd w:val="clear" w:color="auto" w:fill="auto"/>
                  <w:vAlign w:val="center"/>
                </w:tcPr>
                <w:p>
                  <w:pPr>
                    <w:pStyle w:val="33"/>
                    <w:spacing w:line="360" w:lineRule="exact"/>
                    <w:jc w:val="center"/>
                    <w:rPr>
                      <w:szCs w:val="21"/>
                    </w:rPr>
                  </w:pPr>
                  <w:r>
                    <w:rPr>
                      <w:rFonts w:hint="eastAsia"/>
                      <w:szCs w:val="21"/>
                    </w:rPr>
                    <w:t>人工牧草地</w:t>
                  </w:r>
                </w:p>
              </w:tc>
              <w:tc>
                <w:tcPr>
                  <w:tcW w:w="1525" w:type="dxa"/>
                  <w:shd w:val="clear" w:color="auto" w:fill="auto"/>
                  <w:vAlign w:val="center"/>
                </w:tcPr>
                <w:p>
                  <w:pPr>
                    <w:pStyle w:val="33"/>
                    <w:spacing w:line="360" w:lineRule="exact"/>
                    <w:jc w:val="center"/>
                    <w:rPr>
                      <w:szCs w:val="21"/>
                    </w:rPr>
                  </w:pPr>
                  <w:r>
                    <w:rPr>
                      <w:szCs w:val="21"/>
                    </w:rPr>
                    <w:t>20</w:t>
                  </w:r>
                </w:p>
              </w:tc>
              <w:tc>
                <w:tcPr>
                  <w:tcW w:w="1437" w:type="dxa"/>
                  <w:shd w:val="clear" w:color="auto" w:fill="auto"/>
                  <w:vAlign w:val="center"/>
                </w:tcPr>
                <w:p>
                  <w:pPr>
                    <w:pStyle w:val="33"/>
                    <w:spacing w:line="360" w:lineRule="exact"/>
                    <w:jc w:val="center"/>
                    <w:rPr>
                      <w:b/>
                      <w:szCs w:val="21"/>
                    </w:rPr>
                  </w:pPr>
                  <w:r>
                    <w:rPr>
                      <w:b/>
                      <w:szCs w:val="21"/>
                    </w:rPr>
                    <w:t>2500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163" w:type="dxa"/>
                  <w:shd w:val="clear" w:color="auto" w:fill="auto"/>
                  <w:vAlign w:val="center"/>
                </w:tcPr>
                <w:p>
                  <w:pPr>
                    <w:pStyle w:val="33"/>
                    <w:spacing w:line="360" w:lineRule="exact"/>
                    <w:jc w:val="center"/>
                    <w:rPr>
                      <w:b/>
                      <w:szCs w:val="21"/>
                    </w:rPr>
                  </w:pPr>
                  <w:r>
                    <w:rPr>
                      <w:rFonts w:hint="eastAsia"/>
                      <w:b/>
                      <w:szCs w:val="21"/>
                    </w:rPr>
                    <w:t>合计</w:t>
                  </w:r>
                </w:p>
              </w:tc>
              <w:tc>
                <w:tcPr>
                  <w:tcW w:w="1800" w:type="dxa"/>
                  <w:shd w:val="clear" w:color="auto" w:fill="auto"/>
                  <w:vAlign w:val="center"/>
                </w:tcPr>
                <w:p>
                  <w:pPr>
                    <w:pStyle w:val="33"/>
                    <w:spacing w:line="360" w:lineRule="exact"/>
                    <w:jc w:val="center"/>
                    <w:rPr>
                      <w:b/>
                      <w:szCs w:val="21"/>
                    </w:rPr>
                  </w:pPr>
                  <w:r>
                    <w:rPr>
                      <w:b/>
                      <w:szCs w:val="21"/>
                    </w:rPr>
                    <w:t>34.59</w:t>
                  </w:r>
                </w:p>
              </w:tc>
              <w:tc>
                <w:tcPr>
                  <w:tcW w:w="1369" w:type="dxa"/>
                  <w:shd w:val="clear" w:color="auto" w:fill="auto"/>
                  <w:vAlign w:val="center"/>
                </w:tcPr>
                <w:p>
                  <w:pPr>
                    <w:pStyle w:val="33"/>
                    <w:spacing w:line="360" w:lineRule="exact"/>
                    <w:jc w:val="center"/>
                    <w:rPr>
                      <w:szCs w:val="22"/>
                    </w:rPr>
                  </w:pPr>
                </w:p>
              </w:tc>
              <w:tc>
                <w:tcPr>
                  <w:tcW w:w="1525" w:type="dxa"/>
                  <w:shd w:val="clear" w:color="auto" w:fill="auto"/>
                  <w:vAlign w:val="center"/>
                </w:tcPr>
                <w:p>
                  <w:pPr>
                    <w:pStyle w:val="33"/>
                    <w:spacing w:line="360" w:lineRule="exact"/>
                    <w:jc w:val="center"/>
                  </w:pPr>
                </w:p>
              </w:tc>
              <w:tc>
                <w:tcPr>
                  <w:tcW w:w="1437" w:type="dxa"/>
                  <w:shd w:val="clear" w:color="auto" w:fill="auto"/>
                  <w:vAlign w:val="center"/>
                </w:tcPr>
                <w:p>
                  <w:pPr>
                    <w:pStyle w:val="33"/>
                    <w:spacing w:line="360" w:lineRule="exact"/>
                    <w:jc w:val="center"/>
                    <w:rPr>
                      <w:b/>
                      <w:szCs w:val="21"/>
                    </w:rPr>
                  </w:pPr>
                  <w:r>
                    <w:rPr>
                      <w:b/>
                      <w:szCs w:val="21"/>
                    </w:rPr>
                    <w:t>70400</w:t>
                  </w:r>
                </w:p>
              </w:tc>
            </w:tr>
          </w:tbl>
          <w:p>
            <w:pPr>
              <w:pStyle w:val="63"/>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土资源供需平衡分析</w:t>
            </w:r>
          </w:p>
          <w:p>
            <w:pPr>
              <w:pStyle w:val="63"/>
              <w:ind w:firstLine="480"/>
            </w:pPr>
            <w:r>
              <w:rPr>
                <w:rFonts w:hint="eastAsia"/>
              </w:rPr>
              <w:t>对复垦区内的可供覆土量和所需覆土量进行比较，该矿山剥离的表土量为1</w:t>
            </w:r>
            <w:r>
              <w:t>4.78</w:t>
            </w:r>
            <w:r>
              <w:rPr>
                <w:rFonts w:hint="eastAsia"/>
              </w:rPr>
              <w:t xml:space="preserve">万 </w:t>
            </w:r>
            <w:r>
              <w:t>m3</w:t>
            </w:r>
            <w:r>
              <w:rPr>
                <w:rFonts w:hint="eastAsia"/>
              </w:rPr>
              <w:t>，所需的覆土量为</w:t>
            </w:r>
            <w:r>
              <w:t>7.04</w:t>
            </w:r>
            <w:r>
              <w:rPr>
                <w:rFonts w:hint="eastAsia"/>
              </w:rPr>
              <w:t xml:space="preserve">万 </w:t>
            </w:r>
            <w:r>
              <w:t>m3</w:t>
            </w:r>
            <w:r>
              <w:rPr>
                <w:rFonts w:hint="eastAsia"/>
              </w:rPr>
              <w:t>。因此，矿山剥离的表土能满足土地复垦所需的覆土，多余的覆土可用于地裂缝表层覆土或者回填采坑。</w:t>
            </w:r>
          </w:p>
          <w:p>
            <w:pPr>
              <w:pStyle w:val="63"/>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土地复垦质量要求</w:t>
            </w:r>
          </w:p>
          <w:p>
            <w:pPr>
              <w:pStyle w:val="63"/>
              <w:ind w:firstLine="480"/>
            </w:pPr>
            <w:r>
              <w:rPr>
                <w:rFonts w:hint="eastAsia"/>
              </w:rPr>
              <w:t>通过本矿山土地复垦可行性分析的结果，确定将矿山被损毁的土地复垦为旱地、灌木林地和人工牧草地。根据《土地复垦条例》、《土地复垦质量控制标准》（</w:t>
            </w:r>
            <w:r>
              <w:t>TD/T 1036-2013</w:t>
            </w:r>
            <w:r>
              <w:rPr>
                <w:rFonts w:hint="eastAsia"/>
              </w:rPr>
              <w:t>），结合本项目自身特点，制定本方案土地复垦质量标准。本标准适用于宁夏东义镁业有限公司宁夏吴忠市青龙山北段杜家圈南冶镁白云岩矿因开采所损毁土地的复垦。</w:t>
            </w:r>
          </w:p>
          <w:p>
            <w:pPr>
              <w:pStyle w:val="63"/>
              <w:ind w:firstLine="480"/>
            </w:pPr>
            <w:r>
              <w:rPr>
                <w:rFonts w:hint="eastAsia"/>
              </w:rPr>
              <w:t>（3）矿山地质环境保护与土地复垦预防主要技术措施</w:t>
            </w:r>
          </w:p>
          <w:p>
            <w:pPr>
              <w:pStyle w:val="28"/>
              <w:numPr>
                <w:ilvl w:val="0"/>
                <w:numId w:val="5"/>
              </w:numPr>
              <w:spacing w:line="360" w:lineRule="auto"/>
              <w:ind w:firstLineChars="0"/>
              <w:rPr>
                <w:sz w:val="24"/>
              </w:rPr>
            </w:pPr>
            <w:r>
              <w:rPr>
                <w:rFonts w:hint="eastAsia"/>
                <w:sz w:val="24"/>
              </w:rPr>
              <w:t>坑道</w:t>
            </w:r>
          </w:p>
          <w:p>
            <w:pPr>
              <w:pStyle w:val="47"/>
              <w:ind w:firstLine="480"/>
              <w:rPr>
                <w:color w:val="auto"/>
              </w:rPr>
            </w:pPr>
            <w:r>
              <w:rPr>
                <w:rFonts w:hint="eastAsia"/>
                <w:color w:val="auto"/>
              </w:rPr>
              <w:t>对露天开采区以外的坑道采取的土地复垦工程措施为覆土工程。</w:t>
            </w:r>
          </w:p>
          <w:p>
            <w:pPr>
              <w:pStyle w:val="47"/>
              <w:ind w:firstLine="480"/>
              <w:rPr>
                <w:color w:val="auto"/>
              </w:rPr>
            </w:pPr>
            <w:r>
              <w:rPr>
                <w:rFonts w:hint="eastAsia"/>
                <w:color w:val="auto"/>
              </w:rPr>
              <w:t>采用废石对露天开采区以外的坑道进行回填之后，需要在其上部进行覆土，坑道损毁的地类为天然牧草地和其他草地，复垦方向为人工牧草地，覆土厚度为0.2m。</w:t>
            </w:r>
          </w:p>
          <w:p>
            <w:pPr>
              <w:pStyle w:val="28"/>
              <w:numPr>
                <w:ilvl w:val="0"/>
                <w:numId w:val="5"/>
              </w:numPr>
              <w:spacing w:line="360" w:lineRule="auto"/>
              <w:ind w:firstLineChars="0"/>
              <w:rPr>
                <w:sz w:val="24"/>
              </w:rPr>
            </w:pPr>
            <w:r>
              <w:rPr>
                <w:rFonts w:hint="eastAsia"/>
                <w:sz w:val="24"/>
              </w:rPr>
              <w:t xml:space="preserve">露天采坑土地复垦 </w:t>
            </w:r>
          </w:p>
          <w:p>
            <w:pPr>
              <w:spacing w:line="360" w:lineRule="auto"/>
              <w:ind w:firstLine="480" w:firstLineChars="200"/>
              <w:rPr>
                <w:sz w:val="24"/>
              </w:rPr>
            </w:pPr>
            <w:r>
              <w:rPr>
                <w:rFonts w:hint="eastAsia"/>
                <w:sz w:val="24"/>
              </w:rPr>
              <w:t>对露天开采区采取的土地复垦工程措施为台阶及采坑底部覆土工程。</w:t>
            </w:r>
          </w:p>
          <w:p>
            <w:pPr>
              <w:spacing w:line="360" w:lineRule="auto"/>
              <w:ind w:firstLine="480" w:firstLineChars="200"/>
              <w:rPr>
                <w:sz w:val="24"/>
              </w:rPr>
            </w:pPr>
            <w:r>
              <w:rPr>
                <w:rFonts w:hint="eastAsia"/>
                <w:sz w:val="24"/>
              </w:rPr>
              <w:t>在对露天采坑的底部和台阶进行平整之后，需要实施覆土工程，露天采坑损毁的地类为天然牧草地、采矿用地、农村道路和裸岩石砾地，复垦方向为人工牧草地，覆土厚度为0.2m。</w:t>
            </w:r>
          </w:p>
          <w:p>
            <w:pPr>
              <w:pStyle w:val="28"/>
              <w:numPr>
                <w:ilvl w:val="0"/>
                <w:numId w:val="5"/>
              </w:numPr>
              <w:spacing w:line="360" w:lineRule="auto"/>
              <w:ind w:firstLineChars="0"/>
              <w:rPr>
                <w:sz w:val="24"/>
              </w:rPr>
            </w:pPr>
            <w:r>
              <w:rPr>
                <w:rFonts w:hint="eastAsia"/>
                <w:sz w:val="24"/>
              </w:rPr>
              <w:t>工业场地土地复垦</w:t>
            </w:r>
          </w:p>
          <w:p>
            <w:pPr>
              <w:pStyle w:val="47"/>
              <w:ind w:firstLine="480"/>
              <w:rPr>
                <w:color w:val="auto"/>
              </w:rPr>
            </w:pPr>
            <w:r>
              <w:rPr>
                <w:rFonts w:hint="eastAsia"/>
                <w:color w:val="auto"/>
              </w:rPr>
              <w:t xml:space="preserve">对工业场地采取的土地复垦工程措施为建构筑物拆除清理工程、硬化地面拆除清理工程、土地平整工程、覆土工程。 </w:t>
            </w:r>
          </w:p>
          <w:p>
            <w:pPr>
              <w:pStyle w:val="47"/>
              <w:ind w:firstLine="480"/>
              <w:rPr>
                <w:color w:val="auto"/>
              </w:rPr>
            </w:pPr>
            <w:r>
              <w:rPr>
                <w:rFonts w:hint="eastAsia"/>
                <w:color w:val="auto"/>
              </w:rPr>
              <w:t>a、建构筑物拆除清理</w:t>
            </w:r>
          </w:p>
          <w:p>
            <w:pPr>
              <w:pStyle w:val="47"/>
              <w:ind w:firstLine="460"/>
              <w:rPr>
                <w:color w:val="auto"/>
              </w:rPr>
            </w:pPr>
            <w:r>
              <w:rPr>
                <w:rFonts w:hint="eastAsia"/>
                <w:color w:val="auto"/>
                <w:spacing w:val="-5"/>
              </w:rPr>
              <w:t>工业场地总占地面积为</w:t>
            </w:r>
            <w:r>
              <w:rPr>
                <w:rFonts w:hint="eastAsia"/>
                <w:color w:val="auto"/>
              </w:rPr>
              <w:t>10.28hm</w:t>
            </w:r>
            <w:r>
              <w:rPr>
                <w:rFonts w:hint="eastAsia"/>
                <w:color w:val="auto"/>
                <w:vertAlign w:val="superscript"/>
              </w:rPr>
              <w:t>2</w:t>
            </w:r>
            <w:r>
              <w:rPr>
                <w:rFonts w:hint="eastAsia"/>
                <w:color w:val="auto"/>
              </w:rPr>
              <w:t>，其中的建构筑物主要为办公室、宿舍、食堂、磅房、配电室等生活区建筑物和卸矿平台等生产加工区建筑物，根据工业场</w:t>
            </w:r>
            <w:r>
              <w:rPr>
                <w:rFonts w:hint="eastAsia"/>
                <w:color w:val="auto"/>
                <w:spacing w:val="-13"/>
              </w:rPr>
              <w:t>地设计平面图，工业场地内的建构筑物总占地面积为</w:t>
            </w:r>
            <w:r>
              <w:rPr>
                <w:rFonts w:hint="eastAsia"/>
                <w:color w:val="auto"/>
              </w:rPr>
              <w:t>3145m</w:t>
            </w:r>
            <w:r>
              <w:rPr>
                <w:rFonts w:hint="eastAsia"/>
                <w:color w:val="auto"/>
                <w:vertAlign w:val="superscript"/>
              </w:rPr>
              <w:t>2</w:t>
            </w:r>
            <w:r>
              <w:rPr>
                <w:rFonts w:hint="eastAsia"/>
                <w:color w:val="auto"/>
                <w:spacing w:val="-12"/>
              </w:rPr>
              <w:t>，矿山开采完毕后，</w:t>
            </w:r>
            <w:r>
              <w:rPr>
                <w:rFonts w:hint="eastAsia"/>
                <w:color w:val="auto"/>
                <w:spacing w:val="-7"/>
              </w:rPr>
              <w:t>工业场地内的建构筑物将不再继续使用，因此需要将其进行拆除并拉运清理。</w:t>
            </w:r>
          </w:p>
          <w:p>
            <w:pPr>
              <w:pStyle w:val="47"/>
              <w:ind w:firstLine="480"/>
              <w:rPr>
                <w:color w:val="auto"/>
              </w:rPr>
            </w:pPr>
            <w:r>
              <w:rPr>
                <w:rFonts w:hint="eastAsia"/>
                <w:color w:val="auto"/>
              </w:rPr>
              <w:t>b、硬化地面拆除清理</w:t>
            </w:r>
          </w:p>
          <w:p>
            <w:pPr>
              <w:pStyle w:val="47"/>
              <w:ind w:firstLine="468"/>
              <w:rPr>
                <w:color w:val="auto"/>
              </w:rPr>
            </w:pPr>
            <w:r>
              <w:rPr>
                <w:rFonts w:hint="eastAsia"/>
                <w:color w:val="auto"/>
                <w:spacing w:val="-3"/>
              </w:rPr>
              <w:t>工业场地内局部区域采用混凝土硬化地面，硬化地面面积约为</w:t>
            </w:r>
            <w:r>
              <w:rPr>
                <w:rFonts w:hint="eastAsia"/>
                <w:color w:val="auto"/>
              </w:rPr>
              <w:t>5000m</w:t>
            </w:r>
            <w:r>
              <w:rPr>
                <w:rFonts w:hint="eastAsia"/>
                <w:color w:val="auto"/>
                <w:vertAlign w:val="superscript"/>
              </w:rPr>
              <w:t>2</w:t>
            </w:r>
            <w:r>
              <w:rPr>
                <w:rFonts w:hint="eastAsia"/>
                <w:color w:val="auto"/>
                <w:spacing w:val="-6"/>
              </w:rPr>
              <w:t>，厚</w:t>
            </w:r>
            <w:r>
              <w:rPr>
                <w:rFonts w:hint="eastAsia"/>
                <w:color w:val="auto"/>
                <w:spacing w:val="-21"/>
              </w:rPr>
              <w:t xml:space="preserve">度为 </w:t>
            </w:r>
            <w:r>
              <w:rPr>
                <w:rFonts w:hint="eastAsia"/>
                <w:color w:val="auto"/>
              </w:rPr>
              <w:t>0.2m，待矿山开采完毕后，需要对工业场地内遗留的硬化地面进行拆除并拉运清理。</w:t>
            </w:r>
          </w:p>
          <w:p>
            <w:pPr>
              <w:pStyle w:val="47"/>
              <w:ind w:firstLine="480"/>
              <w:rPr>
                <w:color w:val="auto"/>
              </w:rPr>
            </w:pPr>
            <w:r>
              <w:rPr>
                <w:rFonts w:hint="eastAsia"/>
                <w:color w:val="auto"/>
              </w:rPr>
              <w:t>c、土地平整</w:t>
            </w:r>
          </w:p>
          <w:p>
            <w:pPr>
              <w:pStyle w:val="47"/>
              <w:ind w:firstLine="480"/>
              <w:rPr>
                <w:color w:val="auto"/>
                <w:kern w:val="2"/>
                <w:sz w:val="21"/>
                <w:szCs w:val="21"/>
              </w:rPr>
            </w:pPr>
            <w:r>
              <w:rPr>
                <w:rFonts w:hint="eastAsia"/>
                <w:color w:val="auto"/>
              </w:rPr>
              <w:t>对工业场地进行土地平整，平整厚度为0.3m，尽可能消除出现高低不平、坑洼不平的区域，在土地平整范围内实现土方的填挖平衡。</w:t>
            </w:r>
          </w:p>
          <w:p>
            <w:pPr>
              <w:pStyle w:val="47"/>
              <w:ind w:firstLine="480"/>
              <w:rPr>
                <w:color w:val="auto"/>
              </w:rPr>
            </w:pPr>
            <w:r>
              <w:rPr>
                <w:rFonts w:hint="eastAsia"/>
                <w:color w:val="auto"/>
              </w:rPr>
              <w:t>d、覆土</w:t>
            </w:r>
          </w:p>
          <w:p>
            <w:pPr>
              <w:pStyle w:val="47"/>
              <w:ind w:firstLine="428"/>
              <w:rPr>
                <w:color w:val="auto"/>
              </w:rPr>
            </w:pPr>
            <w:r>
              <w:rPr>
                <w:rFonts w:hint="eastAsia"/>
                <w:color w:val="auto"/>
                <w:spacing w:val="-13"/>
              </w:rPr>
              <w:t>对平整后的工业场地实施覆土工程；工业场地损毁地类为天然牧草地、</w:t>
            </w:r>
            <w:r>
              <w:rPr>
                <w:rFonts w:hint="eastAsia"/>
                <w:color w:val="auto"/>
                <w:spacing w:val="-9"/>
              </w:rPr>
              <w:t>其他草地、采矿用地、农村道路和裸土地，复垦方向</w:t>
            </w:r>
            <w:r>
              <w:rPr>
                <w:rFonts w:hint="eastAsia"/>
                <w:color w:val="auto"/>
                <w:spacing w:val="-11"/>
              </w:rPr>
              <w:t>为人工牧草地；覆土厚度为</w:t>
            </w:r>
            <w:r>
              <w:rPr>
                <w:rFonts w:hint="eastAsia"/>
                <w:color w:val="auto"/>
              </w:rPr>
              <w:t>20cm；从露天开采区拉运前期剥离的表土至工业场地内，均匀的覆盖在工业场地的地表。</w:t>
            </w:r>
          </w:p>
          <w:p>
            <w:pPr>
              <w:pStyle w:val="47"/>
              <w:ind w:firstLine="480"/>
              <w:rPr>
                <w:color w:val="auto"/>
              </w:rPr>
            </w:pPr>
            <w:r>
              <w:rPr>
                <w:rFonts w:hint="eastAsia"/>
                <w:color w:val="auto"/>
              </w:rPr>
              <w:fldChar w:fldCharType="begin"/>
            </w:r>
            <w:r>
              <w:rPr>
                <w:rFonts w:hint="eastAsia"/>
                <w:color w:val="auto"/>
              </w:rPr>
              <w:instrText xml:space="preserve"> = 4 \* GB3 </w:instrText>
            </w:r>
            <w:r>
              <w:rPr>
                <w:rFonts w:hint="eastAsia"/>
                <w:color w:val="auto"/>
              </w:rPr>
              <w:fldChar w:fldCharType="separate"/>
            </w:r>
            <w:r>
              <w:rPr>
                <w:rFonts w:hint="eastAsia"/>
                <w:color w:val="auto"/>
              </w:rPr>
              <w:t>④</w:t>
            </w:r>
            <w:r>
              <w:rPr>
                <w:rFonts w:hint="eastAsia"/>
                <w:color w:val="auto"/>
              </w:rPr>
              <w:fldChar w:fldCharType="end"/>
            </w:r>
            <w:r>
              <w:rPr>
                <w:rFonts w:hint="eastAsia"/>
                <w:color w:val="auto"/>
              </w:rPr>
              <w:t>矿山道路</w:t>
            </w:r>
          </w:p>
          <w:p>
            <w:pPr>
              <w:pStyle w:val="47"/>
              <w:ind w:firstLine="480"/>
              <w:rPr>
                <w:color w:val="auto"/>
              </w:rPr>
            </w:pPr>
            <w:r>
              <w:rPr>
                <w:rFonts w:hint="eastAsia"/>
                <w:color w:val="auto"/>
              </w:rPr>
              <w:t>矿山开采完毕后，矿山道路将废弃使用，需要在其上部进行覆土，矿山道路损毁的地类为天然牧草地、其他草地和农村道路，复垦方向均为人工牧草地，覆土厚度为0.2m。</w:t>
            </w:r>
          </w:p>
          <w:p>
            <w:pPr>
              <w:spacing w:line="360" w:lineRule="auto"/>
              <w:ind w:firstLine="480" w:firstLineChars="200"/>
              <w:rPr>
                <w:rFonts w:ascii="宋体" w:hAnsi="宋体"/>
                <w:sz w:val="24"/>
              </w:rPr>
            </w:pPr>
            <w:r>
              <w:rPr>
                <w:rFonts w:hint="eastAsia"/>
                <w:sz w:val="24"/>
              </w:rPr>
              <w:t>6）</w:t>
            </w:r>
            <w:r>
              <w:rPr>
                <w:rFonts w:hint="eastAsia" w:ascii="宋体" w:hAnsi="宋体"/>
                <w:sz w:val="24"/>
              </w:rPr>
              <w:t>水土保持措施</w:t>
            </w:r>
          </w:p>
          <w:p>
            <w:pPr>
              <w:spacing w:line="360" w:lineRule="auto"/>
              <w:ind w:firstLine="480" w:firstLineChars="200"/>
              <w:rPr>
                <w:sz w:val="24"/>
              </w:rPr>
            </w:pPr>
            <w:r>
              <w:rPr>
                <w:rFonts w:hint="eastAsia"/>
                <w:sz w:val="24"/>
              </w:rPr>
              <w:t>运行期水土流失防治措施应随着排土场各平台及边坡到界后，参照基建期措施实施覆土整治、撒播种草、挡水土埂、横向土埂等措施。</w:t>
            </w:r>
          </w:p>
          <w:p>
            <w:pPr>
              <w:pStyle w:val="50"/>
              <w:ind w:left="420" w:firstLine="0" w:firstLineChars="0"/>
            </w:pPr>
            <w:r>
              <w:rPr>
                <w:rFonts w:hint="eastAsia"/>
              </w:rPr>
              <w:t>7）生态减缓措施</w:t>
            </w:r>
          </w:p>
          <w:p>
            <w:pPr>
              <w:pStyle w:val="50"/>
              <w:ind w:firstLine="480"/>
            </w:pPr>
            <w:r>
              <w:rPr>
                <w:rFonts w:hint="eastAsia"/>
              </w:rPr>
              <w:t>项目建设过程应严格按照《矿山生态环境保护与污染防治技术政策》(环发[2005]109号)、《矿山生态环境保护与恢复治理技术规范》(HJ651-2013)等有关规定，加强项目运营期及闭矿区的生态环境的保护与修复。</w:t>
            </w:r>
          </w:p>
          <w:p>
            <w:pPr>
              <w:pStyle w:val="50"/>
              <w:adjustRightInd/>
              <w:ind w:firstLine="480"/>
            </w:pPr>
            <w:r>
              <w:rPr>
                <w:rFonts w:hint="eastAsia"/>
              </w:rPr>
              <w:t>矿区道路使用期间，应敷设碎石路面，场内运输道路两侧种植灌木。外运道路则根据“见缝插针，能绿就绿”的原则进行，对合适区域进行绿化，以种植灌木为主。植物措施的抚育管理包括植物的灌溉浇水，树木与花草的修剪、植物病虫害的防治，林、草初植后的防风、遮阳等内容。本项目矿区道路需定期洒水抑尘，利于矿区道路及周边区域的植被生长和恢复。</w:t>
            </w:r>
          </w:p>
          <w:p>
            <w:pPr>
              <w:pStyle w:val="50"/>
              <w:adjustRightInd/>
              <w:ind w:firstLine="480"/>
            </w:pPr>
            <w:r>
              <w:rPr>
                <w:rFonts w:hint="eastAsia"/>
              </w:rPr>
              <w:t>8）矿区土地复垦主要工程量</w:t>
            </w:r>
          </w:p>
          <w:p>
            <w:pPr>
              <w:pStyle w:val="50"/>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坑道</w:t>
            </w:r>
          </w:p>
          <w:p>
            <w:pPr>
              <w:pStyle w:val="50"/>
              <w:ind w:firstLine="480"/>
            </w:pPr>
            <w:r>
              <w:rPr>
                <w:rFonts w:hint="eastAsia"/>
              </w:rPr>
              <w:t>a</w:t>
            </w:r>
            <w:r>
              <w:t>.</w:t>
            </w:r>
            <w:r>
              <w:rPr>
                <w:rFonts w:hint="eastAsia"/>
              </w:rPr>
              <w:t>覆土</w:t>
            </w:r>
          </w:p>
          <w:p>
            <w:pPr>
              <w:pStyle w:val="50"/>
              <w:ind w:firstLine="480"/>
            </w:pPr>
            <w:r>
              <w:rPr>
                <w:rFonts w:hint="eastAsia"/>
              </w:rPr>
              <w:t>露天开采区以外的坑道占地面积为3.05hm</w:t>
            </w:r>
            <w:r>
              <w:rPr>
                <w:rFonts w:hint="eastAsia"/>
                <w:vertAlign w:val="superscript"/>
              </w:rPr>
              <w:t>2</w:t>
            </w:r>
            <w:r>
              <w:rPr>
                <w:rFonts w:hint="eastAsia"/>
              </w:rPr>
              <w:t>，坑道损毁的地类为天然牧草地和其他草地，复垦方向为人工牧草地，覆土厚度为0.2m，则覆土方量为3.05hm</w:t>
            </w:r>
            <w:r>
              <w:rPr>
                <w:rFonts w:hint="eastAsia"/>
                <w:vertAlign w:val="superscript"/>
              </w:rPr>
              <w:t>2</w:t>
            </w:r>
            <w:r>
              <w:rPr>
                <w:rFonts w:hint="eastAsia"/>
              </w:rPr>
              <w:t>×0.2m=6100m</w:t>
            </w:r>
            <w:r>
              <w:rPr>
                <w:rFonts w:hint="eastAsia"/>
                <w:vertAlign w:val="superscript"/>
              </w:rPr>
              <w:t>3</w:t>
            </w:r>
            <w:r>
              <w:rPr>
                <w:rFonts w:hint="eastAsia"/>
              </w:rPr>
              <w:t>，覆土平均运距为3km。</w:t>
            </w:r>
          </w:p>
          <w:p>
            <w:pPr>
              <w:pStyle w:val="50"/>
              <w:ind w:firstLine="480"/>
            </w:pPr>
            <w:r>
              <w:rPr>
                <w:rFonts w:hint="eastAsia"/>
              </w:rPr>
              <w:t>b</w:t>
            </w:r>
            <w:r>
              <w:t>.</w:t>
            </w:r>
            <w:r>
              <w:rPr>
                <w:rFonts w:hint="eastAsia"/>
              </w:rPr>
              <w:t>撒播草籽</w:t>
            </w:r>
          </w:p>
          <w:p>
            <w:pPr>
              <w:pStyle w:val="50"/>
              <w:ind w:firstLine="480"/>
            </w:pPr>
            <w:r>
              <w:rPr>
                <w:rFonts w:hint="eastAsia"/>
              </w:rPr>
              <w:t>覆土完毕后，对坑道区域按比例撒播扁穗冰草和短花针茅草籽，两者撒播量分别为13.5kg/hm</w:t>
            </w:r>
            <w:r>
              <w:rPr>
                <w:rFonts w:hint="eastAsia"/>
                <w:vertAlign w:val="superscript"/>
              </w:rPr>
              <w:t>2</w:t>
            </w:r>
            <w:r>
              <w:rPr>
                <w:rFonts w:hint="eastAsia"/>
              </w:rPr>
              <w:t>和 10.8kg/hm</w:t>
            </w:r>
            <w:r>
              <w:rPr>
                <w:rFonts w:hint="eastAsia"/>
                <w:vertAlign w:val="superscript"/>
              </w:rPr>
              <w:t>2</w:t>
            </w:r>
            <w:r>
              <w:rPr>
                <w:rFonts w:hint="eastAsia"/>
              </w:rPr>
              <w:t>。则草籽的撒播量为：扁穂冰草3.05hm</w:t>
            </w:r>
            <w:r>
              <w:rPr>
                <w:rFonts w:hint="eastAsia"/>
                <w:vertAlign w:val="superscript"/>
              </w:rPr>
              <w:t>2</w:t>
            </w:r>
            <w:r>
              <w:rPr>
                <w:rFonts w:hint="eastAsia"/>
              </w:rPr>
              <w:t>×13.5kg/hm</w:t>
            </w:r>
            <w:r>
              <w:rPr>
                <w:rFonts w:hint="eastAsia"/>
                <w:vertAlign w:val="superscript"/>
              </w:rPr>
              <w:t>2</w:t>
            </w:r>
            <w:r>
              <w:rPr>
                <w:rFonts w:hint="eastAsia"/>
              </w:rPr>
              <w:t>=41.2kg，短花针茅3.05hm</w:t>
            </w:r>
            <w:r>
              <w:rPr>
                <w:rFonts w:hint="eastAsia"/>
                <w:vertAlign w:val="superscript"/>
              </w:rPr>
              <w:t>2</w:t>
            </w:r>
            <w:r>
              <w:rPr>
                <w:rFonts w:hint="eastAsia"/>
              </w:rPr>
              <w:t>×10.8kg/hm</w:t>
            </w:r>
            <w:r>
              <w:rPr>
                <w:rFonts w:hint="eastAsia"/>
                <w:vertAlign w:val="superscript"/>
              </w:rPr>
              <w:t>2</w:t>
            </w:r>
            <w:r>
              <w:rPr>
                <w:rFonts w:hint="eastAsia"/>
              </w:rPr>
              <w:t>=32.9kg。</w:t>
            </w:r>
          </w:p>
          <w:p>
            <w:pPr>
              <w:pStyle w:val="50"/>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露天开采区</w:t>
            </w:r>
          </w:p>
          <w:p>
            <w:pPr>
              <w:pStyle w:val="50"/>
              <w:ind w:firstLine="480"/>
            </w:pPr>
            <w:r>
              <w:rPr>
                <w:rFonts w:hint="eastAsia"/>
              </w:rPr>
              <w:t>a</w:t>
            </w:r>
            <w:r>
              <w:t>.</w:t>
            </w:r>
            <w:r>
              <w:rPr>
                <w:rFonts w:hint="eastAsia"/>
              </w:rPr>
              <w:t>覆土</w:t>
            </w:r>
          </w:p>
          <w:p>
            <w:pPr>
              <w:pStyle w:val="50"/>
              <w:ind w:firstLine="480"/>
            </w:pPr>
            <w:r>
              <w:rPr>
                <w:rFonts w:hint="eastAsia"/>
              </w:rPr>
              <w:t>露天采坑的底部和台阶占地面积为 20.01hm</w:t>
            </w:r>
            <w:r>
              <w:rPr>
                <w:rFonts w:hint="eastAsia"/>
                <w:vertAlign w:val="superscript"/>
              </w:rPr>
              <w:t>2</w:t>
            </w:r>
            <w:r>
              <w:rPr>
                <w:rFonts w:hint="eastAsia"/>
              </w:rPr>
              <w:t>，露天采坑损毁的地类为天然牧草地、采矿用地、农村道路和裸岩石砾地，复垦方向为人工牧草地，覆土厚度为0.2m，则覆土方量为 20.01hm</w:t>
            </w:r>
            <w:r>
              <w:rPr>
                <w:rFonts w:hint="eastAsia"/>
                <w:vertAlign w:val="superscript"/>
              </w:rPr>
              <w:t>2</w:t>
            </w:r>
            <w:r>
              <w:rPr>
                <w:rFonts w:hint="eastAsia"/>
              </w:rPr>
              <w:t>×0.2m=40020m</w:t>
            </w:r>
            <w:r>
              <w:rPr>
                <w:rFonts w:hint="eastAsia"/>
                <w:vertAlign w:val="superscript"/>
              </w:rPr>
              <w:t>3</w:t>
            </w:r>
            <w:r>
              <w:rPr>
                <w:rFonts w:hint="eastAsia"/>
              </w:rPr>
              <w:t>，覆土平均运距为0.6km。</w:t>
            </w:r>
          </w:p>
          <w:p>
            <w:pPr>
              <w:pStyle w:val="50"/>
              <w:ind w:firstLine="480"/>
            </w:pPr>
            <w:r>
              <w:rPr>
                <w:rFonts w:hint="eastAsia"/>
              </w:rPr>
              <w:t>b</w:t>
            </w:r>
            <w:r>
              <w:t>.</w:t>
            </w:r>
            <w:r>
              <w:rPr>
                <w:rFonts w:hint="eastAsia"/>
              </w:rPr>
              <w:t>撒播草籽</w:t>
            </w:r>
          </w:p>
          <w:p>
            <w:pPr>
              <w:pStyle w:val="50"/>
              <w:ind w:firstLine="480"/>
            </w:pPr>
            <w:r>
              <w:rPr>
                <w:rFonts w:hint="eastAsia"/>
              </w:rPr>
              <w:t>覆土完毕后，对露天采坑的底部和台阶按比例撒播扁穗冰草和短花针茅草籽，两者撒播量分别为13.5kg/hm</w:t>
            </w:r>
            <w:r>
              <w:rPr>
                <w:rFonts w:hint="eastAsia"/>
                <w:vertAlign w:val="superscript"/>
              </w:rPr>
              <w:t>2</w:t>
            </w:r>
            <w:r>
              <w:rPr>
                <w:rFonts w:hint="eastAsia"/>
              </w:rPr>
              <w:t>和10.8kg/hm</w:t>
            </w:r>
            <w:r>
              <w:rPr>
                <w:rFonts w:hint="eastAsia"/>
                <w:vertAlign w:val="superscript"/>
              </w:rPr>
              <w:t>2</w:t>
            </w:r>
            <w:r>
              <w:rPr>
                <w:rFonts w:hint="eastAsia"/>
              </w:rPr>
              <w:t>。则草籽的撒播量为：扁穂冰草20.01hm</w:t>
            </w:r>
            <w:r>
              <w:rPr>
                <w:rFonts w:hint="eastAsia"/>
                <w:vertAlign w:val="superscript"/>
              </w:rPr>
              <w:t>2</w:t>
            </w:r>
            <w:r>
              <w:rPr>
                <w:rFonts w:hint="eastAsia"/>
              </w:rPr>
              <w:t>×13.5kg/hm</w:t>
            </w:r>
            <w:r>
              <w:rPr>
                <w:rFonts w:hint="eastAsia"/>
                <w:vertAlign w:val="superscript"/>
              </w:rPr>
              <w:t>2</w:t>
            </w:r>
            <w:r>
              <w:rPr>
                <w:rFonts w:hint="eastAsia"/>
              </w:rPr>
              <w:t>=270.1kg，短花针茅20.01hm</w:t>
            </w:r>
            <w:r>
              <w:rPr>
                <w:rFonts w:hint="eastAsia"/>
                <w:vertAlign w:val="superscript"/>
              </w:rPr>
              <w:t>2</w:t>
            </w:r>
            <w:r>
              <w:rPr>
                <w:rFonts w:hint="eastAsia"/>
              </w:rPr>
              <w:t>×10.8kg/hm</w:t>
            </w:r>
            <w:r>
              <w:rPr>
                <w:rFonts w:hint="eastAsia"/>
                <w:vertAlign w:val="superscript"/>
              </w:rPr>
              <w:t>2</w:t>
            </w:r>
            <w:r>
              <w:rPr>
                <w:rFonts w:hint="eastAsia"/>
              </w:rPr>
              <w:t>=216.1kg。</w:t>
            </w:r>
          </w:p>
          <w:p>
            <w:pPr>
              <w:pStyle w:val="50"/>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塌陷区</w:t>
            </w:r>
          </w:p>
          <w:p>
            <w:pPr>
              <w:pStyle w:val="50"/>
              <w:ind w:firstLine="480"/>
            </w:pPr>
            <w:r>
              <w:rPr>
                <w:rFonts w:hint="eastAsia"/>
              </w:rPr>
              <w:t>a</w:t>
            </w:r>
            <w:r>
              <w:t>.</w:t>
            </w:r>
            <w:r>
              <w:rPr>
                <w:rFonts w:hint="eastAsia"/>
              </w:rPr>
              <w:t>条播柠条</w:t>
            </w:r>
          </w:p>
          <w:p>
            <w:pPr>
              <w:pStyle w:val="50"/>
              <w:ind w:firstLine="480"/>
            </w:pPr>
            <w:r>
              <w:rPr>
                <w:rFonts w:hint="eastAsia"/>
              </w:rPr>
              <w:t>对塌陷区范围内损毁的灌木林地进行补植，采取条播柠条的方式恢复灌木林地，设计柠条种子条播量为12.6kg/hm</w:t>
            </w:r>
            <w:r>
              <w:rPr>
                <w:rFonts w:hint="eastAsia"/>
                <w:vertAlign w:val="superscript"/>
              </w:rPr>
              <w:t>2</w:t>
            </w:r>
            <w:r>
              <w:rPr>
                <w:rFonts w:hint="eastAsia"/>
              </w:rPr>
              <w:t>，行距为30cm，塌陷区损毁的灌木林地面积为2.25hm</w:t>
            </w:r>
            <w:r>
              <w:rPr>
                <w:rFonts w:hint="eastAsia"/>
                <w:vertAlign w:val="superscript"/>
              </w:rPr>
              <w:t>2</w:t>
            </w:r>
            <w:r>
              <w:rPr>
                <w:rFonts w:hint="eastAsia"/>
              </w:rPr>
              <w:t>，则条播柠条量为2.25hm</w:t>
            </w:r>
            <w:r>
              <w:rPr>
                <w:rFonts w:hint="eastAsia"/>
                <w:vertAlign w:val="superscript"/>
              </w:rPr>
              <w:t>2</w:t>
            </w:r>
            <w:r>
              <w:rPr>
                <w:rFonts w:hint="eastAsia"/>
              </w:rPr>
              <w:t>×12.6kg/hm</w:t>
            </w:r>
            <w:r>
              <w:rPr>
                <w:rFonts w:hint="eastAsia"/>
                <w:vertAlign w:val="superscript"/>
              </w:rPr>
              <w:t>2</w:t>
            </w:r>
            <w:r>
              <w:rPr>
                <w:rFonts w:hint="eastAsia"/>
              </w:rPr>
              <w:t>=28.4kg。</w:t>
            </w:r>
          </w:p>
          <w:p>
            <w:pPr>
              <w:pStyle w:val="50"/>
              <w:ind w:firstLine="480"/>
            </w:pPr>
            <w:r>
              <w:rPr>
                <w:rFonts w:hint="eastAsia"/>
              </w:rPr>
              <w:t>b</w:t>
            </w:r>
            <w:r>
              <w:t>.</w:t>
            </w:r>
            <w:r>
              <w:rPr>
                <w:rFonts w:hint="eastAsia"/>
              </w:rPr>
              <w:t>撒播草籽</w:t>
            </w:r>
          </w:p>
          <w:p>
            <w:pPr>
              <w:pStyle w:val="50"/>
              <w:ind w:firstLine="480"/>
            </w:pPr>
            <w:r>
              <w:rPr>
                <w:rFonts w:hint="eastAsia"/>
              </w:rPr>
              <w:t>对露天开采区以外的塌陷区损毁的天然牧草地、其他草地和农村道路撒播草籽进行补植，其面积约为134.69hm</w:t>
            </w:r>
            <w:r>
              <w:rPr>
                <w:rFonts w:hint="eastAsia"/>
                <w:vertAlign w:val="superscript"/>
              </w:rPr>
              <w:t>2</w:t>
            </w:r>
            <w:r>
              <w:rPr>
                <w:rFonts w:hint="eastAsia"/>
              </w:rPr>
              <w:t>，按比例撒播扁穗冰草和短花针茅草籽，两者撒播量分别为13.5kg/hm</w:t>
            </w:r>
            <w:r>
              <w:rPr>
                <w:rFonts w:hint="eastAsia"/>
                <w:vertAlign w:val="superscript"/>
              </w:rPr>
              <w:t>2</w:t>
            </w:r>
            <w:r>
              <w:rPr>
                <w:rFonts w:hint="eastAsia"/>
              </w:rPr>
              <w:t>和10.8kg/hm</w:t>
            </w:r>
            <w:r>
              <w:rPr>
                <w:rFonts w:hint="eastAsia"/>
                <w:vertAlign w:val="superscript"/>
              </w:rPr>
              <w:t>2</w:t>
            </w:r>
            <w:r>
              <w:rPr>
                <w:rFonts w:hint="eastAsia"/>
              </w:rPr>
              <w:t>。则草籽的撒播量为：扁穂冰草134.69hm</w:t>
            </w:r>
            <w:r>
              <w:rPr>
                <w:rFonts w:hint="eastAsia"/>
                <w:vertAlign w:val="superscript"/>
              </w:rPr>
              <w:t>2</w:t>
            </w:r>
            <w:r>
              <w:rPr>
                <w:rFonts w:hint="eastAsia"/>
              </w:rPr>
              <w:t>×13.5kg/hm</w:t>
            </w:r>
            <w:r>
              <w:rPr>
                <w:rFonts w:hint="eastAsia"/>
                <w:vertAlign w:val="superscript"/>
              </w:rPr>
              <w:t>2</w:t>
            </w:r>
            <w:r>
              <w:rPr>
                <w:rFonts w:hint="eastAsia"/>
              </w:rPr>
              <w:t>=1818.3kg，短花针茅134.69hm</w:t>
            </w:r>
            <w:r>
              <w:rPr>
                <w:rFonts w:hint="eastAsia"/>
                <w:vertAlign w:val="superscript"/>
              </w:rPr>
              <w:t>2</w:t>
            </w:r>
            <w:r>
              <w:rPr>
                <w:rFonts w:hint="eastAsia"/>
              </w:rPr>
              <w:t>×10.8kg/hm</w:t>
            </w:r>
            <w:r>
              <w:rPr>
                <w:rFonts w:hint="eastAsia"/>
                <w:vertAlign w:val="superscript"/>
              </w:rPr>
              <w:t>2</w:t>
            </w:r>
            <w:r>
              <w:rPr>
                <w:rFonts w:hint="eastAsia"/>
              </w:rPr>
              <w:t>=1454.7kg。</w:t>
            </w:r>
          </w:p>
          <w:p>
            <w:pPr>
              <w:pStyle w:val="50"/>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工业场地</w:t>
            </w:r>
          </w:p>
          <w:p>
            <w:pPr>
              <w:pStyle w:val="50"/>
              <w:ind w:firstLine="480"/>
            </w:pPr>
            <w:r>
              <w:rPr>
                <w:rFonts w:hint="eastAsia"/>
              </w:rPr>
              <w:t>对工业场地采取的土地复垦措施为建构筑物拆除清理工程、硬化地面拆除清理工程、井口回填工程、土地平整工程、覆土工程、撒播草籽以及土壤培肥。</w:t>
            </w:r>
          </w:p>
          <w:p>
            <w:pPr>
              <w:pStyle w:val="50"/>
              <w:ind w:firstLine="480"/>
            </w:pPr>
            <w:r>
              <w:rPr>
                <w:rFonts w:hint="eastAsia"/>
              </w:rPr>
              <w:t>a</w:t>
            </w:r>
            <w:r>
              <w:t>.</w:t>
            </w:r>
            <w:r>
              <w:rPr>
                <w:rFonts w:hint="eastAsia"/>
              </w:rPr>
              <w:t>建构筑物拆除清理</w:t>
            </w:r>
          </w:p>
          <w:p>
            <w:pPr>
              <w:pStyle w:val="50"/>
              <w:ind w:firstLine="480"/>
            </w:pPr>
            <w:r>
              <w:rPr>
                <w:rFonts w:hint="eastAsia"/>
              </w:rPr>
              <w:t>根据工业场地设计平面图，工业场地内的建构筑物总占地面积为3145m</w:t>
            </w:r>
            <w:r>
              <w:rPr>
                <w:rFonts w:hint="eastAsia"/>
                <w:vertAlign w:val="superscript"/>
              </w:rPr>
              <w:t>2</w:t>
            </w:r>
            <w:r>
              <w:rPr>
                <w:rFonts w:hint="eastAsia"/>
              </w:rPr>
              <w:t>，拆除系数按1.3m</w:t>
            </w:r>
            <w:r>
              <w:rPr>
                <w:rFonts w:hint="eastAsia"/>
                <w:vertAlign w:val="superscript"/>
              </w:rPr>
              <w:t>3</w:t>
            </w:r>
            <w:r>
              <w:rPr>
                <w:rFonts w:hint="eastAsia"/>
              </w:rPr>
              <w:t>/m</w:t>
            </w:r>
            <w:r>
              <w:rPr>
                <w:rFonts w:hint="eastAsia"/>
                <w:vertAlign w:val="superscript"/>
              </w:rPr>
              <w:t>2</w:t>
            </w:r>
            <w:r>
              <w:rPr>
                <w:rFonts w:hint="eastAsia"/>
              </w:rPr>
              <w:t>计算，则建筑物拆除清运工程量4089m</w:t>
            </w:r>
            <w:r>
              <w:rPr>
                <w:rFonts w:hint="eastAsia"/>
                <w:vertAlign w:val="superscript"/>
              </w:rPr>
              <w:t>3</w:t>
            </w:r>
            <w:r>
              <w:rPr>
                <w:rFonts w:hint="eastAsia"/>
              </w:rPr>
              <w:t>，建筑垃圾运往周边垃圾填埋场进行填埋，平均运距5km。</w:t>
            </w:r>
          </w:p>
          <w:p>
            <w:pPr>
              <w:pStyle w:val="50"/>
              <w:ind w:firstLine="480"/>
            </w:pPr>
            <w:r>
              <w:rPr>
                <w:rFonts w:hint="eastAsia"/>
              </w:rPr>
              <w:t>b</w:t>
            </w:r>
            <w:r>
              <w:t>.</w:t>
            </w:r>
            <w:r>
              <w:rPr>
                <w:rFonts w:hint="eastAsia"/>
              </w:rPr>
              <w:t>硬化地面拆除清理</w:t>
            </w:r>
          </w:p>
          <w:p>
            <w:pPr>
              <w:pStyle w:val="50"/>
              <w:ind w:firstLine="480"/>
            </w:pPr>
            <w:r>
              <w:rPr>
                <w:rFonts w:hint="eastAsia"/>
              </w:rPr>
              <w:t>根据工业场地设计平面图，工业场地内的混凝土硬化地面总占地面积约为5000m</w:t>
            </w:r>
            <w:r>
              <w:rPr>
                <w:rFonts w:hint="eastAsia"/>
                <w:vertAlign w:val="superscript"/>
              </w:rPr>
              <w:t>2</w:t>
            </w:r>
            <w:r>
              <w:rPr>
                <w:rFonts w:hint="eastAsia"/>
              </w:rPr>
              <w:t>，厚度为0.2m，则硬化地面拆除清运工程量1000m</w:t>
            </w:r>
            <w:r>
              <w:rPr>
                <w:rFonts w:hint="eastAsia"/>
                <w:vertAlign w:val="superscript"/>
              </w:rPr>
              <w:t>3</w:t>
            </w:r>
            <w:r>
              <w:rPr>
                <w:rFonts w:hint="eastAsia"/>
              </w:rPr>
              <w:t>，建筑垃圾运往周边垃圾填埋场进行填埋，平均运距5km。</w:t>
            </w:r>
          </w:p>
          <w:p>
            <w:pPr>
              <w:pStyle w:val="50"/>
              <w:ind w:firstLine="480"/>
            </w:pPr>
            <w:r>
              <w:t>c.</w:t>
            </w:r>
            <w:r>
              <w:rPr>
                <w:rFonts w:hint="eastAsia"/>
              </w:rPr>
              <w:t>土地平整</w:t>
            </w:r>
          </w:p>
          <w:p>
            <w:pPr>
              <w:pStyle w:val="50"/>
              <w:ind w:firstLine="480"/>
            </w:pPr>
            <w:r>
              <w:rPr>
                <w:rFonts w:hint="eastAsia"/>
              </w:rPr>
              <w:t>工业场地总面积为10.28hm</w:t>
            </w:r>
            <w:r>
              <w:rPr>
                <w:rFonts w:hint="eastAsia"/>
                <w:vertAlign w:val="superscript"/>
              </w:rPr>
              <w:t>2</w:t>
            </w:r>
            <w:r>
              <w:rPr>
                <w:rFonts w:hint="eastAsia"/>
              </w:rPr>
              <w:t>，平整厚度为0.3m，则土地平整方量为30840m</w:t>
            </w:r>
            <w:r>
              <w:rPr>
                <w:rFonts w:hint="eastAsia"/>
                <w:vertAlign w:val="superscript"/>
              </w:rPr>
              <w:t>3</w:t>
            </w:r>
            <w:r>
              <w:rPr>
                <w:rFonts w:hint="eastAsia"/>
              </w:rPr>
              <w:t>。</w:t>
            </w:r>
          </w:p>
          <w:p>
            <w:pPr>
              <w:pStyle w:val="50"/>
              <w:ind w:firstLine="480"/>
            </w:pPr>
            <w:r>
              <w:t>d.</w:t>
            </w:r>
            <w:r>
              <w:rPr>
                <w:rFonts w:hint="eastAsia"/>
              </w:rPr>
              <w:t>覆土</w:t>
            </w:r>
          </w:p>
          <w:p>
            <w:pPr>
              <w:pStyle w:val="50"/>
              <w:ind w:firstLine="480"/>
            </w:pPr>
            <w:r>
              <w:rPr>
                <w:rFonts w:hint="eastAsia"/>
              </w:rPr>
              <w:t>工业场地复垦为旱地的区域面积为0.61hm</w:t>
            </w:r>
            <w:r>
              <w:rPr>
                <w:rFonts w:hint="eastAsia"/>
                <w:vertAlign w:val="superscript"/>
              </w:rPr>
              <w:t>2</w:t>
            </w:r>
            <w:r>
              <w:rPr>
                <w:rFonts w:hint="eastAsia"/>
              </w:rPr>
              <w:t>，覆土厚度为40cm，则覆土方量为2440m</w:t>
            </w:r>
            <w:r>
              <w:rPr>
                <w:rFonts w:hint="eastAsia"/>
                <w:vertAlign w:val="superscript"/>
              </w:rPr>
              <w:t>3</w:t>
            </w:r>
            <w:r>
              <w:rPr>
                <w:rFonts w:hint="eastAsia"/>
              </w:rPr>
              <w:t>；复垦为人工牧草地的区域面积为9.67hm</w:t>
            </w:r>
            <w:r>
              <w:rPr>
                <w:rFonts w:hint="eastAsia"/>
                <w:vertAlign w:val="superscript"/>
              </w:rPr>
              <w:t>2</w:t>
            </w:r>
            <w:r>
              <w:rPr>
                <w:rFonts w:hint="eastAsia"/>
              </w:rPr>
              <w:t>，覆土厚度为20cm，则覆土方量为19340m</w:t>
            </w:r>
            <w:r>
              <w:rPr>
                <w:rFonts w:hint="eastAsia"/>
                <w:vertAlign w:val="superscript"/>
              </w:rPr>
              <w:t>3</w:t>
            </w:r>
            <w:r>
              <w:rPr>
                <w:rFonts w:hint="eastAsia"/>
              </w:rPr>
              <w:t>；从露天开采区拉运前期剥离的表土至工业场地内，均匀的覆盖在工业场地的地表，覆土运距为0.9km。</w:t>
            </w:r>
          </w:p>
          <w:p>
            <w:pPr>
              <w:pStyle w:val="50"/>
              <w:ind w:firstLine="480"/>
            </w:pPr>
            <w:r>
              <w:t>e.</w:t>
            </w:r>
            <w:r>
              <w:rPr>
                <w:rFonts w:hint="eastAsia"/>
              </w:rPr>
              <w:t>撒播草籽</w:t>
            </w:r>
          </w:p>
          <w:p>
            <w:pPr>
              <w:pStyle w:val="50"/>
              <w:ind w:firstLine="480"/>
            </w:pPr>
            <w:r>
              <w:rPr>
                <w:rFonts w:hint="eastAsia"/>
              </w:rPr>
              <w:t>覆土完毕后，对复垦为人工牧草地的区域按比例撒播扁穗冰草和短花针茅草籽，两者撒播量分别为13.5kg/hm</w:t>
            </w:r>
            <w:r>
              <w:rPr>
                <w:rFonts w:hint="eastAsia"/>
                <w:vertAlign w:val="superscript"/>
              </w:rPr>
              <w:t>2</w:t>
            </w:r>
            <w:r>
              <w:rPr>
                <w:rFonts w:hint="eastAsia"/>
              </w:rPr>
              <w:t>和10.8kg/hm</w:t>
            </w:r>
            <w:r>
              <w:rPr>
                <w:rFonts w:hint="eastAsia"/>
                <w:vertAlign w:val="superscript"/>
              </w:rPr>
              <w:t>2</w:t>
            </w:r>
            <w:r>
              <w:rPr>
                <w:rFonts w:hint="eastAsia"/>
              </w:rPr>
              <w:t>。则草籽的撒播量分别为：扁穂冰草9.67hm</w:t>
            </w:r>
            <w:r>
              <w:rPr>
                <w:rFonts w:hint="eastAsia"/>
                <w:vertAlign w:val="superscript"/>
              </w:rPr>
              <w:t>2</w:t>
            </w:r>
            <w:r>
              <w:rPr>
                <w:rFonts w:hint="eastAsia"/>
              </w:rPr>
              <w:t>×13.5kg/hm</w:t>
            </w:r>
            <w:r>
              <w:rPr>
                <w:rFonts w:hint="eastAsia"/>
                <w:vertAlign w:val="superscript"/>
              </w:rPr>
              <w:t>2</w:t>
            </w:r>
            <w:r>
              <w:rPr>
                <w:rFonts w:hint="eastAsia"/>
              </w:rPr>
              <w:t>=130.5kg，短花针茅9.67hm</w:t>
            </w:r>
            <w:r>
              <w:rPr>
                <w:rFonts w:hint="eastAsia"/>
                <w:vertAlign w:val="superscript"/>
              </w:rPr>
              <w:t>2</w:t>
            </w:r>
            <w:r>
              <w:rPr>
                <w:rFonts w:hint="eastAsia"/>
              </w:rPr>
              <w:t>×10.8kg/hm</w:t>
            </w:r>
            <w:r>
              <w:rPr>
                <w:rFonts w:hint="eastAsia"/>
                <w:vertAlign w:val="superscript"/>
              </w:rPr>
              <w:t>2</w:t>
            </w:r>
            <w:r>
              <w:rPr>
                <w:rFonts w:hint="eastAsia"/>
              </w:rPr>
              <w:t>=104.4kg。</w:t>
            </w:r>
          </w:p>
          <w:p>
            <w:pPr>
              <w:pStyle w:val="50"/>
              <w:ind w:firstLine="480"/>
            </w:pPr>
            <w:r>
              <w:t>f.</w:t>
            </w:r>
            <w:r>
              <w:rPr>
                <w:rFonts w:hint="eastAsia"/>
              </w:rPr>
              <w:t>土壤培肥</w:t>
            </w:r>
          </w:p>
          <w:p>
            <w:pPr>
              <w:pStyle w:val="50"/>
              <w:ind w:firstLine="480"/>
            </w:pPr>
            <w:r>
              <w:rPr>
                <w:rFonts w:hint="eastAsia"/>
              </w:rPr>
              <w:t>覆土完毕后，对复垦为旱地的区域施用复合肥恢复耕地的肥力，复垦为旱地的区域面积为0.61hm</w:t>
            </w:r>
            <w:r>
              <w:rPr>
                <w:rFonts w:hint="eastAsia"/>
                <w:vertAlign w:val="superscript"/>
              </w:rPr>
              <w:t>2</w:t>
            </w:r>
            <w:r>
              <w:rPr>
                <w:rFonts w:hint="eastAsia"/>
              </w:rPr>
              <w:t>，每公顷施用有机肥2.25t，则施肥量为0.61hm</w:t>
            </w:r>
            <w:r>
              <w:rPr>
                <w:rFonts w:hint="eastAsia"/>
                <w:vertAlign w:val="superscript"/>
              </w:rPr>
              <w:t>2</w:t>
            </w:r>
            <w:r>
              <w:rPr>
                <w:rFonts w:hint="eastAsia"/>
              </w:rPr>
              <w:t>×2.25t/hm</w:t>
            </w:r>
            <w:r>
              <w:rPr>
                <w:rFonts w:hint="eastAsia"/>
                <w:vertAlign w:val="superscript"/>
              </w:rPr>
              <w:t>2</w:t>
            </w:r>
            <w:r>
              <w:rPr>
                <w:rFonts w:hint="eastAsia"/>
              </w:rPr>
              <w:t>=1.37t。</w:t>
            </w:r>
          </w:p>
          <w:p>
            <w:pPr>
              <w:pStyle w:val="50"/>
              <w:ind w:firstLine="48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矿山道路</w:t>
            </w:r>
          </w:p>
          <w:p>
            <w:pPr>
              <w:pStyle w:val="50"/>
              <w:ind w:firstLine="480"/>
            </w:pPr>
            <w:r>
              <w:rPr>
                <w:rFonts w:hint="eastAsia"/>
              </w:rPr>
              <w:t>a</w:t>
            </w:r>
            <w:r>
              <w:t>.</w:t>
            </w:r>
            <w:r>
              <w:rPr>
                <w:rFonts w:hint="eastAsia"/>
              </w:rPr>
              <w:t>覆土</w:t>
            </w:r>
          </w:p>
          <w:p>
            <w:pPr>
              <w:pStyle w:val="50"/>
              <w:ind w:firstLine="480"/>
            </w:pPr>
            <w:r>
              <w:rPr>
                <w:rFonts w:hint="eastAsia"/>
              </w:rPr>
              <w:t>矿山道路占地面积为1.25hm</w:t>
            </w:r>
            <w:r>
              <w:rPr>
                <w:rFonts w:hint="eastAsia"/>
                <w:vertAlign w:val="superscript"/>
              </w:rPr>
              <w:t>2</w:t>
            </w:r>
            <w:r>
              <w:rPr>
                <w:rFonts w:hint="eastAsia"/>
              </w:rPr>
              <w:t>，复垦方向为人工牧草地，覆土厚度为0.2m，则覆土方量为1.25hm</w:t>
            </w:r>
            <w:r>
              <w:rPr>
                <w:rFonts w:hint="eastAsia"/>
                <w:vertAlign w:val="superscript"/>
              </w:rPr>
              <w:t>2</w:t>
            </w:r>
            <w:r>
              <w:rPr>
                <w:rFonts w:hint="eastAsia"/>
              </w:rPr>
              <w:t>×0.2m=2500m</w:t>
            </w:r>
            <w:r>
              <w:rPr>
                <w:rFonts w:hint="eastAsia"/>
                <w:vertAlign w:val="superscript"/>
              </w:rPr>
              <w:t>3</w:t>
            </w:r>
            <w:r>
              <w:rPr>
                <w:rFonts w:hint="eastAsia"/>
              </w:rPr>
              <w:t>，覆土平均运距为0.4km。</w:t>
            </w:r>
          </w:p>
          <w:p>
            <w:pPr>
              <w:pStyle w:val="50"/>
              <w:ind w:firstLine="480"/>
            </w:pPr>
            <w:r>
              <w:rPr>
                <w:rFonts w:hint="eastAsia"/>
              </w:rPr>
              <w:t>b</w:t>
            </w:r>
            <w:r>
              <w:t>.</w:t>
            </w:r>
            <w:r>
              <w:rPr>
                <w:rFonts w:hint="eastAsia"/>
              </w:rPr>
              <w:t>撒播草籽</w:t>
            </w:r>
          </w:p>
          <w:p>
            <w:pPr>
              <w:pStyle w:val="50"/>
              <w:ind w:firstLine="480"/>
            </w:pPr>
            <w:r>
              <w:rPr>
                <w:rFonts w:hint="eastAsia"/>
              </w:rPr>
              <w:t>覆土完毕后，对矿山道路按比例撒播扁穗冰草和短花针茅草籽，两者撒播量分别为13.5kg/hm</w:t>
            </w:r>
            <w:r>
              <w:rPr>
                <w:rFonts w:hint="eastAsia"/>
                <w:vertAlign w:val="superscript"/>
              </w:rPr>
              <w:t>2</w:t>
            </w:r>
            <w:r>
              <w:rPr>
                <w:rFonts w:hint="eastAsia"/>
              </w:rPr>
              <w:t>和10.8kg/hm</w:t>
            </w:r>
            <w:r>
              <w:rPr>
                <w:rFonts w:hint="eastAsia"/>
                <w:vertAlign w:val="superscript"/>
              </w:rPr>
              <w:t>2</w:t>
            </w:r>
            <w:r>
              <w:rPr>
                <w:rFonts w:hint="eastAsia"/>
              </w:rPr>
              <w:t>。则坑道撒播草籽的量分别为：扁穂冰草1.25hm</w:t>
            </w:r>
            <w:r>
              <w:rPr>
                <w:rFonts w:hint="eastAsia"/>
                <w:vertAlign w:val="superscript"/>
              </w:rPr>
              <w:t>2</w:t>
            </w:r>
            <w:r>
              <w:rPr>
                <w:rFonts w:hint="eastAsia"/>
              </w:rPr>
              <w:t>×13.5kg/hm</w:t>
            </w:r>
            <w:r>
              <w:rPr>
                <w:rFonts w:hint="eastAsia"/>
                <w:vertAlign w:val="superscript"/>
              </w:rPr>
              <w:t>2</w:t>
            </w:r>
            <w:r>
              <w:rPr>
                <w:rFonts w:hint="eastAsia"/>
              </w:rPr>
              <w:t>=16.9kg，短花针茅1.25hm</w:t>
            </w:r>
            <w:r>
              <w:rPr>
                <w:rFonts w:hint="eastAsia"/>
                <w:vertAlign w:val="superscript"/>
              </w:rPr>
              <w:t>2</w:t>
            </w:r>
            <w:r>
              <w:rPr>
                <w:rFonts w:hint="eastAsia"/>
              </w:rPr>
              <w:t>×10.8kg/hm</w:t>
            </w:r>
            <w:r>
              <w:rPr>
                <w:rFonts w:hint="eastAsia"/>
                <w:vertAlign w:val="superscript"/>
              </w:rPr>
              <w:t>2</w:t>
            </w:r>
            <w:r>
              <w:rPr>
                <w:rFonts w:hint="eastAsia"/>
              </w:rPr>
              <w:t>=13.5kg。</w:t>
            </w:r>
          </w:p>
          <w:p>
            <w:pPr>
              <w:pStyle w:val="50"/>
              <w:adjustRightInd/>
              <w:ind w:firstLine="480"/>
            </w:pPr>
            <w:r>
              <w:rPr>
                <w:rFonts w:hint="eastAsia"/>
              </w:rPr>
              <w:t>矿区土地复垦总工程量见下表。</w:t>
            </w:r>
          </w:p>
          <w:p>
            <w:pPr>
              <w:pStyle w:val="50"/>
              <w:numPr>
                <w:ilvl w:val="0"/>
                <w:numId w:val="2"/>
              </w:numPr>
              <w:snapToGrid w:val="0"/>
              <w:spacing w:line="240" w:lineRule="auto"/>
              <w:ind w:left="420" w:firstLineChars="0"/>
              <w:jc w:val="center"/>
              <w:rPr>
                <w:b/>
                <w:bCs/>
              </w:rPr>
            </w:pPr>
            <w:r>
              <w:rPr>
                <w:rFonts w:hint="eastAsia"/>
                <w:b/>
                <w:bCs/>
              </w:rPr>
              <w:t>土地复垦工程量一览表</w:t>
            </w:r>
          </w:p>
          <w:tbl>
            <w:tblPr>
              <w:tblStyle w:val="22"/>
              <w:tblW w:w="829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98"/>
              <w:gridCol w:w="3628"/>
              <w:gridCol w:w="1356"/>
              <w:gridCol w:w="161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shd w:val="clear" w:color="auto" w:fill="auto"/>
                  <w:vAlign w:val="center"/>
                </w:tcPr>
                <w:p>
                  <w:pPr>
                    <w:pStyle w:val="33"/>
                    <w:spacing w:line="360" w:lineRule="exact"/>
                    <w:jc w:val="center"/>
                    <w:rPr>
                      <w:szCs w:val="21"/>
                    </w:rPr>
                  </w:pPr>
                  <w:r>
                    <w:rPr>
                      <w:rFonts w:hint="eastAsia"/>
                      <w:szCs w:val="21"/>
                    </w:rPr>
                    <w:t>复垦区域</w:t>
                  </w:r>
                </w:p>
              </w:tc>
              <w:tc>
                <w:tcPr>
                  <w:tcW w:w="3628" w:type="dxa"/>
                  <w:shd w:val="clear" w:color="auto" w:fill="auto"/>
                  <w:vAlign w:val="center"/>
                </w:tcPr>
                <w:p>
                  <w:pPr>
                    <w:pStyle w:val="33"/>
                    <w:spacing w:line="360" w:lineRule="exact"/>
                    <w:jc w:val="center"/>
                    <w:rPr>
                      <w:b/>
                      <w:szCs w:val="21"/>
                    </w:rPr>
                  </w:pPr>
                  <w:r>
                    <w:rPr>
                      <w:rFonts w:hint="eastAsia"/>
                      <w:b/>
                      <w:szCs w:val="21"/>
                    </w:rPr>
                    <w:t>工程名称</w:t>
                  </w:r>
                </w:p>
              </w:tc>
              <w:tc>
                <w:tcPr>
                  <w:tcW w:w="1356" w:type="dxa"/>
                  <w:shd w:val="clear" w:color="auto" w:fill="auto"/>
                  <w:vAlign w:val="center"/>
                </w:tcPr>
                <w:p>
                  <w:pPr>
                    <w:pStyle w:val="33"/>
                    <w:spacing w:line="360" w:lineRule="exact"/>
                    <w:jc w:val="center"/>
                    <w:rPr>
                      <w:b/>
                      <w:szCs w:val="21"/>
                    </w:rPr>
                  </w:pPr>
                  <w:r>
                    <w:rPr>
                      <w:rFonts w:hint="eastAsia"/>
                      <w:b/>
                      <w:szCs w:val="21"/>
                    </w:rPr>
                    <w:t>单位</w:t>
                  </w:r>
                </w:p>
              </w:tc>
              <w:tc>
                <w:tcPr>
                  <w:tcW w:w="1612" w:type="dxa"/>
                  <w:shd w:val="clear" w:color="auto" w:fill="auto"/>
                  <w:vAlign w:val="center"/>
                </w:tcPr>
                <w:p>
                  <w:pPr>
                    <w:pStyle w:val="33"/>
                    <w:spacing w:line="360" w:lineRule="exact"/>
                    <w:jc w:val="center"/>
                    <w:rPr>
                      <w:b/>
                      <w:szCs w:val="21"/>
                    </w:rPr>
                  </w:pPr>
                  <w:r>
                    <w:rPr>
                      <w:rFonts w:hint="eastAsia"/>
                      <w:b/>
                      <w:szCs w:val="21"/>
                    </w:rPr>
                    <w:t>工程量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atLeast"/>
                <w:jc w:val="center"/>
              </w:trPr>
              <w:tc>
                <w:tcPr>
                  <w:tcW w:w="1698" w:type="dxa"/>
                  <w:vMerge w:val="restart"/>
                  <w:shd w:val="clear" w:color="auto" w:fill="auto"/>
                  <w:vAlign w:val="center"/>
                </w:tcPr>
                <w:p>
                  <w:pPr>
                    <w:pStyle w:val="33"/>
                    <w:spacing w:line="360" w:lineRule="exact"/>
                    <w:jc w:val="center"/>
                    <w:rPr>
                      <w:szCs w:val="21"/>
                    </w:rPr>
                  </w:pPr>
                  <w:r>
                    <w:rPr>
                      <w:rFonts w:hint="eastAsia"/>
                      <w:szCs w:val="21"/>
                    </w:rPr>
                    <w:t>坑道</w:t>
                  </w:r>
                </w:p>
              </w:tc>
              <w:tc>
                <w:tcPr>
                  <w:tcW w:w="3628" w:type="dxa"/>
                  <w:shd w:val="clear" w:color="auto" w:fill="auto"/>
                  <w:vAlign w:val="center"/>
                </w:tcPr>
                <w:p>
                  <w:pPr>
                    <w:pStyle w:val="33"/>
                    <w:spacing w:line="360" w:lineRule="exact"/>
                    <w:jc w:val="center"/>
                    <w:rPr>
                      <w:szCs w:val="21"/>
                    </w:rPr>
                  </w:pPr>
                  <w:r>
                    <w:rPr>
                      <w:rFonts w:hint="eastAsia"/>
                      <w:szCs w:val="21"/>
                    </w:rPr>
                    <w:t>覆土</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6100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播撒草籽</w:t>
                  </w:r>
                </w:p>
              </w:tc>
              <w:tc>
                <w:tcPr>
                  <w:tcW w:w="1356" w:type="dxa"/>
                  <w:shd w:val="clear" w:color="auto" w:fill="auto"/>
                  <w:vAlign w:val="center"/>
                </w:tcPr>
                <w:p>
                  <w:pPr>
                    <w:pStyle w:val="33"/>
                    <w:spacing w:line="360" w:lineRule="exact"/>
                    <w:jc w:val="center"/>
                    <w:rPr>
                      <w:szCs w:val="21"/>
                    </w:rPr>
                  </w:pPr>
                  <w:r>
                    <w:rPr>
                      <w:szCs w:val="21"/>
                    </w:rPr>
                    <w:t>hm</w:t>
                  </w:r>
                  <w:r>
                    <w:rPr>
                      <w:szCs w:val="21"/>
                      <w:vertAlign w:val="superscript"/>
                    </w:rPr>
                    <w:t>2</w:t>
                  </w:r>
                </w:p>
              </w:tc>
              <w:tc>
                <w:tcPr>
                  <w:tcW w:w="1612" w:type="dxa"/>
                  <w:shd w:val="clear" w:color="auto" w:fill="auto"/>
                  <w:vAlign w:val="center"/>
                </w:tcPr>
                <w:p>
                  <w:pPr>
                    <w:pStyle w:val="33"/>
                    <w:spacing w:line="360" w:lineRule="exact"/>
                    <w:jc w:val="center"/>
                    <w:rPr>
                      <w:szCs w:val="21"/>
                    </w:rPr>
                  </w:pPr>
                  <w:r>
                    <w:rPr>
                      <w:szCs w:val="21"/>
                    </w:rPr>
                    <w:t>3.05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restart"/>
                  <w:shd w:val="clear" w:color="auto" w:fill="auto"/>
                  <w:vAlign w:val="center"/>
                </w:tcPr>
                <w:p>
                  <w:pPr>
                    <w:pStyle w:val="33"/>
                    <w:spacing w:line="360" w:lineRule="exact"/>
                    <w:jc w:val="center"/>
                    <w:rPr>
                      <w:szCs w:val="21"/>
                    </w:rPr>
                  </w:pPr>
                  <w:r>
                    <w:rPr>
                      <w:rFonts w:hint="eastAsia"/>
                      <w:szCs w:val="21"/>
                    </w:rPr>
                    <w:t>露天开采区</w:t>
                  </w:r>
                </w:p>
              </w:tc>
              <w:tc>
                <w:tcPr>
                  <w:tcW w:w="3628" w:type="dxa"/>
                  <w:shd w:val="clear" w:color="auto" w:fill="auto"/>
                  <w:vAlign w:val="center"/>
                </w:tcPr>
                <w:p>
                  <w:pPr>
                    <w:pStyle w:val="33"/>
                    <w:spacing w:line="360" w:lineRule="exact"/>
                    <w:jc w:val="center"/>
                    <w:rPr>
                      <w:szCs w:val="21"/>
                    </w:rPr>
                  </w:pPr>
                  <w:r>
                    <w:rPr>
                      <w:rFonts w:hint="eastAsia"/>
                      <w:szCs w:val="21"/>
                    </w:rPr>
                    <w:t>覆土</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40020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播撒草籽</w:t>
                  </w:r>
                </w:p>
              </w:tc>
              <w:tc>
                <w:tcPr>
                  <w:tcW w:w="1356" w:type="dxa"/>
                  <w:shd w:val="clear" w:color="auto" w:fill="auto"/>
                  <w:vAlign w:val="center"/>
                </w:tcPr>
                <w:p>
                  <w:pPr>
                    <w:pStyle w:val="33"/>
                    <w:spacing w:line="360" w:lineRule="exact"/>
                    <w:jc w:val="center"/>
                    <w:rPr>
                      <w:szCs w:val="21"/>
                    </w:rPr>
                  </w:pPr>
                  <w:r>
                    <w:rPr>
                      <w:szCs w:val="21"/>
                    </w:rPr>
                    <w:t>hm</w:t>
                  </w:r>
                  <w:r>
                    <w:rPr>
                      <w:szCs w:val="21"/>
                      <w:vertAlign w:val="superscript"/>
                    </w:rPr>
                    <w:t>2</w:t>
                  </w:r>
                </w:p>
              </w:tc>
              <w:tc>
                <w:tcPr>
                  <w:tcW w:w="1612" w:type="dxa"/>
                  <w:shd w:val="clear" w:color="auto" w:fill="auto"/>
                  <w:vAlign w:val="center"/>
                </w:tcPr>
                <w:p>
                  <w:pPr>
                    <w:pStyle w:val="33"/>
                    <w:spacing w:line="360" w:lineRule="exact"/>
                    <w:jc w:val="center"/>
                    <w:rPr>
                      <w:szCs w:val="21"/>
                    </w:rPr>
                  </w:pPr>
                  <w:r>
                    <w:rPr>
                      <w:szCs w:val="21"/>
                    </w:rPr>
                    <w:t>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shd w:val="clear" w:color="auto" w:fill="auto"/>
                  <w:vAlign w:val="center"/>
                </w:tcPr>
                <w:p>
                  <w:pPr>
                    <w:pStyle w:val="33"/>
                    <w:spacing w:line="360" w:lineRule="exact"/>
                    <w:jc w:val="center"/>
                    <w:rPr>
                      <w:szCs w:val="21"/>
                    </w:rPr>
                  </w:pPr>
                  <w:r>
                    <w:rPr>
                      <w:rFonts w:hint="eastAsia"/>
                      <w:szCs w:val="21"/>
                    </w:rPr>
                    <w:t>塌陷区</w:t>
                  </w:r>
                </w:p>
              </w:tc>
              <w:tc>
                <w:tcPr>
                  <w:tcW w:w="3628" w:type="dxa"/>
                  <w:shd w:val="clear" w:color="auto" w:fill="auto"/>
                  <w:vAlign w:val="center"/>
                </w:tcPr>
                <w:p>
                  <w:pPr>
                    <w:pStyle w:val="33"/>
                    <w:spacing w:line="360" w:lineRule="exact"/>
                    <w:jc w:val="center"/>
                    <w:rPr>
                      <w:szCs w:val="21"/>
                    </w:rPr>
                  </w:pPr>
                  <w:r>
                    <w:rPr>
                      <w:rFonts w:hint="eastAsia"/>
                      <w:szCs w:val="21"/>
                    </w:rPr>
                    <w:t>条播柠条</w:t>
                  </w:r>
                </w:p>
              </w:tc>
              <w:tc>
                <w:tcPr>
                  <w:tcW w:w="1356" w:type="dxa"/>
                  <w:shd w:val="clear" w:color="auto" w:fill="auto"/>
                  <w:vAlign w:val="center"/>
                </w:tcPr>
                <w:p>
                  <w:pPr>
                    <w:pStyle w:val="33"/>
                    <w:spacing w:line="360" w:lineRule="exact"/>
                    <w:jc w:val="center"/>
                    <w:rPr>
                      <w:szCs w:val="21"/>
                    </w:rPr>
                  </w:pPr>
                  <w:r>
                    <w:rPr>
                      <w:szCs w:val="21"/>
                    </w:rPr>
                    <w:t>hm</w:t>
                  </w:r>
                  <w:r>
                    <w:rPr>
                      <w:szCs w:val="21"/>
                      <w:vertAlign w:val="superscript"/>
                    </w:rPr>
                    <w:t>2</w:t>
                  </w:r>
                </w:p>
              </w:tc>
              <w:tc>
                <w:tcPr>
                  <w:tcW w:w="1612" w:type="dxa"/>
                  <w:shd w:val="clear" w:color="auto" w:fill="auto"/>
                  <w:vAlign w:val="center"/>
                </w:tcPr>
                <w:p>
                  <w:pPr>
                    <w:pStyle w:val="33"/>
                    <w:spacing w:line="360" w:lineRule="exact"/>
                    <w:jc w:val="center"/>
                    <w:rPr>
                      <w:szCs w:val="21"/>
                    </w:rPr>
                  </w:pPr>
                  <w:r>
                    <w:rPr>
                      <w:szCs w:val="21"/>
                    </w:rPr>
                    <w:t>2.25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restart"/>
                  <w:shd w:val="clear" w:color="auto" w:fill="auto"/>
                  <w:vAlign w:val="center"/>
                </w:tcPr>
                <w:p>
                  <w:pPr>
                    <w:pStyle w:val="33"/>
                    <w:spacing w:line="360" w:lineRule="exact"/>
                    <w:jc w:val="center"/>
                    <w:rPr>
                      <w:szCs w:val="21"/>
                    </w:rPr>
                  </w:pPr>
                  <w:r>
                    <w:rPr>
                      <w:rFonts w:hint="eastAsia"/>
                      <w:szCs w:val="21"/>
                    </w:rPr>
                    <w:t>复垦区域</w:t>
                  </w:r>
                </w:p>
              </w:tc>
              <w:tc>
                <w:tcPr>
                  <w:tcW w:w="3628" w:type="dxa"/>
                  <w:shd w:val="clear" w:color="auto" w:fill="auto"/>
                  <w:vAlign w:val="center"/>
                </w:tcPr>
                <w:p>
                  <w:pPr>
                    <w:pStyle w:val="33"/>
                    <w:spacing w:line="360" w:lineRule="exact"/>
                    <w:jc w:val="center"/>
                    <w:rPr>
                      <w:b/>
                      <w:szCs w:val="21"/>
                    </w:rPr>
                  </w:pPr>
                  <w:r>
                    <w:rPr>
                      <w:rFonts w:hint="eastAsia"/>
                      <w:b/>
                      <w:szCs w:val="21"/>
                    </w:rPr>
                    <w:t>工程名称</w:t>
                  </w:r>
                </w:p>
              </w:tc>
              <w:tc>
                <w:tcPr>
                  <w:tcW w:w="1356" w:type="dxa"/>
                  <w:shd w:val="clear" w:color="auto" w:fill="auto"/>
                  <w:vAlign w:val="center"/>
                </w:tcPr>
                <w:p>
                  <w:pPr>
                    <w:pStyle w:val="33"/>
                    <w:spacing w:line="360" w:lineRule="exact"/>
                    <w:jc w:val="center"/>
                    <w:rPr>
                      <w:b/>
                      <w:szCs w:val="21"/>
                    </w:rPr>
                  </w:pPr>
                  <w:r>
                    <w:rPr>
                      <w:rFonts w:hint="eastAsia"/>
                      <w:b/>
                      <w:szCs w:val="21"/>
                    </w:rPr>
                    <w:t>单位</w:t>
                  </w:r>
                </w:p>
              </w:tc>
              <w:tc>
                <w:tcPr>
                  <w:tcW w:w="1612" w:type="dxa"/>
                  <w:shd w:val="clear" w:color="auto" w:fill="auto"/>
                  <w:vAlign w:val="center"/>
                </w:tcPr>
                <w:p>
                  <w:pPr>
                    <w:pStyle w:val="33"/>
                    <w:spacing w:line="360" w:lineRule="exact"/>
                    <w:jc w:val="center"/>
                    <w:rPr>
                      <w:b/>
                      <w:szCs w:val="21"/>
                    </w:rPr>
                  </w:pPr>
                  <w:r>
                    <w:rPr>
                      <w:rFonts w:hint="eastAsia"/>
                      <w:b/>
                      <w:szCs w:val="21"/>
                    </w:rPr>
                    <w:t>工程量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pStyle w:val="33"/>
                    <w:spacing w:line="360" w:lineRule="exact"/>
                    <w:jc w:val="center"/>
                    <w:rPr>
                      <w:szCs w:val="22"/>
                    </w:rPr>
                  </w:pPr>
                </w:p>
              </w:tc>
              <w:tc>
                <w:tcPr>
                  <w:tcW w:w="3628" w:type="dxa"/>
                  <w:shd w:val="clear" w:color="auto" w:fill="auto"/>
                  <w:vAlign w:val="center"/>
                </w:tcPr>
                <w:p>
                  <w:pPr>
                    <w:pStyle w:val="33"/>
                    <w:spacing w:line="360" w:lineRule="exact"/>
                    <w:jc w:val="center"/>
                    <w:rPr>
                      <w:szCs w:val="21"/>
                    </w:rPr>
                  </w:pPr>
                  <w:r>
                    <w:rPr>
                      <w:rFonts w:hint="eastAsia"/>
                      <w:szCs w:val="21"/>
                    </w:rPr>
                    <w:t>播撒草籽</w:t>
                  </w:r>
                </w:p>
              </w:tc>
              <w:tc>
                <w:tcPr>
                  <w:tcW w:w="1356" w:type="dxa"/>
                  <w:shd w:val="clear" w:color="auto" w:fill="auto"/>
                  <w:vAlign w:val="center"/>
                </w:tcPr>
                <w:p>
                  <w:pPr>
                    <w:pStyle w:val="33"/>
                    <w:spacing w:line="360" w:lineRule="exact"/>
                    <w:jc w:val="center"/>
                    <w:rPr>
                      <w:szCs w:val="21"/>
                    </w:rPr>
                  </w:pPr>
                  <w:r>
                    <w:rPr>
                      <w:szCs w:val="21"/>
                    </w:rPr>
                    <w:t>hm</w:t>
                  </w:r>
                  <w:r>
                    <w:rPr>
                      <w:szCs w:val="21"/>
                      <w:vertAlign w:val="superscript"/>
                    </w:rPr>
                    <w:t>2</w:t>
                  </w:r>
                </w:p>
              </w:tc>
              <w:tc>
                <w:tcPr>
                  <w:tcW w:w="1612" w:type="dxa"/>
                  <w:shd w:val="clear" w:color="auto" w:fill="auto"/>
                  <w:vAlign w:val="center"/>
                </w:tcPr>
                <w:p>
                  <w:pPr>
                    <w:pStyle w:val="33"/>
                    <w:spacing w:line="360" w:lineRule="exact"/>
                    <w:jc w:val="center"/>
                    <w:rPr>
                      <w:szCs w:val="21"/>
                    </w:rPr>
                  </w:pPr>
                  <w:r>
                    <w:rPr>
                      <w:szCs w:val="21"/>
                    </w:rPr>
                    <w:t>134.69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restart"/>
                  <w:shd w:val="clear" w:color="auto" w:fill="auto"/>
                  <w:vAlign w:val="center"/>
                </w:tcPr>
                <w:p>
                  <w:pPr>
                    <w:pStyle w:val="33"/>
                    <w:spacing w:line="360" w:lineRule="exact"/>
                    <w:jc w:val="center"/>
                    <w:rPr>
                      <w:szCs w:val="21"/>
                    </w:rPr>
                  </w:pPr>
                  <w:r>
                    <w:rPr>
                      <w:rFonts w:hint="eastAsia"/>
                      <w:szCs w:val="21"/>
                    </w:rPr>
                    <w:t>工业场地</w:t>
                  </w:r>
                </w:p>
              </w:tc>
              <w:tc>
                <w:tcPr>
                  <w:tcW w:w="3628" w:type="dxa"/>
                  <w:shd w:val="clear" w:color="auto" w:fill="auto"/>
                  <w:vAlign w:val="center"/>
                </w:tcPr>
                <w:p>
                  <w:pPr>
                    <w:pStyle w:val="33"/>
                    <w:spacing w:line="360" w:lineRule="exact"/>
                    <w:jc w:val="center"/>
                    <w:rPr>
                      <w:szCs w:val="21"/>
                    </w:rPr>
                  </w:pPr>
                  <w:r>
                    <w:rPr>
                      <w:rFonts w:hint="eastAsia"/>
                      <w:szCs w:val="21"/>
                    </w:rPr>
                    <w:t>建构筑物拆除</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4089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硬化地面拆除</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拉运清理拆除物</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5089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井口封堵浆砌石</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井口封堵混凝土</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29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井口封堵弃渣</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579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场地平整</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30840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覆土</w:t>
                  </w:r>
                </w:p>
              </w:tc>
              <w:tc>
                <w:tcPr>
                  <w:tcW w:w="1356" w:type="dxa"/>
                  <w:shd w:val="clear" w:color="auto" w:fill="auto"/>
                  <w:vAlign w:val="center"/>
                </w:tcPr>
                <w:p>
                  <w:pPr>
                    <w:pStyle w:val="33"/>
                    <w:spacing w:line="360" w:lineRule="exact"/>
                    <w:jc w:val="center"/>
                    <w:rPr>
                      <w:szCs w:val="14"/>
                    </w:rPr>
                  </w:pPr>
                  <w:r>
                    <w:rPr>
                      <w:szCs w:val="14"/>
                    </w:rPr>
                    <w:t>m</w:t>
                  </w:r>
                  <w:r>
                    <w:rPr>
                      <w:szCs w:val="14"/>
                      <w:vertAlign w:val="superscript"/>
                    </w:rPr>
                    <w:t>3</w:t>
                  </w:r>
                </w:p>
              </w:tc>
              <w:tc>
                <w:tcPr>
                  <w:tcW w:w="1612" w:type="dxa"/>
                  <w:shd w:val="clear" w:color="auto" w:fill="auto"/>
                  <w:vAlign w:val="center"/>
                </w:tcPr>
                <w:p>
                  <w:pPr>
                    <w:pStyle w:val="33"/>
                    <w:spacing w:line="360" w:lineRule="exact"/>
                    <w:jc w:val="center"/>
                    <w:rPr>
                      <w:szCs w:val="21"/>
                    </w:rPr>
                  </w:pPr>
                  <w:r>
                    <w:rPr>
                      <w:szCs w:val="21"/>
                    </w:rPr>
                    <w:t>21780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播撒草籽</w:t>
                  </w:r>
                </w:p>
              </w:tc>
              <w:tc>
                <w:tcPr>
                  <w:tcW w:w="1356" w:type="dxa"/>
                  <w:shd w:val="clear" w:color="auto" w:fill="auto"/>
                  <w:vAlign w:val="center"/>
                </w:tcPr>
                <w:p>
                  <w:pPr>
                    <w:pStyle w:val="33"/>
                    <w:spacing w:line="360" w:lineRule="exact"/>
                    <w:jc w:val="center"/>
                    <w:rPr>
                      <w:szCs w:val="21"/>
                    </w:rPr>
                  </w:pPr>
                  <w:r>
                    <w:rPr>
                      <w:szCs w:val="21"/>
                    </w:rPr>
                    <w:t>hm</w:t>
                  </w:r>
                  <w:r>
                    <w:rPr>
                      <w:szCs w:val="21"/>
                      <w:vertAlign w:val="superscript"/>
                    </w:rPr>
                    <w:t>2</w:t>
                  </w:r>
                </w:p>
              </w:tc>
              <w:tc>
                <w:tcPr>
                  <w:tcW w:w="1612" w:type="dxa"/>
                  <w:shd w:val="clear" w:color="auto" w:fill="auto"/>
                  <w:vAlign w:val="center"/>
                </w:tcPr>
                <w:p>
                  <w:pPr>
                    <w:pStyle w:val="33"/>
                    <w:spacing w:line="360" w:lineRule="exact"/>
                    <w:jc w:val="center"/>
                    <w:rPr>
                      <w:szCs w:val="21"/>
                    </w:rPr>
                  </w:pPr>
                  <w:r>
                    <w:rPr>
                      <w:szCs w:val="21"/>
                    </w:rPr>
                    <w:t>9.67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土壤培肥</w:t>
                  </w:r>
                </w:p>
              </w:tc>
              <w:tc>
                <w:tcPr>
                  <w:tcW w:w="1356" w:type="dxa"/>
                  <w:shd w:val="clear" w:color="auto" w:fill="auto"/>
                  <w:vAlign w:val="center"/>
                </w:tcPr>
                <w:p>
                  <w:pPr>
                    <w:pStyle w:val="33"/>
                    <w:spacing w:line="360" w:lineRule="exact"/>
                    <w:jc w:val="center"/>
                    <w:rPr>
                      <w:szCs w:val="21"/>
                    </w:rPr>
                  </w:pPr>
                  <w:r>
                    <w:rPr>
                      <w:szCs w:val="21"/>
                    </w:rPr>
                    <w:t>hm</w:t>
                  </w:r>
                  <w:r>
                    <w:rPr>
                      <w:szCs w:val="21"/>
                      <w:vertAlign w:val="superscript"/>
                    </w:rPr>
                    <w:t>2</w:t>
                  </w:r>
                </w:p>
              </w:tc>
              <w:tc>
                <w:tcPr>
                  <w:tcW w:w="1612" w:type="dxa"/>
                  <w:shd w:val="clear" w:color="auto" w:fill="auto"/>
                  <w:vAlign w:val="center"/>
                </w:tcPr>
                <w:p>
                  <w:pPr>
                    <w:pStyle w:val="33"/>
                    <w:spacing w:line="360" w:lineRule="exact"/>
                    <w:jc w:val="center"/>
                    <w:rPr>
                      <w:szCs w:val="21"/>
                    </w:rPr>
                  </w:pPr>
                  <w:r>
                    <w:rPr>
                      <w:szCs w:val="21"/>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restart"/>
                  <w:shd w:val="clear" w:color="auto" w:fill="auto"/>
                  <w:vAlign w:val="center"/>
                </w:tcPr>
                <w:p>
                  <w:pPr>
                    <w:pStyle w:val="33"/>
                    <w:spacing w:line="360" w:lineRule="exact"/>
                    <w:jc w:val="center"/>
                    <w:rPr>
                      <w:szCs w:val="21"/>
                    </w:rPr>
                  </w:pPr>
                  <w:r>
                    <w:rPr>
                      <w:rFonts w:hint="eastAsia"/>
                      <w:szCs w:val="21"/>
                    </w:rPr>
                    <w:t>矿山道路</w:t>
                  </w:r>
                </w:p>
              </w:tc>
              <w:tc>
                <w:tcPr>
                  <w:tcW w:w="3628" w:type="dxa"/>
                  <w:shd w:val="clear" w:color="auto" w:fill="auto"/>
                  <w:vAlign w:val="center"/>
                </w:tcPr>
                <w:p>
                  <w:pPr>
                    <w:pStyle w:val="33"/>
                    <w:spacing w:line="360" w:lineRule="exact"/>
                    <w:jc w:val="center"/>
                    <w:rPr>
                      <w:szCs w:val="21"/>
                    </w:rPr>
                  </w:pPr>
                  <w:r>
                    <w:rPr>
                      <w:rFonts w:hint="eastAsia"/>
                      <w:szCs w:val="21"/>
                    </w:rPr>
                    <w:t>覆土</w:t>
                  </w:r>
                </w:p>
              </w:tc>
              <w:tc>
                <w:tcPr>
                  <w:tcW w:w="1356" w:type="dxa"/>
                  <w:shd w:val="clear" w:color="auto" w:fill="auto"/>
                  <w:vAlign w:val="center"/>
                </w:tcPr>
                <w:p>
                  <w:pPr>
                    <w:pStyle w:val="33"/>
                    <w:spacing w:line="360" w:lineRule="exact"/>
                    <w:jc w:val="center"/>
                    <w:rPr>
                      <w:szCs w:val="14"/>
                    </w:rPr>
                  </w:pPr>
                  <w:r>
                    <w:rPr>
                      <w:position w:val="-9"/>
                      <w:szCs w:val="21"/>
                    </w:rPr>
                    <w:t>m</w:t>
                  </w:r>
                  <w:r>
                    <w:rPr>
                      <w:szCs w:val="14"/>
                    </w:rPr>
                    <w:t>3</w:t>
                  </w:r>
                </w:p>
              </w:tc>
              <w:tc>
                <w:tcPr>
                  <w:tcW w:w="1612" w:type="dxa"/>
                  <w:shd w:val="clear" w:color="auto" w:fill="auto"/>
                  <w:vAlign w:val="center"/>
                </w:tcPr>
                <w:p>
                  <w:pPr>
                    <w:pStyle w:val="33"/>
                    <w:spacing w:line="360" w:lineRule="exact"/>
                    <w:jc w:val="center"/>
                    <w:rPr>
                      <w:szCs w:val="21"/>
                    </w:rPr>
                  </w:pPr>
                  <w:r>
                    <w:rPr>
                      <w:szCs w:val="21"/>
                    </w:rPr>
                    <w:t>2500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1698" w:type="dxa"/>
                  <w:vMerge w:val="continue"/>
                  <w:shd w:val="clear" w:color="auto" w:fill="auto"/>
                  <w:vAlign w:val="center"/>
                </w:tcPr>
                <w:p>
                  <w:pPr>
                    <w:widowControl/>
                    <w:spacing w:line="360" w:lineRule="exact"/>
                    <w:jc w:val="center"/>
                    <w:rPr>
                      <w:szCs w:val="21"/>
                    </w:rPr>
                  </w:pPr>
                </w:p>
              </w:tc>
              <w:tc>
                <w:tcPr>
                  <w:tcW w:w="3628" w:type="dxa"/>
                  <w:shd w:val="clear" w:color="auto" w:fill="auto"/>
                  <w:vAlign w:val="center"/>
                </w:tcPr>
                <w:p>
                  <w:pPr>
                    <w:pStyle w:val="33"/>
                    <w:spacing w:line="360" w:lineRule="exact"/>
                    <w:jc w:val="center"/>
                    <w:rPr>
                      <w:szCs w:val="21"/>
                    </w:rPr>
                  </w:pPr>
                  <w:r>
                    <w:rPr>
                      <w:rFonts w:hint="eastAsia"/>
                      <w:szCs w:val="21"/>
                    </w:rPr>
                    <w:t>播撒草籽</w:t>
                  </w:r>
                </w:p>
              </w:tc>
              <w:tc>
                <w:tcPr>
                  <w:tcW w:w="1356" w:type="dxa"/>
                  <w:shd w:val="clear" w:color="auto" w:fill="auto"/>
                  <w:vAlign w:val="center"/>
                </w:tcPr>
                <w:p>
                  <w:pPr>
                    <w:pStyle w:val="33"/>
                    <w:spacing w:line="360" w:lineRule="exact"/>
                    <w:jc w:val="center"/>
                    <w:rPr>
                      <w:szCs w:val="21"/>
                    </w:rPr>
                  </w:pPr>
                  <w:r>
                    <w:rPr>
                      <w:szCs w:val="21"/>
                    </w:rPr>
                    <w:t>hm</w:t>
                  </w:r>
                  <w:r>
                    <w:rPr>
                      <w:szCs w:val="21"/>
                      <w:vertAlign w:val="superscript"/>
                    </w:rPr>
                    <w:t>2</w:t>
                  </w:r>
                </w:p>
              </w:tc>
              <w:tc>
                <w:tcPr>
                  <w:tcW w:w="1612" w:type="dxa"/>
                  <w:shd w:val="clear" w:color="auto" w:fill="auto"/>
                  <w:vAlign w:val="center"/>
                </w:tcPr>
                <w:p>
                  <w:pPr>
                    <w:pStyle w:val="33"/>
                    <w:spacing w:line="360" w:lineRule="exact"/>
                    <w:jc w:val="center"/>
                    <w:rPr>
                      <w:szCs w:val="21"/>
                    </w:rPr>
                  </w:pPr>
                  <w:r>
                    <w:rPr>
                      <w:szCs w:val="21"/>
                    </w:rPr>
                    <w:t>1.25</w:t>
                  </w:r>
                </w:p>
              </w:tc>
            </w:tr>
          </w:tbl>
          <w:p>
            <w:pPr>
              <w:pStyle w:val="50"/>
              <w:ind w:firstLine="482"/>
              <w:rPr>
                <w:b/>
                <w:bCs/>
              </w:rPr>
            </w:pPr>
            <w:r>
              <w:rPr>
                <w:b/>
                <w:bCs/>
              </w:rPr>
              <w:t>2</w:t>
            </w:r>
            <w:r>
              <w:rPr>
                <w:rFonts w:hint="eastAsia"/>
                <w:b/>
                <w:bCs/>
              </w:rPr>
              <w:t>、环境管理及监测</w:t>
            </w:r>
          </w:p>
          <w:p>
            <w:pPr>
              <w:pStyle w:val="50"/>
              <w:ind w:firstLine="480"/>
            </w:pPr>
            <w:r>
              <w:t>2</w:t>
            </w:r>
            <w:r>
              <w:rPr>
                <w:rFonts w:hint="eastAsia"/>
              </w:rPr>
              <w:t>.1环境管理</w:t>
            </w:r>
          </w:p>
          <w:p>
            <w:pPr>
              <w:pStyle w:val="50"/>
              <w:ind w:firstLine="480"/>
            </w:pPr>
            <w:r>
              <w:rPr>
                <w:rFonts w:hint="eastAsia"/>
              </w:rPr>
              <w:t>本项目投入运营后，建议安排人员实施环境管理工作，建立相关档案，具体如下：</w:t>
            </w:r>
          </w:p>
          <w:p>
            <w:pPr>
              <w:pStyle w:val="50"/>
              <w:ind w:firstLine="480"/>
            </w:pPr>
            <w:r>
              <w:rPr>
                <w:rFonts w:hint="eastAsia"/>
              </w:rPr>
              <w:t>（1）贯彻执行环保法规和有关标准；</w:t>
            </w:r>
          </w:p>
          <w:p>
            <w:pPr>
              <w:pStyle w:val="50"/>
              <w:ind w:firstLine="480"/>
            </w:pPr>
            <w:r>
              <w:rPr>
                <w:rFonts w:hint="eastAsia"/>
              </w:rPr>
              <w:t>（2）组织制定或修改公司的环境保护管理规章制度并监督执行；</w:t>
            </w:r>
          </w:p>
          <w:p>
            <w:pPr>
              <w:pStyle w:val="50"/>
              <w:ind w:firstLine="480"/>
            </w:pPr>
            <w:r>
              <w:rPr>
                <w:rFonts w:hint="eastAsia"/>
              </w:rPr>
              <w:t>（3）对主要的环保设施的运行情况进行记录，同时制定装箱规章制度以保证环保设施的正常运行，当环保设施运行异常时应及时上报主管人员。</w:t>
            </w:r>
          </w:p>
          <w:p>
            <w:pPr>
              <w:pStyle w:val="50"/>
              <w:ind w:firstLine="480"/>
            </w:pPr>
            <w:r>
              <w:t>2</w:t>
            </w:r>
            <w:r>
              <w:rPr>
                <w:rFonts w:hint="eastAsia"/>
              </w:rPr>
              <w:t>.2环境调查及监测</w:t>
            </w:r>
          </w:p>
          <w:p>
            <w:pPr>
              <w:pStyle w:val="50"/>
              <w:ind w:firstLine="480"/>
            </w:pPr>
            <w:r>
              <w:rPr>
                <w:rFonts w:hint="eastAsia"/>
              </w:rPr>
              <w:t>本项目环境调查及监测主要目的是通过项目建成后的环境调查及监测为环境管理提供依据，具体如下：</w:t>
            </w:r>
          </w:p>
          <w:p>
            <w:pPr>
              <w:pStyle w:val="50"/>
              <w:ind w:firstLine="480"/>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竣工验收调查及监测：项目建成后，建设单位应及时对项目环保“三同时”设施组织竣工验收调查及监测，并编制竣工验收调查报告。</w:t>
            </w:r>
          </w:p>
          <w:p>
            <w:pPr>
              <w:pStyle w:val="50"/>
              <w:ind w:firstLine="480"/>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运营期环境监测：本项目运营期环境监测情况详见下表。</w:t>
            </w:r>
          </w:p>
          <w:p>
            <w:pPr>
              <w:pStyle w:val="50"/>
              <w:numPr>
                <w:ilvl w:val="0"/>
                <w:numId w:val="2"/>
              </w:numPr>
              <w:snapToGrid w:val="0"/>
              <w:spacing w:line="240" w:lineRule="auto"/>
              <w:ind w:firstLineChars="0"/>
              <w:jc w:val="center"/>
              <w:rPr>
                <w:b/>
                <w:bCs/>
              </w:rPr>
            </w:pPr>
            <w:r>
              <w:rPr>
                <w:rFonts w:hint="eastAsia"/>
                <w:b/>
                <w:bCs/>
              </w:rPr>
              <w:t>环境监测计划一览表</w:t>
            </w:r>
          </w:p>
          <w:tbl>
            <w:tblPr>
              <w:tblStyle w:val="23"/>
              <w:tblW w:w="831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34"/>
              <w:gridCol w:w="1239"/>
              <w:gridCol w:w="4764"/>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pPr>
                    <w:pStyle w:val="50"/>
                    <w:snapToGrid w:val="0"/>
                    <w:spacing w:line="240" w:lineRule="auto"/>
                    <w:ind w:firstLine="0" w:firstLineChars="0"/>
                    <w:jc w:val="center"/>
                    <w:rPr>
                      <w:b/>
                      <w:bCs/>
                      <w:sz w:val="21"/>
                    </w:rPr>
                  </w:pPr>
                  <w:r>
                    <w:rPr>
                      <w:rFonts w:hint="eastAsia"/>
                      <w:b/>
                      <w:bCs/>
                      <w:sz w:val="21"/>
                    </w:rPr>
                    <w:t>时限</w:t>
                  </w:r>
                </w:p>
              </w:tc>
              <w:tc>
                <w:tcPr>
                  <w:tcW w:w="734" w:type="dxa"/>
                  <w:tcBorders>
                    <w:tl2br w:val="nil"/>
                    <w:tr2bl w:val="nil"/>
                  </w:tcBorders>
                  <w:vAlign w:val="center"/>
                </w:tcPr>
                <w:p>
                  <w:pPr>
                    <w:pStyle w:val="50"/>
                    <w:snapToGrid w:val="0"/>
                    <w:spacing w:line="240" w:lineRule="auto"/>
                    <w:ind w:firstLine="0" w:firstLineChars="0"/>
                    <w:jc w:val="center"/>
                    <w:rPr>
                      <w:b/>
                      <w:bCs/>
                      <w:sz w:val="21"/>
                    </w:rPr>
                  </w:pPr>
                  <w:r>
                    <w:rPr>
                      <w:rFonts w:hint="eastAsia"/>
                      <w:b/>
                      <w:bCs/>
                      <w:sz w:val="21"/>
                    </w:rPr>
                    <w:t>类别</w:t>
                  </w:r>
                </w:p>
              </w:tc>
              <w:tc>
                <w:tcPr>
                  <w:tcW w:w="1239" w:type="dxa"/>
                  <w:tcBorders>
                    <w:tl2br w:val="nil"/>
                    <w:tr2bl w:val="nil"/>
                  </w:tcBorders>
                  <w:vAlign w:val="center"/>
                </w:tcPr>
                <w:p>
                  <w:pPr>
                    <w:pStyle w:val="50"/>
                    <w:snapToGrid w:val="0"/>
                    <w:spacing w:line="240" w:lineRule="auto"/>
                    <w:ind w:firstLine="0" w:firstLineChars="0"/>
                    <w:jc w:val="center"/>
                    <w:rPr>
                      <w:b/>
                      <w:bCs/>
                      <w:sz w:val="21"/>
                    </w:rPr>
                  </w:pPr>
                  <w:r>
                    <w:rPr>
                      <w:rFonts w:hint="eastAsia"/>
                      <w:b/>
                      <w:bCs/>
                      <w:sz w:val="21"/>
                    </w:rPr>
                    <w:t>位置</w:t>
                  </w:r>
                </w:p>
              </w:tc>
              <w:tc>
                <w:tcPr>
                  <w:tcW w:w="4764" w:type="dxa"/>
                  <w:tcBorders>
                    <w:tl2br w:val="nil"/>
                    <w:tr2bl w:val="nil"/>
                  </w:tcBorders>
                  <w:vAlign w:val="center"/>
                </w:tcPr>
                <w:p>
                  <w:pPr>
                    <w:pStyle w:val="50"/>
                    <w:snapToGrid w:val="0"/>
                    <w:spacing w:line="240" w:lineRule="auto"/>
                    <w:ind w:firstLine="0" w:firstLineChars="0"/>
                    <w:jc w:val="center"/>
                    <w:rPr>
                      <w:b/>
                      <w:bCs/>
                      <w:sz w:val="21"/>
                    </w:rPr>
                  </w:pPr>
                  <w:r>
                    <w:rPr>
                      <w:rFonts w:hint="eastAsia"/>
                      <w:b/>
                      <w:bCs/>
                      <w:sz w:val="21"/>
                    </w:rPr>
                    <w:t>项目</w:t>
                  </w:r>
                </w:p>
              </w:tc>
              <w:tc>
                <w:tcPr>
                  <w:tcW w:w="933" w:type="dxa"/>
                  <w:tcBorders>
                    <w:tl2br w:val="nil"/>
                    <w:tr2bl w:val="nil"/>
                  </w:tcBorders>
                  <w:vAlign w:val="center"/>
                </w:tcPr>
                <w:p>
                  <w:pPr>
                    <w:pStyle w:val="50"/>
                    <w:snapToGrid w:val="0"/>
                    <w:spacing w:line="240" w:lineRule="auto"/>
                    <w:ind w:firstLine="0" w:firstLineChars="0"/>
                    <w:jc w:val="center"/>
                    <w:rPr>
                      <w:b/>
                      <w:bCs/>
                      <w:sz w:val="21"/>
                    </w:rPr>
                  </w:pPr>
                  <w:r>
                    <w:rPr>
                      <w:rFonts w:hint="eastAsia"/>
                      <w:b/>
                      <w:bCs/>
                      <w:sz w:val="21"/>
                    </w:rPr>
                    <w:t>监测/调查频次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tcBorders>
                    <w:tl2br w:val="nil"/>
                    <w:tr2bl w:val="nil"/>
                  </w:tcBorders>
                  <w:vAlign w:val="center"/>
                </w:tcPr>
                <w:p>
                  <w:pPr>
                    <w:pStyle w:val="50"/>
                    <w:snapToGrid w:val="0"/>
                    <w:spacing w:line="240" w:lineRule="auto"/>
                    <w:ind w:firstLine="0" w:firstLineChars="0"/>
                    <w:jc w:val="center"/>
                    <w:rPr>
                      <w:sz w:val="21"/>
                    </w:rPr>
                  </w:pPr>
                  <w:r>
                    <w:rPr>
                      <w:rFonts w:hint="eastAsia"/>
                      <w:sz w:val="21"/>
                    </w:rPr>
                    <w:t>运营期</w:t>
                  </w:r>
                </w:p>
              </w:tc>
              <w:tc>
                <w:tcPr>
                  <w:tcW w:w="734"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生态恢复</w:t>
                  </w:r>
                </w:p>
              </w:tc>
              <w:tc>
                <w:tcPr>
                  <w:tcW w:w="1239"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露天开采区、排土场、矿山道路、工业场地</w:t>
                  </w:r>
                </w:p>
              </w:tc>
              <w:tc>
                <w:tcPr>
                  <w:tcW w:w="4764" w:type="dxa"/>
                  <w:tcBorders>
                    <w:tl2br w:val="nil"/>
                    <w:tr2bl w:val="nil"/>
                  </w:tcBorders>
                  <w:vAlign w:val="center"/>
                </w:tcPr>
                <w:p>
                  <w:pPr>
                    <w:widowControl/>
                    <w:adjustRightInd w:val="0"/>
                    <w:snapToGrid w:val="0"/>
                    <w:rPr>
                      <w:szCs w:val="21"/>
                    </w:rPr>
                  </w:pPr>
                  <w:r>
                    <w:rPr>
                      <w:rFonts w:hint="eastAsia"/>
                      <w:kern w:val="0"/>
                      <w:szCs w:val="21"/>
                      <w:lang w:bidi="ar"/>
                    </w:rPr>
                    <w:t>1、植被生长、成活率、覆盖度及防治土壤侵蚀效果等情况；</w:t>
                  </w:r>
                </w:p>
                <w:p>
                  <w:pPr>
                    <w:widowControl/>
                    <w:adjustRightInd w:val="0"/>
                    <w:snapToGrid w:val="0"/>
                    <w:rPr>
                      <w:szCs w:val="21"/>
                    </w:rPr>
                  </w:pPr>
                  <w:r>
                    <w:rPr>
                      <w:rFonts w:hint="eastAsia"/>
                      <w:kern w:val="0"/>
                      <w:szCs w:val="21"/>
                      <w:lang w:bidi="ar"/>
                    </w:rPr>
                    <w:t>2、防治措施实施数量和效果，减少水土流失量；</w:t>
                  </w:r>
                </w:p>
                <w:p>
                  <w:pPr>
                    <w:pStyle w:val="50"/>
                    <w:snapToGrid w:val="0"/>
                    <w:spacing w:line="240" w:lineRule="auto"/>
                    <w:ind w:firstLine="0" w:firstLineChars="0"/>
                    <w:jc w:val="center"/>
                    <w:rPr>
                      <w:sz w:val="21"/>
                    </w:rPr>
                  </w:pPr>
                  <w:r>
                    <w:rPr>
                      <w:rFonts w:hint="eastAsia"/>
                      <w:sz w:val="21"/>
                      <w:lang w:bidi="ar"/>
                    </w:rPr>
                    <w:t>3、记录采矿区和工业区的生态恢复情况形成台账。</w:t>
                  </w:r>
                </w:p>
              </w:tc>
              <w:tc>
                <w:tcPr>
                  <w:tcW w:w="933"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Borders>
                    <w:tl2br w:val="nil"/>
                    <w:tr2bl w:val="nil"/>
                  </w:tcBorders>
                  <w:vAlign w:val="center"/>
                </w:tcPr>
                <w:p>
                  <w:pPr>
                    <w:pStyle w:val="50"/>
                    <w:snapToGrid w:val="0"/>
                    <w:spacing w:line="240" w:lineRule="auto"/>
                    <w:ind w:firstLine="0" w:firstLineChars="0"/>
                    <w:jc w:val="center"/>
                    <w:rPr>
                      <w:sz w:val="21"/>
                    </w:rPr>
                  </w:pPr>
                </w:p>
              </w:tc>
              <w:tc>
                <w:tcPr>
                  <w:tcW w:w="734" w:type="dxa"/>
                  <w:vMerge w:val="restart"/>
                  <w:tcBorders>
                    <w:tl2br w:val="nil"/>
                    <w:tr2bl w:val="nil"/>
                  </w:tcBorders>
                  <w:vAlign w:val="center"/>
                </w:tcPr>
                <w:p>
                  <w:pPr>
                    <w:pStyle w:val="50"/>
                    <w:snapToGrid w:val="0"/>
                    <w:spacing w:line="240" w:lineRule="auto"/>
                    <w:ind w:firstLine="0" w:firstLineChars="0"/>
                    <w:jc w:val="center"/>
                    <w:rPr>
                      <w:sz w:val="21"/>
                    </w:rPr>
                  </w:pPr>
                  <w:r>
                    <w:rPr>
                      <w:rFonts w:hint="eastAsia"/>
                      <w:sz w:val="21"/>
                    </w:rPr>
                    <w:t>废气</w:t>
                  </w:r>
                </w:p>
              </w:tc>
              <w:tc>
                <w:tcPr>
                  <w:tcW w:w="1239"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厂区边界</w:t>
                  </w:r>
                </w:p>
              </w:tc>
              <w:tc>
                <w:tcPr>
                  <w:tcW w:w="4764" w:type="dxa"/>
                  <w:tcBorders>
                    <w:tl2br w:val="nil"/>
                    <w:tr2bl w:val="nil"/>
                  </w:tcBorders>
                  <w:vAlign w:val="center"/>
                </w:tcPr>
                <w:p>
                  <w:pPr>
                    <w:pStyle w:val="50"/>
                    <w:snapToGrid w:val="0"/>
                    <w:spacing w:line="240" w:lineRule="auto"/>
                    <w:ind w:firstLine="0" w:firstLineChars="0"/>
                    <w:jc w:val="center"/>
                    <w:rPr>
                      <w:sz w:val="21"/>
                    </w:rPr>
                  </w:pPr>
                  <w:r>
                    <w:rPr>
                      <w:rFonts w:hint="eastAsia"/>
                      <w:bCs/>
                      <w:spacing w:val="10"/>
                      <w:sz w:val="21"/>
                    </w:rPr>
                    <w:t>颗粒物</w:t>
                  </w:r>
                </w:p>
              </w:tc>
              <w:tc>
                <w:tcPr>
                  <w:tcW w:w="933" w:type="dxa"/>
                  <w:vMerge w:val="restart"/>
                  <w:tcBorders>
                    <w:tl2br w:val="nil"/>
                    <w:tr2bl w:val="nil"/>
                  </w:tcBorders>
                  <w:vAlign w:val="center"/>
                </w:tcPr>
                <w:p>
                  <w:pPr>
                    <w:pStyle w:val="50"/>
                    <w:snapToGrid w:val="0"/>
                    <w:spacing w:line="240" w:lineRule="auto"/>
                    <w:ind w:firstLine="0" w:firstLineChars="0"/>
                    <w:jc w:val="center"/>
                    <w:rPr>
                      <w:sz w:val="21"/>
                    </w:rPr>
                  </w:pPr>
                  <w:r>
                    <w:rPr>
                      <w:rFonts w:hint="eastAsia"/>
                      <w:sz w:val="21"/>
                    </w:rPr>
                    <w:t>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Merge w:val="continue"/>
                  <w:tcBorders>
                    <w:tl2br w:val="nil"/>
                    <w:tr2bl w:val="nil"/>
                  </w:tcBorders>
                  <w:vAlign w:val="center"/>
                </w:tcPr>
                <w:p>
                  <w:pPr>
                    <w:pStyle w:val="50"/>
                    <w:snapToGrid w:val="0"/>
                    <w:spacing w:line="240" w:lineRule="auto"/>
                    <w:ind w:firstLine="0" w:firstLineChars="0"/>
                    <w:jc w:val="center"/>
                    <w:rPr>
                      <w:sz w:val="21"/>
                    </w:rPr>
                  </w:pPr>
                </w:p>
              </w:tc>
              <w:tc>
                <w:tcPr>
                  <w:tcW w:w="734" w:type="dxa"/>
                  <w:vMerge w:val="continue"/>
                  <w:tcBorders>
                    <w:tl2br w:val="nil"/>
                    <w:tr2bl w:val="nil"/>
                  </w:tcBorders>
                  <w:vAlign w:val="center"/>
                </w:tcPr>
                <w:p>
                  <w:pPr>
                    <w:pStyle w:val="50"/>
                    <w:snapToGrid w:val="0"/>
                    <w:spacing w:line="240" w:lineRule="auto"/>
                    <w:ind w:firstLine="0" w:firstLineChars="0"/>
                    <w:jc w:val="center"/>
                    <w:rPr>
                      <w:sz w:val="21"/>
                    </w:rPr>
                  </w:pPr>
                </w:p>
              </w:tc>
              <w:tc>
                <w:tcPr>
                  <w:tcW w:w="1239"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白云岩矿石破碎筛分含尘废气排气筒DA001进、出口</w:t>
                  </w:r>
                </w:p>
              </w:tc>
              <w:tc>
                <w:tcPr>
                  <w:tcW w:w="4764" w:type="dxa"/>
                  <w:vMerge w:val="restart"/>
                  <w:tcBorders>
                    <w:tl2br w:val="nil"/>
                    <w:tr2bl w:val="nil"/>
                  </w:tcBorders>
                  <w:vAlign w:val="center"/>
                </w:tcPr>
                <w:p>
                  <w:pPr>
                    <w:pStyle w:val="50"/>
                    <w:snapToGrid w:val="0"/>
                    <w:spacing w:line="240" w:lineRule="auto"/>
                    <w:ind w:firstLine="0" w:firstLineChars="0"/>
                    <w:jc w:val="center"/>
                    <w:rPr>
                      <w:sz w:val="21"/>
                    </w:rPr>
                  </w:pPr>
                  <w:r>
                    <w:rPr>
                      <w:rFonts w:hint="eastAsia"/>
                      <w:bCs/>
                      <w:spacing w:val="10"/>
                      <w:sz w:val="21"/>
                    </w:rPr>
                    <w:t>废气量、颗粒物（浓度、速率）</w:t>
                  </w:r>
                </w:p>
              </w:tc>
              <w:tc>
                <w:tcPr>
                  <w:tcW w:w="933" w:type="dxa"/>
                  <w:vMerge w:val="continue"/>
                  <w:tcBorders>
                    <w:tl2br w:val="nil"/>
                    <w:tr2bl w:val="nil"/>
                  </w:tcBorders>
                  <w:vAlign w:val="center"/>
                </w:tcPr>
                <w:p>
                  <w:pPr>
                    <w:pStyle w:val="50"/>
                    <w:snapToGrid w:val="0"/>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Borders>
                    <w:tl2br w:val="nil"/>
                    <w:tr2bl w:val="nil"/>
                  </w:tcBorders>
                  <w:vAlign w:val="center"/>
                </w:tcPr>
                <w:p>
                  <w:pPr>
                    <w:pStyle w:val="50"/>
                    <w:snapToGrid w:val="0"/>
                    <w:spacing w:line="240" w:lineRule="auto"/>
                    <w:ind w:firstLine="0" w:firstLineChars="0"/>
                    <w:jc w:val="center"/>
                    <w:rPr>
                      <w:sz w:val="21"/>
                    </w:rPr>
                  </w:pPr>
                </w:p>
              </w:tc>
              <w:tc>
                <w:tcPr>
                  <w:tcW w:w="734" w:type="dxa"/>
                  <w:vMerge w:val="continue"/>
                  <w:tcBorders>
                    <w:tl2br w:val="nil"/>
                    <w:tr2bl w:val="nil"/>
                  </w:tcBorders>
                  <w:vAlign w:val="center"/>
                </w:tcPr>
                <w:p>
                  <w:pPr>
                    <w:pStyle w:val="50"/>
                    <w:snapToGrid w:val="0"/>
                    <w:spacing w:line="240" w:lineRule="auto"/>
                    <w:ind w:firstLine="0" w:firstLineChars="0"/>
                    <w:jc w:val="center"/>
                    <w:rPr>
                      <w:sz w:val="21"/>
                    </w:rPr>
                  </w:pPr>
                </w:p>
              </w:tc>
              <w:tc>
                <w:tcPr>
                  <w:tcW w:w="1239"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伴生石料破碎筛分含尘废气排气筒DA002进、出口</w:t>
                  </w:r>
                </w:p>
              </w:tc>
              <w:tc>
                <w:tcPr>
                  <w:tcW w:w="4764" w:type="dxa"/>
                  <w:vMerge w:val="continue"/>
                  <w:tcBorders>
                    <w:tl2br w:val="nil"/>
                    <w:tr2bl w:val="nil"/>
                  </w:tcBorders>
                  <w:vAlign w:val="center"/>
                </w:tcPr>
                <w:p>
                  <w:pPr>
                    <w:pStyle w:val="50"/>
                    <w:snapToGrid w:val="0"/>
                    <w:spacing w:line="240" w:lineRule="auto"/>
                    <w:ind w:firstLine="0" w:firstLineChars="0"/>
                    <w:jc w:val="center"/>
                    <w:rPr>
                      <w:sz w:val="21"/>
                    </w:rPr>
                  </w:pPr>
                </w:p>
              </w:tc>
              <w:tc>
                <w:tcPr>
                  <w:tcW w:w="933" w:type="dxa"/>
                  <w:vMerge w:val="continue"/>
                  <w:tcBorders>
                    <w:tl2br w:val="nil"/>
                    <w:tr2bl w:val="nil"/>
                  </w:tcBorders>
                  <w:vAlign w:val="center"/>
                </w:tcPr>
                <w:p>
                  <w:pPr>
                    <w:pStyle w:val="50"/>
                    <w:snapToGrid w:val="0"/>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Borders>
                    <w:tl2br w:val="nil"/>
                    <w:tr2bl w:val="nil"/>
                  </w:tcBorders>
                  <w:vAlign w:val="center"/>
                </w:tcPr>
                <w:p>
                  <w:pPr>
                    <w:pStyle w:val="50"/>
                    <w:snapToGrid w:val="0"/>
                    <w:spacing w:line="240" w:lineRule="auto"/>
                    <w:ind w:firstLine="0" w:firstLineChars="0"/>
                    <w:jc w:val="center"/>
                    <w:rPr>
                      <w:sz w:val="21"/>
                    </w:rPr>
                  </w:pPr>
                </w:p>
              </w:tc>
              <w:tc>
                <w:tcPr>
                  <w:tcW w:w="734"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噪声</w:t>
                  </w:r>
                </w:p>
              </w:tc>
              <w:tc>
                <w:tcPr>
                  <w:tcW w:w="1239"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厂界外1m</w:t>
                  </w:r>
                </w:p>
              </w:tc>
              <w:tc>
                <w:tcPr>
                  <w:tcW w:w="4764"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等效声级</w:t>
                  </w:r>
                </w:p>
              </w:tc>
              <w:tc>
                <w:tcPr>
                  <w:tcW w:w="933" w:type="dxa"/>
                  <w:tcBorders>
                    <w:tl2br w:val="nil"/>
                    <w:tr2bl w:val="nil"/>
                  </w:tcBorders>
                  <w:vAlign w:val="center"/>
                </w:tcPr>
                <w:p>
                  <w:pPr>
                    <w:pStyle w:val="50"/>
                    <w:snapToGrid w:val="0"/>
                    <w:spacing w:line="240" w:lineRule="auto"/>
                    <w:ind w:firstLine="0" w:firstLineChars="0"/>
                    <w:jc w:val="center"/>
                    <w:rPr>
                      <w:sz w:val="21"/>
                    </w:rPr>
                  </w:pPr>
                  <w:r>
                    <w:rPr>
                      <w:rFonts w:hint="eastAsia"/>
                      <w:sz w:val="21"/>
                    </w:rPr>
                    <w:t>次/季</w:t>
                  </w:r>
                </w:p>
              </w:tc>
            </w:tr>
          </w:tbl>
          <w:p>
            <w:pPr>
              <w:pStyle w:val="50"/>
              <w:snapToGrid w:val="0"/>
              <w:spacing w:line="240" w:lineRule="auto"/>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85" w:hRule="atLeast"/>
          <w:jc w:val="center"/>
        </w:trPr>
        <w:tc>
          <w:tcPr>
            <w:tcW w:w="700" w:type="dxa"/>
            <w:vAlign w:val="center"/>
          </w:tcPr>
          <w:p>
            <w:pPr>
              <w:jc w:val="center"/>
              <w:rPr>
                <w:bCs/>
                <w:spacing w:val="10"/>
                <w:szCs w:val="21"/>
              </w:rPr>
            </w:pPr>
            <w:r>
              <w:rPr>
                <w:rFonts w:hint="eastAsia"/>
                <w:bCs/>
                <w:szCs w:val="21"/>
              </w:rPr>
              <w:t>环保投资</w:t>
            </w:r>
          </w:p>
        </w:tc>
        <w:tc>
          <w:tcPr>
            <w:tcW w:w="8540" w:type="dxa"/>
          </w:tcPr>
          <w:p>
            <w:pPr>
              <w:spacing w:line="360" w:lineRule="auto"/>
              <w:ind w:firstLine="480"/>
              <w:rPr>
                <w:kern w:val="1"/>
                <w:sz w:val="24"/>
              </w:rPr>
            </w:pPr>
            <w:r>
              <w:rPr>
                <w:rFonts w:hint="eastAsia"/>
                <w:kern w:val="1"/>
                <w:sz w:val="24"/>
              </w:rPr>
              <w:t>本项目总投资为5703.31万元，环保投资1499.8万元，占总投资的26.3%，环保投资估算详见下表。</w:t>
            </w:r>
          </w:p>
          <w:p>
            <w:pPr>
              <w:pStyle w:val="50"/>
              <w:numPr>
                <w:ilvl w:val="0"/>
                <w:numId w:val="2"/>
              </w:numPr>
              <w:snapToGrid w:val="0"/>
              <w:spacing w:line="240" w:lineRule="auto"/>
              <w:ind w:firstLineChars="0"/>
              <w:jc w:val="center"/>
              <w:rPr>
                <w:b/>
                <w:bCs/>
              </w:rPr>
            </w:pPr>
            <w:r>
              <w:rPr>
                <w:rFonts w:hint="eastAsia"/>
              </w:rPr>
              <w:t xml:space="preserve">  </w:t>
            </w:r>
            <w:r>
              <w:rPr>
                <w:rFonts w:hint="eastAsia"/>
                <w:b/>
                <w:bCs/>
              </w:rPr>
              <w:t>环保投资一览表</w:t>
            </w:r>
          </w:p>
          <w:tbl>
            <w:tblPr>
              <w:tblStyle w:val="22"/>
              <w:tblW w:w="829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858"/>
              <w:gridCol w:w="5388"/>
              <w:gridCol w:w="143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1474" w:type="dxa"/>
                  <w:gridSpan w:val="2"/>
                  <w:shd w:val="clear" w:color="auto" w:fill="auto"/>
                  <w:vAlign w:val="center"/>
                </w:tcPr>
                <w:p>
                  <w:pPr>
                    <w:spacing w:line="360" w:lineRule="exact"/>
                    <w:jc w:val="center"/>
                    <w:rPr>
                      <w:b/>
                      <w:bCs/>
                      <w:szCs w:val="21"/>
                    </w:rPr>
                  </w:pPr>
                  <w:bookmarkStart w:id="12" w:name="OLE_LINK5"/>
                  <w:r>
                    <w:rPr>
                      <w:rFonts w:hint="eastAsia"/>
                      <w:b/>
                      <w:bCs/>
                      <w:szCs w:val="21"/>
                    </w:rPr>
                    <w:t>项目</w:t>
                  </w:r>
                </w:p>
              </w:tc>
              <w:tc>
                <w:tcPr>
                  <w:tcW w:w="5388" w:type="dxa"/>
                  <w:shd w:val="clear" w:color="auto" w:fill="auto"/>
                  <w:vAlign w:val="center"/>
                </w:tcPr>
                <w:p>
                  <w:pPr>
                    <w:spacing w:line="360" w:lineRule="exact"/>
                    <w:jc w:val="center"/>
                    <w:rPr>
                      <w:b/>
                      <w:bCs/>
                      <w:szCs w:val="21"/>
                    </w:rPr>
                  </w:pPr>
                  <w:r>
                    <w:rPr>
                      <w:rFonts w:hint="eastAsia"/>
                      <w:b/>
                      <w:bCs/>
                      <w:szCs w:val="21"/>
                    </w:rPr>
                    <w:t>内容</w:t>
                  </w:r>
                </w:p>
              </w:tc>
              <w:tc>
                <w:tcPr>
                  <w:tcW w:w="1432" w:type="dxa"/>
                  <w:shd w:val="clear" w:color="auto" w:fill="auto"/>
                  <w:vAlign w:val="center"/>
                </w:tcPr>
                <w:p>
                  <w:pPr>
                    <w:spacing w:line="360" w:lineRule="exact"/>
                    <w:jc w:val="center"/>
                    <w:rPr>
                      <w:b/>
                      <w:bCs/>
                      <w:szCs w:val="21"/>
                    </w:rPr>
                  </w:pPr>
                  <w:r>
                    <w:rPr>
                      <w:rFonts w:hint="eastAsia"/>
                      <w:b/>
                      <w:bCs/>
                      <w:szCs w:val="21"/>
                    </w:rPr>
                    <w:t>投资金额</w:t>
                  </w:r>
                </w:p>
                <w:p>
                  <w:pPr>
                    <w:spacing w:line="360" w:lineRule="exact"/>
                    <w:jc w:val="center"/>
                    <w:rPr>
                      <w:b/>
                      <w:bCs/>
                      <w:szCs w:val="21"/>
                    </w:rPr>
                  </w:pPr>
                  <w:r>
                    <w:rPr>
                      <w:rFonts w:hint="eastAsia"/>
                      <w:b/>
                      <w:bCs/>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16" w:type="dxa"/>
                  <w:vMerge w:val="restart"/>
                  <w:shd w:val="clear" w:color="auto" w:fill="auto"/>
                  <w:vAlign w:val="center"/>
                </w:tcPr>
                <w:p>
                  <w:pPr>
                    <w:spacing w:line="360" w:lineRule="exact"/>
                    <w:jc w:val="center"/>
                    <w:rPr>
                      <w:b/>
                      <w:bCs/>
                      <w:szCs w:val="21"/>
                    </w:rPr>
                  </w:pPr>
                  <w:bookmarkStart w:id="13" w:name="OLE_LINK20" w:colFirst="2" w:colLast="2"/>
                  <w:bookmarkStart w:id="14" w:name="OLE_LINK17" w:colFirst="2" w:colLast="2"/>
                  <w:bookmarkStart w:id="15" w:name="_Hlk471737208"/>
                  <w:r>
                    <w:rPr>
                      <w:rFonts w:hint="eastAsia"/>
                      <w:b/>
                      <w:bCs/>
                      <w:szCs w:val="21"/>
                    </w:rPr>
                    <w:t>施工期</w:t>
                  </w:r>
                </w:p>
              </w:tc>
              <w:tc>
                <w:tcPr>
                  <w:tcW w:w="858" w:type="dxa"/>
                  <w:shd w:val="clear" w:color="auto" w:fill="auto"/>
                  <w:vAlign w:val="center"/>
                </w:tcPr>
                <w:p>
                  <w:pPr>
                    <w:spacing w:line="360" w:lineRule="exact"/>
                    <w:jc w:val="center"/>
                    <w:rPr>
                      <w:szCs w:val="21"/>
                    </w:rPr>
                  </w:pPr>
                  <w:r>
                    <w:rPr>
                      <w:rFonts w:hint="eastAsia"/>
                      <w:szCs w:val="21"/>
                    </w:rPr>
                    <w:t>废气</w:t>
                  </w:r>
                </w:p>
              </w:tc>
              <w:tc>
                <w:tcPr>
                  <w:tcW w:w="5388" w:type="dxa"/>
                  <w:shd w:val="clear" w:color="auto" w:fill="auto"/>
                  <w:vAlign w:val="center"/>
                </w:tcPr>
                <w:p>
                  <w:pPr>
                    <w:spacing w:line="360" w:lineRule="exact"/>
                    <w:jc w:val="center"/>
                    <w:rPr>
                      <w:szCs w:val="21"/>
                    </w:rPr>
                  </w:pPr>
                  <w:r>
                    <w:rPr>
                      <w:rFonts w:hint="eastAsia"/>
                      <w:szCs w:val="21"/>
                    </w:rPr>
                    <w:t>洒水车1辆、炮雾机一辆</w:t>
                  </w:r>
                </w:p>
              </w:tc>
              <w:tc>
                <w:tcPr>
                  <w:tcW w:w="1432" w:type="dxa"/>
                  <w:shd w:val="clear" w:color="auto" w:fill="auto"/>
                  <w:vAlign w:val="center"/>
                </w:tcPr>
                <w:p>
                  <w:pPr>
                    <w:spacing w:line="360" w:lineRule="exact"/>
                    <w:jc w:val="center"/>
                    <w:rPr>
                      <w:szCs w:val="21"/>
                    </w:rPr>
                  </w:pPr>
                  <w:r>
                    <w:rPr>
                      <w:rFonts w:hint="eastAsia"/>
                      <w:szCs w:val="21"/>
                    </w:rPr>
                    <w:t>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16" w:type="dxa"/>
                  <w:vMerge w:val="continue"/>
                  <w:shd w:val="clear" w:color="auto" w:fill="auto"/>
                  <w:vAlign w:val="center"/>
                </w:tcPr>
                <w:p>
                  <w:pPr>
                    <w:spacing w:line="360" w:lineRule="exact"/>
                    <w:jc w:val="center"/>
                    <w:rPr>
                      <w:b/>
                      <w:bCs/>
                      <w:szCs w:val="21"/>
                    </w:rPr>
                  </w:pPr>
                </w:p>
              </w:tc>
              <w:tc>
                <w:tcPr>
                  <w:tcW w:w="858" w:type="dxa"/>
                  <w:vMerge w:val="restart"/>
                  <w:shd w:val="clear" w:color="auto" w:fill="auto"/>
                  <w:vAlign w:val="center"/>
                </w:tcPr>
                <w:p>
                  <w:pPr>
                    <w:spacing w:line="360" w:lineRule="exact"/>
                    <w:jc w:val="center"/>
                    <w:rPr>
                      <w:szCs w:val="21"/>
                    </w:rPr>
                  </w:pPr>
                  <w:r>
                    <w:rPr>
                      <w:rFonts w:hint="eastAsia"/>
                      <w:szCs w:val="21"/>
                    </w:rPr>
                    <w:t>废水</w:t>
                  </w:r>
                </w:p>
              </w:tc>
              <w:tc>
                <w:tcPr>
                  <w:tcW w:w="5388" w:type="dxa"/>
                  <w:shd w:val="clear" w:color="auto" w:fill="auto"/>
                  <w:vAlign w:val="center"/>
                </w:tcPr>
                <w:p>
                  <w:pPr>
                    <w:spacing w:line="360" w:lineRule="exact"/>
                    <w:jc w:val="center"/>
                    <w:rPr>
                      <w:szCs w:val="21"/>
                    </w:rPr>
                  </w:pPr>
                  <w:r>
                    <w:rPr>
                      <w:rFonts w:hint="eastAsia"/>
                      <w:szCs w:val="21"/>
                    </w:rPr>
                    <w:t>临时旱厕</w:t>
                  </w:r>
                </w:p>
              </w:tc>
              <w:tc>
                <w:tcPr>
                  <w:tcW w:w="1432" w:type="dxa"/>
                  <w:shd w:val="clear" w:color="auto" w:fill="auto"/>
                  <w:vAlign w:val="center"/>
                </w:tcPr>
                <w:p>
                  <w:pPr>
                    <w:spacing w:line="360" w:lineRule="exact"/>
                    <w:jc w:val="center"/>
                    <w:rPr>
                      <w:szCs w:val="21"/>
                    </w:rPr>
                  </w:pPr>
                  <w:r>
                    <w:rPr>
                      <w:rFonts w:hint="eastAsia"/>
                      <w:szCs w:val="21"/>
                    </w:rPr>
                    <w:t>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16" w:type="dxa"/>
                  <w:vMerge w:val="continue"/>
                  <w:shd w:val="clear" w:color="auto" w:fill="auto"/>
                  <w:vAlign w:val="center"/>
                </w:tcPr>
                <w:p>
                  <w:pPr>
                    <w:spacing w:line="360" w:lineRule="exact"/>
                    <w:jc w:val="center"/>
                    <w:rPr>
                      <w:b/>
                      <w:bCs/>
                      <w:szCs w:val="21"/>
                    </w:rPr>
                  </w:pPr>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设置1个沉淀池</w:t>
                  </w:r>
                </w:p>
              </w:tc>
              <w:tc>
                <w:tcPr>
                  <w:tcW w:w="1432" w:type="dxa"/>
                  <w:shd w:val="clear" w:color="auto" w:fill="auto"/>
                  <w:vAlign w:val="center"/>
                </w:tcPr>
                <w:p>
                  <w:pPr>
                    <w:spacing w:line="360" w:lineRule="exact"/>
                    <w:jc w:val="center"/>
                    <w:rPr>
                      <w:szCs w:val="21"/>
                    </w:rPr>
                  </w:pPr>
                  <w:r>
                    <w:rPr>
                      <w:rFonts w:hint="eastAsia"/>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16" w:type="dxa"/>
                  <w:vMerge w:val="restart"/>
                  <w:shd w:val="clear" w:color="auto" w:fill="auto"/>
                  <w:vAlign w:val="center"/>
                </w:tcPr>
                <w:p>
                  <w:pPr>
                    <w:spacing w:line="360" w:lineRule="exact"/>
                    <w:jc w:val="center"/>
                    <w:rPr>
                      <w:bCs/>
                      <w:szCs w:val="21"/>
                    </w:rPr>
                  </w:pPr>
                  <w:r>
                    <w:rPr>
                      <w:rFonts w:hint="eastAsia"/>
                      <w:bCs/>
                      <w:szCs w:val="21"/>
                    </w:rPr>
                    <w:t>运营期</w:t>
                  </w:r>
                </w:p>
              </w:tc>
              <w:tc>
                <w:tcPr>
                  <w:tcW w:w="858" w:type="dxa"/>
                  <w:vMerge w:val="restart"/>
                  <w:shd w:val="clear" w:color="auto" w:fill="auto"/>
                  <w:vAlign w:val="center"/>
                </w:tcPr>
                <w:p>
                  <w:pPr>
                    <w:spacing w:line="360" w:lineRule="exact"/>
                    <w:jc w:val="center"/>
                    <w:rPr>
                      <w:szCs w:val="21"/>
                    </w:rPr>
                  </w:pPr>
                  <w:r>
                    <w:rPr>
                      <w:rFonts w:hint="eastAsia"/>
                      <w:szCs w:val="21"/>
                    </w:rPr>
                    <w:t>生态</w:t>
                  </w:r>
                </w:p>
              </w:tc>
              <w:tc>
                <w:tcPr>
                  <w:tcW w:w="5388" w:type="dxa"/>
                  <w:shd w:val="clear" w:color="auto" w:fill="auto"/>
                  <w:vAlign w:val="center"/>
                </w:tcPr>
                <w:p>
                  <w:pPr>
                    <w:autoSpaceDE w:val="0"/>
                    <w:autoSpaceDN w:val="0"/>
                    <w:adjustRightInd w:val="0"/>
                    <w:spacing w:line="360" w:lineRule="exact"/>
                    <w:jc w:val="center"/>
                    <w:rPr>
                      <w:szCs w:val="21"/>
                    </w:rPr>
                  </w:pPr>
                  <w:r>
                    <w:rPr>
                      <w:rFonts w:hint="eastAsia"/>
                      <w:szCs w:val="21"/>
                    </w:rPr>
                    <w:t>生态复垦</w:t>
                  </w:r>
                </w:p>
              </w:tc>
              <w:tc>
                <w:tcPr>
                  <w:tcW w:w="1432" w:type="dxa"/>
                  <w:shd w:val="clear" w:color="auto" w:fill="auto"/>
                  <w:vAlign w:val="center"/>
                </w:tcPr>
                <w:p>
                  <w:pPr>
                    <w:autoSpaceDE w:val="0"/>
                    <w:autoSpaceDN w:val="0"/>
                    <w:adjustRightInd w:val="0"/>
                    <w:spacing w:line="360" w:lineRule="exact"/>
                    <w:jc w:val="center"/>
                    <w:rPr>
                      <w:szCs w:val="21"/>
                    </w:rPr>
                  </w:pPr>
                  <w:r>
                    <w:rPr>
                      <w:rFonts w:hint="eastAsia"/>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16" w:type="dxa"/>
                  <w:vMerge w:val="continue"/>
                  <w:shd w:val="clear" w:color="auto" w:fill="auto"/>
                  <w:vAlign w:val="center"/>
                </w:tcPr>
                <w:p>
                  <w:pPr>
                    <w:spacing w:line="360" w:lineRule="exact"/>
                    <w:jc w:val="center"/>
                    <w:rPr>
                      <w:b/>
                      <w:bCs/>
                      <w:szCs w:val="21"/>
                    </w:rPr>
                  </w:pPr>
                </w:p>
              </w:tc>
              <w:tc>
                <w:tcPr>
                  <w:tcW w:w="858" w:type="dxa"/>
                  <w:vMerge w:val="continue"/>
                  <w:shd w:val="clear" w:color="auto" w:fill="auto"/>
                  <w:vAlign w:val="center"/>
                </w:tcPr>
                <w:p>
                  <w:pPr>
                    <w:spacing w:line="360" w:lineRule="exact"/>
                    <w:jc w:val="center"/>
                    <w:rPr>
                      <w:b/>
                      <w:bCs/>
                      <w:szCs w:val="21"/>
                    </w:rPr>
                  </w:pPr>
                </w:p>
              </w:tc>
              <w:tc>
                <w:tcPr>
                  <w:tcW w:w="5388" w:type="dxa"/>
                  <w:shd w:val="clear" w:color="auto" w:fill="auto"/>
                  <w:vAlign w:val="center"/>
                </w:tcPr>
                <w:p>
                  <w:pPr>
                    <w:autoSpaceDE w:val="0"/>
                    <w:autoSpaceDN w:val="0"/>
                    <w:adjustRightInd w:val="0"/>
                    <w:spacing w:line="360" w:lineRule="exact"/>
                    <w:jc w:val="center"/>
                    <w:rPr>
                      <w:szCs w:val="21"/>
                    </w:rPr>
                  </w:pPr>
                  <w:r>
                    <w:rPr>
                      <w:rFonts w:hint="eastAsia"/>
                      <w:szCs w:val="21"/>
                    </w:rPr>
                    <w:t>水土保持</w:t>
                  </w:r>
                </w:p>
              </w:tc>
              <w:tc>
                <w:tcPr>
                  <w:tcW w:w="1432" w:type="dxa"/>
                  <w:shd w:val="clear" w:color="auto" w:fill="auto"/>
                  <w:vAlign w:val="center"/>
                </w:tcPr>
                <w:p>
                  <w:pPr>
                    <w:autoSpaceDE w:val="0"/>
                    <w:autoSpaceDN w:val="0"/>
                    <w:adjustRightInd w:val="0"/>
                    <w:spacing w:line="360" w:lineRule="exact"/>
                    <w:jc w:val="center"/>
                    <w:rPr>
                      <w:szCs w:val="21"/>
                    </w:rPr>
                  </w:pPr>
                  <w:r>
                    <w:rPr>
                      <w:rFonts w:hint="eastAsia"/>
                      <w:szCs w:val="21"/>
                    </w:rPr>
                    <w:t>179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bookmarkStart w:id="16" w:name="_Hlk450146446"/>
                  <w:bookmarkStart w:id="17" w:name="_Hlk466356121"/>
                  <w:bookmarkStart w:id="18" w:name="OLE_LINK19" w:colFirst="1" w:colLast="1"/>
                  <w:bookmarkStart w:id="19" w:name="OLE_LINK12" w:colFirst="1" w:colLast="1"/>
                  <w:bookmarkStart w:id="20" w:name="OLE_LINK9" w:colFirst="1" w:colLast="1"/>
                  <w:bookmarkStart w:id="21" w:name="OLE_LINK8" w:colFirst="2" w:colLast="2"/>
                  <w:bookmarkStart w:id="22" w:name="OLE_LINK11" w:colFirst="1" w:colLast="1"/>
                  <w:bookmarkStart w:id="23" w:name="OLE_LINK6" w:colFirst="1" w:colLast="1"/>
                  <w:bookmarkStart w:id="24" w:name="OLE_LINK18" w:colFirst="1" w:colLast="1"/>
                  <w:bookmarkStart w:id="25" w:name="OLE_LINK10" w:colFirst="1" w:colLast="1"/>
                  <w:bookmarkStart w:id="26" w:name="OLE_LINK13" w:colFirst="1" w:colLast="1"/>
                  <w:bookmarkStart w:id="27" w:name="OLE_LINK7" w:colFirst="2" w:colLast="2"/>
                </w:p>
              </w:tc>
              <w:tc>
                <w:tcPr>
                  <w:tcW w:w="858" w:type="dxa"/>
                  <w:vMerge w:val="restart"/>
                  <w:shd w:val="clear" w:color="auto" w:fill="auto"/>
                  <w:vAlign w:val="center"/>
                </w:tcPr>
                <w:p>
                  <w:pPr>
                    <w:spacing w:line="360" w:lineRule="exact"/>
                    <w:jc w:val="center"/>
                    <w:rPr>
                      <w:szCs w:val="21"/>
                    </w:rPr>
                  </w:pPr>
                  <w:r>
                    <w:rPr>
                      <w:rFonts w:hint="eastAsia"/>
                      <w:szCs w:val="21"/>
                    </w:rPr>
                    <w:t>废气</w:t>
                  </w:r>
                </w:p>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2套密闭收集设施+旋风除尘器+</w:t>
                  </w:r>
                </w:p>
                <w:p>
                  <w:pPr>
                    <w:spacing w:line="360" w:lineRule="exact"/>
                    <w:jc w:val="center"/>
                    <w:rPr>
                      <w:szCs w:val="21"/>
                    </w:rPr>
                  </w:pPr>
                  <w:r>
                    <w:rPr>
                      <w:rFonts w:hint="eastAsia"/>
                      <w:szCs w:val="21"/>
                    </w:rPr>
                    <w:t>布袋除尘器（综合除尘效率99.</w:t>
                  </w:r>
                  <w:r>
                    <w:rPr>
                      <w:szCs w:val="21"/>
                    </w:rPr>
                    <w:t>91</w:t>
                  </w:r>
                  <w:r>
                    <w:rPr>
                      <w:rFonts w:hint="eastAsia"/>
                      <w:szCs w:val="21"/>
                    </w:rPr>
                    <w:t>%）</w:t>
                  </w:r>
                </w:p>
              </w:tc>
              <w:tc>
                <w:tcPr>
                  <w:tcW w:w="1432" w:type="dxa"/>
                  <w:shd w:val="clear" w:color="auto" w:fill="auto"/>
                  <w:vAlign w:val="center"/>
                </w:tcPr>
                <w:p>
                  <w:pPr>
                    <w:spacing w:line="360" w:lineRule="exact"/>
                    <w:jc w:val="center"/>
                    <w:rPr>
                      <w:szCs w:val="21"/>
                    </w:rPr>
                  </w:pPr>
                  <w:r>
                    <w:rPr>
                      <w:rFonts w:hint="eastAsia"/>
                      <w:szCs w:val="21"/>
                    </w:rPr>
                    <w:t>25</w:t>
                  </w:r>
                </w:p>
              </w:tc>
            </w:tr>
            <w:bookmarkEnd w:id="16"/>
            <w:bookmarkEnd w:id="17"/>
            <w:bookmarkEnd w:id="18"/>
            <w:bookmarkEnd w:id="19"/>
            <w:bookmarkEnd w:id="20"/>
            <w:bookmarkEnd w:id="21"/>
            <w:bookmarkEnd w:id="22"/>
            <w:bookmarkEnd w:id="23"/>
            <w:bookmarkEnd w:id="24"/>
            <w:bookmarkEnd w:id="25"/>
            <w:bookmarkEnd w:id="26"/>
            <w:bookmarkEnd w:id="27"/>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厂区道路铺设石子</w:t>
                  </w:r>
                </w:p>
              </w:tc>
              <w:tc>
                <w:tcPr>
                  <w:tcW w:w="1432" w:type="dxa"/>
                  <w:shd w:val="clear" w:color="auto" w:fill="auto"/>
                  <w:vAlign w:val="center"/>
                </w:tcPr>
                <w:p>
                  <w:pPr>
                    <w:spacing w:line="360" w:lineRule="exact"/>
                    <w:jc w:val="center"/>
                    <w:rPr>
                      <w:szCs w:val="21"/>
                    </w:rPr>
                  </w:pPr>
                  <w:r>
                    <w:rPr>
                      <w:rFonts w:hint="eastAsia"/>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洒水车1辆、炮雾机一辆</w:t>
                  </w:r>
                </w:p>
              </w:tc>
              <w:tc>
                <w:tcPr>
                  <w:tcW w:w="1432" w:type="dxa"/>
                  <w:shd w:val="clear" w:color="auto" w:fill="auto"/>
                  <w:vAlign w:val="center"/>
                </w:tcPr>
                <w:p>
                  <w:pPr>
                    <w:spacing w:line="360" w:lineRule="exact"/>
                    <w:jc w:val="center"/>
                    <w:rPr>
                      <w:szCs w:val="21"/>
                    </w:rPr>
                  </w:pPr>
                  <w:r>
                    <w:rPr>
                      <w:rFonts w:hint="eastAsia"/>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排土场等场所篷布</w:t>
                  </w:r>
                </w:p>
              </w:tc>
              <w:tc>
                <w:tcPr>
                  <w:tcW w:w="1432" w:type="dxa"/>
                  <w:shd w:val="clear" w:color="auto" w:fill="auto"/>
                  <w:vAlign w:val="center"/>
                </w:tcPr>
                <w:p>
                  <w:pPr>
                    <w:spacing w:line="360" w:lineRule="exact"/>
                    <w:jc w:val="center"/>
                    <w:rPr>
                      <w:szCs w:val="21"/>
                    </w:rPr>
                  </w:pPr>
                  <w:r>
                    <w:rPr>
                      <w:rFonts w:hint="eastAsia"/>
                      <w:szCs w:val="21"/>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设置全封闭式破碎加工区</w:t>
                  </w:r>
                </w:p>
              </w:tc>
              <w:tc>
                <w:tcPr>
                  <w:tcW w:w="1432" w:type="dxa"/>
                  <w:shd w:val="clear" w:color="auto" w:fill="auto"/>
                  <w:vAlign w:val="center"/>
                </w:tcPr>
                <w:p>
                  <w:pPr>
                    <w:spacing w:line="360" w:lineRule="exact"/>
                    <w:jc w:val="center"/>
                    <w:rPr>
                      <w:szCs w:val="21"/>
                    </w:rPr>
                  </w:pPr>
                  <w:r>
                    <w:rPr>
                      <w:rFonts w:hint="eastAsia"/>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设置2座全封闭式产品堆场</w:t>
                  </w:r>
                </w:p>
              </w:tc>
              <w:tc>
                <w:tcPr>
                  <w:tcW w:w="1432" w:type="dxa"/>
                  <w:shd w:val="clear" w:color="auto" w:fill="auto"/>
                  <w:vAlign w:val="center"/>
                </w:tcPr>
                <w:p>
                  <w:pPr>
                    <w:spacing w:line="360" w:lineRule="exact"/>
                    <w:jc w:val="center"/>
                    <w:rPr>
                      <w:szCs w:val="21"/>
                    </w:rPr>
                  </w:pPr>
                  <w:r>
                    <w:rPr>
                      <w:rFonts w:hint="eastAsia"/>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restart"/>
                  <w:shd w:val="clear" w:color="auto" w:fill="auto"/>
                  <w:vAlign w:val="center"/>
                </w:tcPr>
                <w:p>
                  <w:pPr>
                    <w:spacing w:line="360" w:lineRule="exact"/>
                    <w:jc w:val="center"/>
                    <w:rPr>
                      <w:szCs w:val="21"/>
                    </w:rPr>
                  </w:pPr>
                  <w:r>
                    <w:rPr>
                      <w:rFonts w:hint="eastAsia"/>
                      <w:szCs w:val="21"/>
                    </w:rPr>
                    <w:t>废水</w:t>
                  </w:r>
                </w:p>
              </w:tc>
              <w:tc>
                <w:tcPr>
                  <w:tcW w:w="5388" w:type="dxa"/>
                  <w:shd w:val="clear" w:color="auto" w:fill="auto"/>
                  <w:vAlign w:val="center"/>
                </w:tcPr>
                <w:p>
                  <w:pPr>
                    <w:spacing w:line="360" w:lineRule="exact"/>
                    <w:jc w:val="center"/>
                    <w:rPr>
                      <w:szCs w:val="21"/>
                    </w:rPr>
                  </w:pPr>
                  <w:r>
                    <w:rPr>
                      <w:rFonts w:hint="eastAsia"/>
                      <w:szCs w:val="21"/>
                    </w:rPr>
                    <w:t>防渗旱厕</w:t>
                  </w:r>
                </w:p>
              </w:tc>
              <w:tc>
                <w:tcPr>
                  <w:tcW w:w="1432" w:type="dxa"/>
                  <w:shd w:val="clear" w:color="auto" w:fill="auto"/>
                  <w:vAlign w:val="center"/>
                </w:tcPr>
                <w:p>
                  <w:pPr>
                    <w:spacing w:line="360" w:lineRule="exact"/>
                    <w:jc w:val="center"/>
                    <w:rPr>
                      <w:szCs w:val="21"/>
                    </w:rPr>
                  </w:pPr>
                  <w:r>
                    <w:rPr>
                      <w:rFonts w:hint="eastAsia"/>
                      <w:szCs w:val="21"/>
                    </w:rPr>
                    <w:t>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沉砂池</w:t>
                  </w:r>
                </w:p>
              </w:tc>
              <w:tc>
                <w:tcPr>
                  <w:tcW w:w="1432" w:type="dxa"/>
                  <w:shd w:val="clear" w:color="auto" w:fill="auto"/>
                  <w:vAlign w:val="center"/>
                </w:tcPr>
                <w:p>
                  <w:pPr>
                    <w:spacing w:line="360" w:lineRule="exact"/>
                    <w:jc w:val="center"/>
                    <w:rPr>
                      <w:szCs w:val="21"/>
                    </w:rPr>
                  </w:pPr>
                  <w:r>
                    <w:rPr>
                      <w:rFonts w:hint="eastAsia"/>
                      <w:szCs w:val="21"/>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616" w:type="dxa"/>
                  <w:vMerge w:val="continue"/>
                  <w:shd w:val="clear" w:color="auto" w:fill="auto"/>
                  <w:vAlign w:val="center"/>
                </w:tcPr>
                <w:p>
                  <w:pPr>
                    <w:spacing w:line="360" w:lineRule="exact"/>
                    <w:jc w:val="center"/>
                    <w:rPr>
                      <w:szCs w:val="21"/>
                    </w:rPr>
                  </w:pPr>
                </w:p>
              </w:tc>
              <w:tc>
                <w:tcPr>
                  <w:tcW w:w="858" w:type="dxa"/>
                  <w:shd w:val="clear" w:color="auto" w:fill="auto"/>
                  <w:vAlign w:val="center"/>
                </w:tcPr>
                <w:p>
                  <w:pPr>
                    <w:spacing w:line="360" w:lineRule="exact"/>
                    <w:jc w:val="center"/>
                    <w:rPr>
                      <w:szCs w:val="21"/>
                    </w:rPr>
                  </w:pPr>
                  <w:r>
                    <w:rPr>
                      <w:rFonts w:hint="eastAsia"/>
                      <w:szCs w:val="21"/>
                    </w:rPr>
                    <w:t>噪声</w:t>
                  </w:r>
                </w:p>
              </w:tc>
              <w:tc>
                <w:tcPr>
                  <w:tcW w:w="5388" w:type="dxa"/>
                  <w:shd w:val="clear" w:color="auto" w:fill="auto"/>
                  <w:vAlign w:val="center"/>
                </w:tcPr>
                <w:p>
                  <w:pPr>
                    <w:spacing w:line="360" w:lineRule="exact"/>
                    <w:jc w:val="center"/>
                    <w:rPr>
                      <w:szCs w:val="21"/>
                    </w:rPr>
                  </w:pPr>
                  <w:r>
                    <w:rPr>
                      <w:rFonts w:hint="eastAsia"/>
                      <w:kern w:val="1"/>
                      <w:szCs w:val="21"/>
                    </w:rPr>
                    <w:t>选用低噪声设备，采取消声、减振、隔声措施</w:t>
                  </w:r>
                </w:p>
              </w:tc>
              <w:tc>
                <w:tcPr>
                  <w:tcW w:w="1432" w:type="dxa"/>
                  <w:shd w:val="clear" w:color="auto" w:fill="auto"/>
                  <w:vAlign w:val="center"/>
                </w:tcPr>
                <w:p>
                  <w:pPr>
                    <w:spacing w:line="360" w:lineRule="exact"/>
                    <w:jc w:val="center"/>
                    <w:rPr>
                      <w:szCs w:val="21"/>
                    </w:rPr>
                  </w:pPr>
                  <w:r>
                    <w:rPr>
                      <w:rFonts w:hint="eastAsia"/>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p>
              </w:tc>
              <w:tc>
                <w:tcPr>
                  <w:tcW w:w="858" w:type="dxa"/>
                  <w:vMerge w:val="restart"/>
                  <w:shd w:val="clear" w:color="auto" w:fill="auto"/>
                  <w:vAlign w:val="center"/>
                </w:tcPr>
                <w:p>
                  <w:pPr>
                    <w:spacing w:line="360" w:lineRule="exact"/>
                    <w:jc w:val="center"/>
                    <w:rPr>
                      <w:szCs w:val="21"/>
                    </w:rPr>
                  </w:pPr>
                  <w:r>
                    <w:rPr>
                      <w:rFonts w:hint="eastAsia"/>
                      <w:szCs w:val="21"/>
                    </w:rPr>
                    <w:t>固废</w:t>
                  </w:r>
                </w:p>
              </w:tc>
              <w:tc>
                <w:tcPr>
                  <w:tcW w:w="5388" w:type="dxa"/>
                  <w:shd w:val="clear" w:color="auto" w:fill="auto"/>
                  <w:vAlign w:val="center"/>
                </w:tcPr>
                <w:p>
                  <w:pPr>
                    <w:spacing w:line="360" w:lineRule="exact"/>
                    <w:jc w:val="center"/>
                    <w:rPr>
                      <w:szCs w:val="21"/>
                    </w:rPr>
                  </w:pPr>
                  <w:r>
                    <w:rPr>
                      <w:rFonts w:hint="eastAsia"/>
                      <w:szCs w:val="21"/>
                    </w:rPr>
                    <w:t>垃圾箱</w:t>
                  </w:r>
                </w:p>
              </w:tc>
              <w:tc>
                <w:tcPr>
                  <w:tcW w:w="1432" w:type="dxa"/>
                  <w:shd w:val="clear" w:color="auto" w:fill="auto"/>
                  <w:vAlign w:val="center"/>
                </w:tcPr>
                <w:p>
                  <w:pPr>
                    <w:spacing w:line="360" w:lineRule="exact"/>
                    <w:jc w:val="center"/>
                    <w:rPr>
                      <w:szCs w:val="21"/>
                    </w:rPr>
                  </w:pPr>
                  <w:r>
                    <w:rPr>
                      <w:rFonts w:hint="eastAsia"/>
                      <w:szCs w:val="21"/>
                    </w:rPr>
                    <w:t>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dxa"/>
                  <w:vMerge w:val="continue"/>
                  <w:shd w:val="clear" w:color="auto" w:fill="auto"/>
                  <w:vAlign w:val="center"/>
                </w:tcPr>
                <w:p>
                  <w:pPr>
                    <w:spacing w:line="360" w:lineRule="exact"/>
                    <w:jc w:val="center"/>
                    <w:rPr>
                      <w:szCs w:val="21"/>
                    </w:rPr>
                  </w:pPr>
                  <w:bookmarkStart w:id="28" w:name="_Hlk465329213"/>
                </w:p>
              </w:tc>
              <w:tc>
                <w:tcPr>
                  <w:tcW w:w="858" w:type="dxa"/>
                  <w:vMerge w:val="continue"/>
                  <w:shd w:val="clear" w:color="auto" w:fill="auto"/>
                  <w:vAlign w:val="center"/>
                </w:tcPr>
                <w:p>
                  <w:pPr>
                    <w:spacing w:line="360" w:lineRule="exact"/>
                    <w:jc w:val="center"/>
                    <w:rPr>
                      <w:szCs w:val="21"/>
                    </w:rPr>
                  </w:pPr>
                </w:p>
              </w:tc>
              <w:tc>
                <w:tcPr>
                  <w:tcW w:w="5388" w:type="dxa"/>
                  <w:shd w:val="clear" w:color="auto" w:fill="auto"/>
                  <w:vAlign w:val="center"/>
                </w:tcPr>
                <w:p>
                  <w:pPr>
                    <w:spacing w:line="360" w:lineRule="exact"/>
                    <w:jc w:val="center"/>
                    <w:rPr>
                      <w:szCs w:val="21"/>
                    </w:rPr>
                  </w:pPr>
                  <w:r>
                    <w:rPr>
                      <w:rFonts w:hint="eastAsia"/>
                      <w:szCs w:val="21"/>
                    </w:rPr>
                    <w:t>危废暂存间</w:t>
                  </w:r>
                </w:p>
              </w:tc>
              <w:tc>
                <w:tcPr>
                  <w:tcW w:w="1432" w:type="dxa"/>
                  <w:shd w:val="clear" w:color="auto" w:fill="auto"/>
                  <w:vAlign w:val="center"/>
                </w:tcPr>
                <w:p>
                  <w:pPr>
                    <w:spacing w:line="360" w:lineRule="exact"/>
                    <w:jc w:val="center"/>
                    <w:rPr>
                      <w:szCs w:val="21"/>
                    </w:rPr>
                  </w:pPr>
                  <w:r>
                    <w:rPr>
                      <w:rFonts w:hint="eastAsia"/>
                      <w:szCs w:val="21"/>
                    </w:rPr>
                    <w:t>16</w:t>
                  </w:r>
                </w:p>
              </w:tc>
            </w:tr>
            <w:bookmarkEnd w:id="13"/>
            <w:bookmarkEnd w:id="14"/>
            <w:bookmarkEnd w:id="15"/>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862" w:type="dxa"/>
                  <w:gridSpan w:val="3"/>
                  <w:shd w:val="clear" w:color="auto" w:fill="auto"/>
                  <w:vAlign w:val="center"/>
                </w:tcPr>
                <w:p>
                  <w:pPr>
                    <w:spacing w:line="360" w:lineRule="exact"/>
                    <w:jc w:val="center"/>
                    <w:rPr>
                      <w:szCs w:val="21"/>
                    </w:rPr>
                  </w:pPr>
                  <w:r>
                    <w:rPr>
                      <w:rFonts w:hint="eastAsia"/>
                      <w:szCs w:val="21"/>
                    </w:rPr>
                    <w:t>合计</w:t>
                  </w:r>
                </w:p>
              </w:tc>
              <w:tc>
                <w:tcPr>
                  <w:tcW w:w="1432" w:type="dxa"/>
                  <w:shd w:val="clear" w:color="auto" w:fill="auto"/>
                  <w:vAlign w:val="center"/>
                </w:tcPr>
                <w:p>
                  <w:pPr>
                    <w:spacing w:line="360" w:lineRule="exact"/>
                    <w:jc w:val="center"/>
                    <w:rPr>
                      <w:szCs w:val="21"/>
                    </w:rPr>
                  </w:pPr>
                  <w:r>
                    <w:rPr>
                      <w:rFonts w:hint="eastAsia"/>
                      <w:szCs w:val="21"/>
                    </w:rPr>
                    <w:t>1499.8</w:t>
                  </w:r>
                </w:p>
              </w:tc>
            </w:tr>
            <w:bookmarkEnd w:id="12"/>
            <w:bookmarkEnd w:id="28"/>
          </w:tbl>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p>
            <w:pPr>
              <w:pStyle w:val="50"/>
              <w:tabs>
                <w:tab w:val="left" w:pos="851"/>
              </w:tabs>
              <w:ind w:firstLine="0" w:firstLineChars="0"/>
              <w:rPr>
                <w:bCs/>
                <w:spacing w:val="10"/>
              </w:rPr>
            </w:pPr>
          </w:p>
        </w:tc>
      </w:tr>
    </w:tbl>
    <w:p>
      <w:pPr>
        <w:sectPr>
          <w:pgSz w:w="11907" w:h="16840"/>
          <w:pgMar w:top="1440" w:right="1440" w:bottom="1440" w:left="1440" w:header="851" w:footer="1077" w:gutter="0"/>
          <w:cols w:space="720" w:num="1"/>
          <w:docGrid w:linePitch="312" w:charSpace="0"/>
        </w:sectPr>
      </w:pPr>
    </w:p>
    <w:p>
      <w:pPr>
        <w:pStyle w:val="18"/>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六、生态环境保护措施监督检查清单</w:t>
      </w:r>
    </w:p>
    <w:tbl>
      <w:tblPr>
        <w:tblStyle w:val="22"/>
        <w:tblW w:w="141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2669"/>
        <w:gridCol w:w="1900"/>
        <w:gridCol w:w="5000"/>
        <w:gridCol w:w="32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Merge w:val="restart"/>
            <w:tcBorders>
              <w:tl2br w:val="single" w:color="auto" w:sz="4" w:space="0"/>
            </w:tcBorders>
          </w:tcPr>
          <w:p>
            <w:pPr>
              <w:pStyle w:val="18"/>
              <w:adjustRightInd w:val="0"/>
              <w:snapToGrid w:val="0"/>
              <w:spacing w:before="72" w:beforeLines="30" w:beforeAutospacing="0" w:after="0" w:afterAutospacing="0"/>
              <w:jc w:val="center"/>
              <w:outlineLvl w:val="0"/>
              <w:rPr>
                <w:rFonts w:ascii="Times New Roman" w:hAnsi="Times New Roman" w:eastAsia="黑体"/>
                <w:kern w:val="2"/>
                <w:sz w:val="21"/>
                <w:szCs w:val="21"/>
              </w:rPr>
            </w:pPr>
            <w:r>
              <w:rPr>
                <w:rFonts w:hint="eastAsia" w:ascii="Times New Roman" w:hAnsi="Times New Roman" w:eastAsia="黑体"/>
                <w:kern w:val="2"/>
                <w:sz w:val="21"/>
                <w:szCs w:val="21"/>
              </w:rPr>
              <w:t xml:space="preserve">       内容</w:t>
            </w:r>
          </w:p>
          <w:p>
            <w:pPr>
              <w:pStyle w:val="18"/>
              <w:adjustRightInd w:val="0"/>
              <w:snapToGrid w:val="0"/>
              <w:spacing w:before="0" w:beforeAutospacing="0" w:after="0" w:afterAutospacing="0"/>
              <w:outlineLvl w:val="0"/>
              <w:rPr>
                <w:rFonts w:ascii="Times New Roman" w:hAnsi="Times New Roman" w:eastAsia="黑体"/>
                <w:kern w:val="2"/>
                <w:sz w:val="21"/>
                <w:szCs w:val="21"/>
              </w:rPr>
            </w:pPr>
            <w:r>
              <w:rPr>
                <w:rFonts w:hint="eastAsia" w:ascii="Times New Roman" w:hAnsi="Times New Roman" w:eastAsia="黑体"/>
                <w:kern w:val="2"/>
                <w:sz w:val="21"/>
                <w:szCs w:val="21"/>
              </w:rPr>
              <w:t>要素</w:t>
            </w:r>
          </w:p>
        </w:tc>
        <w:tc>
          <w:tcPr>
            <w:tcW w:w="4569" w:type="dxa"/>
            <w:gridSpan w:val="2"/>
            <w:vAlign w:val="center"/>
          </w:tcPr>
          <w:p>
            <w:pPr>
              <w:pStyle w:val="18"/>
              <w:adjustRightInd w:val="0"/>
              <w:snapToGrid w:val="0"/>
              <w:spacing w:before="0" w:beforeAutospacing="0" w:after="0" w:afterAutospacing="0"/>
              <w:jc w:val="center"/>
              <w:outlineLvl w:val="0"/>
              <w:rPr>
                <w:rFonts w:ascii="Times New Roman" w:hAnsi="Times New Roman" w:eastAsia="黑体"/>
                <w:kern w:val="2"/>
                <w:sz w:val="21"/>
                <w:szCs w:val="21"/>
              </w:rPr>
            </w:pPr>
            <w:r>
              <w:rPr>
                <w:rFonts w:hint="eastAsia" w:ascii="Times New Roman" w:hAnsi="Times New Roman" w:eastAsia="黑体"/>
                <w:kern w:val="2"/>
                <w:sz w:val="21"/>
                <w:szCs w:val="21"/>
              </w:rPr>
              <w:t>施工期</w:t>
            </w:r>
          </w:p>
        </w:tc>
        <w:tc>
          <w:tcPr>
            <w:tcW w:w="8208" w:type="dxa"/>
            <w:gridSpan w:val="2"/>
            <w:vAlign w:val="center"/>
          </w:tcPr>
          <w:p>
            <w:pPr>
              <w:pStyle w:val="18"/>
              <w:adjustRightInd w:val="0"/>
              <w:snapToGrid w:val="0"/>
              <w:spacing w:before="0" w:beforeAutospacing="0" w:after="0" w:afterAutospacing="0"/>
              <w:jc w:val="center"/>
              <w:outlineLvl w:val="0"/>
              <w:rPr>
                <w:rFonts w:ascii="Times New Roman" w:hAnsi="Times New Roman" w:eastAsia="黑体"/>
                <w:kern w:val="2"/>
                <w:sz w:val="21"/>
                <w:szCs w:val="21"/>
              </w:rPr>
            </w:pPr>
            <w:r>
              <w:rPr>
                <w:rFonts w:hint="eastAsia" w:ascii="Times New Roman" w:hAnsi="Times New Roman" w:eastAsia="黑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99" w:type="dxa"/>
            <w:vMerge w:val="continue"/>
          </w:tcPr>
          <w:p>
            <w:pPr>
              <w:pStyle w:val="18"/>
              <w:adjustRightInd w:val="0"/>
              <w:snapToGrid w:val="0"/>
              <w:spacing w:before="0" w:beforeAutospacing="0" w:after="0" w:afterAutospacing="0"/>
              <w:ind w:firstLine="840"/>
              <w:jc w:val="center"/>
              <w:outlineLvl w:val="0"/>
              <w:rPr>
                <w:rFonts w:ascii="Times New Roman" w:hAnsi="Times New Roman" w:eastAsia="黑体"/>
                <w:kern w:val="2"/>
                <w:sz w:val="21"/>
                <w:szCs w:val="21"/>
              </w:rPr>
            </w:pPr>
          </w:p>
        </w:tc>
        <w:tc>
          <w:tcPr>
            <w:tcW w:w="2669" w:type="dxa"/>
            <w:vAlign w:val="center"/>
          </w:tcPr>
          <w:p>
            <w:pPr>
              <w:pStyle w:val="18"/>
              <w:adjustRightInd w:val="0"/>
              <w:snapToGrid w:val="0"/>
              <w:spacing w:before="0" w:beforeAutospacing="0" w:after="0" w:afterAutospacing="0"/>
              <w:jc w:val="center"/>
              <w:outlineLvl w:val="0"/>
              <w:rPr>
                <w:rFonts w:ascii="Times New Roman" w:hAnsi="Times New Roman" w:eastAsia="黑体"/>
                <w:kern w:val="2"/>
                <w:sz w:val="21"/>
                <w:szCs w:val="21"/>
              </w:rPr>
            </w:pPr>
            <w:r>
              <w:rPr>
                <w:rFonts w:hint="eastAsia" w:ascii="Times New Roman" w:hAnsi="Times New Roman" w:eastAsia="黑体"/>
                <w:kern w:val="2"/>
                <w:sz w:val="21"/>
                <w:szCs w:val="21"/>
              </w:rPr>
              <w:t>环境保护措施</w:t>
            </w:r>
          </w:p>
        </w:tc>
        <w:tc>
          <w:tcPr>
            <w:tcW w:w="1900" w:type="dxa"/>
            <w:vAlign w:val="center"/>
          </w:tcPr>
          <w:p>
            <w:pPr>
              <w:pStyle w:val="18"/>
              <w:adjustRightInd w:val="0"/>
              <w:snapToGrid w:val="0"/>
              <w:spacing w:before="0" w:beforeAutospacing="0" w:after="0" w:afterAutospacing="0"/>
              <w:jc w:val="center"/>
              <w:outlineLvl w:val="0"/>
              <w:rPr>
                <w:rFonts w:ascii="Times New Roman" w:hAnsi="Times New Roman" w:eastAsia="黑体"/>
                <w:kern w:val="2"/>
                <w:sz w:val="21"/>
                <w:szCs w:val="21"/>
              </w:rPr>
            </w:pPr>
            <w:r>
              <w:rPr>
                <w:rFonts w:hint="eastAsia" w:ascii="Times New Roman" w:hAnsi="Times New Roman" w:eastAsia="黑体"/>
                <w:kern w:val="2"/>
                <w:sz w:val="21"/>
                <w:szCs w:val="21"/>
              </w:rPr>
              <w:t>验收要求</w:t>
            </w:r>
          </w:p>
        </w:tc>
        <w:tc>
          <w:tcPr>
            <w:tcW w:w="5000" w:type="dxa"/>
            <w:vAlign w:val="center"/>
          </w:tcPr>
          <w:p>
            <w:pPr>
              <w:pStyle w:val="18"/>
              <w:adjustRightInd w:val="0"/>
              <w:snapToGrid w:val="0"/>
              <w:spacing w:before="0" w:beforeAutospacing="0" w:after="0" w:afterAutospacing="0"/>
              <w:jc w:val="center"/>
              <w:outlineLvl w:val="0"/>
              <w:rPr>
                <w:rFonts w:ascii="Times New Roman" w:hAnsi="Times New Roman" w:eastAsia="黑体"/>
                <w:kern w:val="2"/>
                <w:sz w:val="21"/>
                <w:szCs w:val="21"/>
              </w:rPr>
            </w:pPr>
            <w:r>
              <w:rPr>
                <w:rFonts w:hint="eastAsia" w:ascii="Times New Roman" w:hAnsi="Times New Roman" w:eastAsia="黑体"/>
                <w:kern w:val="2"/>
                <w:sz w:val="21"/>
                <w:szCs w:val="21"/>
              </w:rPr>
              <w:t>环境保护措施</w:t>
            </w:r>
          </w:p>
        </w:tc>
        <w:tc>
          <w:tcPr>
            <w:tcW w:w="3208" w:type="dxa"/>
            <w:vAlign w:val="center"/>
          </w:tcPr>
          <w:p>
            <w:pPr>
              <w:pStyle w:val="18"/>
              <w:adjustRightInd w:val="0"/>
              <w:snapToGrid w:val="0"/>
              <w:spacing w:before="0" w:beforeAutospacing="0" w:after="0" w:afterAutospacing="0"/>
              <w:jc w:val="center"/>
              <w:outlineLvl w:val="0"/>
              <w:rPr>
                <w:rFonts w:ascii="Times New Roman" w:hAnsi="Times New Roman" w:eastAsia="黑体"/>
                <w:kern w:val="2"/>
                <w:sz w:val="21"/>
                <w:szCs w:val="21"/>
              </w:rPr>
            </w:pPr>
            <w:r>
              <w:rPr>
                <w:rFonts w:hint="eastAsia" w:ascii="Times New Roman" w:hAnsi="Times New Roman" w:eastAsia="黑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陆生生态</w:t>
            </w:r>
          </w:p>
        </w:tc>
        <w:tc>
          <w:tcPr>
            <w:tcW w:w="2669" w:type="dxa"/>
            <w:vAlign w:val="center"/>
          </w:tcPr>
          <w:p>
            <w:pPr>
              <w:adjustRightInd w:val="0"/>
              <w:snapToGrid w:val="0"/>
              <w:jc w:val="center"/>
              <w:rPr>
                <w:szCs w:val="21"/>
              </w:rPr>
            </w:pPr>
            <w:r>
              <w:rPr>
                <w:rFonts w:hint="eastAsia"/>
                <w:szCs w:val="21"/>
              </w:rPr>
              <w:t>施工现场清理、表土回填、场地平整及绿化</w:t>
            </w:r>
          </w:p>
        </w:tc>
        <w:tc>
          <w:tcPr>
            <w:tcW w:w="1900" w:type="dxa"/>
            <w:vAlign w:val="center"/>
          </w:tcPr>
          <w:p>
            <w:pPr>
              <w:adjustRightInd w:val="0"/>
              <w:snapToGrid w:val="0"/>
              <w:jc w:val="center"/>
              <w:rPr>
                <w:szCs w:val="21"/>
              </w:rPr>
            </w:pPr>
            <w:r>
              <w:rPr>
                <w:rFonts w:hint="eastAsia"/>
                <w:szCs w:val="21"/>
              </w:rPr>
              <w:t>/</w:t>
            </w:r>
          </w:p>
        </w:tc>
        <w:tc>
          <w:tcPr>
            <w:tcW w:w="5000" w:type="dxa"/>
            <w:vAlign w:val="center"/>
          </w:tcPr>
          <w:p>
            <w:pPr>
              <w:adjustRightInd w:val="0"/>
              <w:snapToGrid w:val="0"/>
              <w:jc w:val="center"/>
              <w:rPr>
                <w:szCs w:val="21"/>
              </w:rPr>
            </w:pPr>
            <w:r>
              <w:rPr>
                <w:rFonts w:hint="eastAsia"/>
                <w:szCs w:val="21"/>
              </w:rPr>
              <w:t>边平整修缮，边进行绿化修复；</w:t>
            </w:r>
          </w:p>
        </w:tc>
        <w:tc>
          <w:tcPr>
            <w:tcW w:w="3208" w:type="dxa"/>
            <w:vAlign w:val="center"/>
          </w:tcPr>
          <w:p>
            <w:pPr>
              <w:adjustRightInd w:val="0"/>
              <w:snapToGrid w:val="0"/>
              <w:jc w:val="center"/>
              <w:rPr>
                <w:szCs w:val="21"/>
              </w:rPr>
            </w:pPr>
            <w:r>
              <w:rPr>
                <w:rFonts w:hint="eastAsia"/>
                <w:szCs w:val="21"/>
              </w:rPr>
              <w:t>落实环评提出的生态保护措施；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水生生态</w:t>
            </w:r>
          </w:p>
        </w:tc>
        <w:tc>
          <w:tcPr>
            <w:tcW w:w="2669" w:type="dxa"/>
            <w:vAlign w:val="center"/>
          </w:tcPr>
          <w:p>
            <w:pPr>
              <w:adjustRightInd w:val="0"/>
              <w:snapToGrid w:val="0"/>
              <w:jc w:val="center"/>
              <w:rPr>
                <w:szCs w:val="21"/>
              </w:rPr>
            </w:pPr>
            <w:r>
              <w:rPr>
                <w:rFonts w:hint="eastAsia"/>
                <w:szCs w:val="21"/>
              </w:rPr>
              <w:t>/</w:t>
            </w:r>
          </w:p>
        </w:tc>
        <w:tc>
          <w:tcPr>
            <w:tcW w:w="1900" w:type="dxa"/>
            <w:vAlign w:val="center"/>
          </w:tcPr>
          <w:p>
            <w:pPr>
              <w:adjustRightInd w:val="0"/>
              <w:snapToGrid w:val="0"/>
              <w:jc w:val="center"/>
              <w:rPr>
                <w:szCs w:val="21"/>
              </w:rPr>
            </w:pPr>
            <w:r>
              <w:rPr>
                <w:rFonts w:hint="eastAsia"/>
                <w:szCs w:val="21"/>
              </w:rPr>
              <w:t>/</w:t>
            </w:r>
          </w:p>
        </w:tc>
        <w:tc>
          <w:tcPr>
            <w:tcW w:w="5000" w:type="dxa"/>
            <w:vAlign w:val="center"/>
          </w:tcPr>
          <w:p>
            <w:pPr>
              <w:adjustRightInd w:val="0"/>
              <w:snapToGrid w:val="0"/>
              <w:jc w:val="center"/>
              <w:rPr>
                <w:szCs w:val="21"/>
              </w:rPr>
            </w:pPr>
            <w:r>
              <w:rPr>
                <w:rFonts w:hint="eastAsia"/>
                <w:szCs w:val="21"/>
              </w:rPr>
              <w:t>/</w:t>
            </w:r>
          </w:p>
        </w:tc>
        <w:tc>
          <w:tcPr>
            <w:tcW w:w="3208"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地表水环境</w:t>
            </w:r>
          </w:p>
        </w:tc>
        <w:tc>
          <w:tcPr>
            <w:tcW w:w="2669" w:type="dxa"/>
            <w:vAlign w:val="center"/>
          </w:tcPr>
          <w:p>
            <w:pPr>
              <w:adjustRightInd w:val="0"/>
              <w:snapToGrid w:val="0"/>
              <w:jc w:val="center"/>
              <w:rPr>
                <w:szCs w:val="21"/>
              </w:rPr>
            </w:pPr>
            <w:r>
              <w:rPr>
                <w:rFonts w:hint="eastAsia"/>
              </w:rPr>
              <w:t>施工废水采用临时沉淀池处理后用于的洒水抑尘，不外排</w:t>
            </w:r>
            <w:r>
              <w:rPr>
                <w:rFonts w:hint="eastAsia"/>
                <w:szCs w:val="21"/>
              </w:rPr>
              <w:t>，施工生活污水设置临时旱厕，定期清掏用作农肥，车辆清洗废水循环使用不外排</w:t>
            </w:r>
          </w:p>
        </w:tc>
        <w:tc>
          <w:tcPr>
            <w:tcW w:w="1900" w:type="dxa"/>
            <w:vAlign w:val="center"/>
          </w:tcPr>
          <w:p>
            <w:pPr>
              <w:adjustRightInd w:val="0"/>
              <w:snapToGrid w:val="0"/>
              <w:jc w:val="center"/>
              <w:rPr>
                <w:szCs w:val="21"/>
              </w:rPr>
            </w:pPr>
            <w:r>
              <w:rPr>
                <w:rFonts w:hint="eastAsia"/>
                <w:szCs w:val="21"/>
              </w:rPr>
              <w:t>不外排</w:t>
            </w:r>
          </w:p>
        </w:tc>
        <w:tc>
          <w:tcPr>
            <w:tcW w:w="5000" w:type="dxa"/>
            <w:vAlign w:val="center"/>
          </w:tcPr>
          <w:p>
            <w:pPr>
              <w:adjustRightInd w:val="0"/>
              <w:snapToGrid w:val="0"/>
              <w:jc w:val="center"/>
              <w:rPr>
                <w:szCs w:val="21"/>
              </w:rPr>
            </w:pPr>
            <w:r>
              <w:rPr>
                <w:rFonts w:hint="eastAsia"/>
                <w:szCs w:val="21"/>
              </w:rPr>
              <w:t>无生产废水产生，生活盥洗废水用于厂区泼洒抑尘，员工粪便新建旱厕，定期清掏用作农肥;矿坑积水沉淀后用于厂区洒水降尘，车辆清洗废水循环使用不外排</w:t>
            </w:r>
          </w:p>
        </w:tc>
        <w:tc>
          <w:tcPr>
            <w:tcW w:w="3208" w:type="dxa"/>
            <w:vAlign w:val="center"/>
          </w:tcPr>
          <w:p>
            <w:pPr>
              <w:adjustRightInd w:val="0"/>
              <w:snapToGrid w:val="0"/>
              <w:jc w:val="center"/>
              <w:rPr>
                <w:szCs w:val="21"/>
              </w:rPr>
            </w:pPr>
            <w:r>
              <w:rPr>
                <w:rFonts w:hint="eastAsia"/>
                <w:szCs w:val="21"/>
              </w:rPr>
              <w:t>旱厕；不外排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地下水及土壤环境</w:t>
            </w:r>
          </w:p>
        </w:tc>
        <w:tc>
          <w:tcPr>
            <w:tcW w:w="2669" w:type="dxa"/>
            <w:vAlign w:val="center"/>
          </w:tcPr>
          <w:p>
            <w:pPr>
              <w:adjustRightInd w:val="0"/>
              <w:snapToGrid w:val="0"/>
              <w:jc w:val="center"/>
              <w:rPr>
                <w:szCs w:val="21"/>
              </w:rPr>
            </w:pPr>
            <w:r>
              <w:rPr>
                <w:rFonts w:hint="eastAsia"/>
                <w:szCs w:val="21"/>
              </w:rPr>
              <w:t>表土剥离及时送往单独存放表土排土场</w:t>
            </w:r>
          </w:p>
        </w:tc>
        <w:tc>
          <w:tcPr>
            <w:tcW w:w="1900" w:type="dxa"/>
            <w:vAlign w:val="center"/>
          </w:tcPr>
          <w:p>
            <w:pPr>
              <w:adjustRightInd w:val="0"/>
              <w:snapToGrid w:val="0"/>
              <w:jc w:val="center"/>
              <w:rPr>
                <w:szCs w:val="21"/>
              </w:rPr>
            </w:pPr>
            <w:r>
              <w:rPr>
                <w:rFonts w:hint="eastAsia"/>
                <w:szCs w:val="21"/>
              </w:rPr>
              <w:t>表土剥离及时送往单独存放表土排土场</w:t>
            </w:r>
          </w:p>
        </w:tc>
        <w:tc>
          <w:tcPr>
            <w:tcW w:w="5000" w:type="dxa"/>
            <w:vAlign w:val="center"/>
          </w:tcPr>
          <w:p>
            <w:pPr>
              <w:adjustRightInd w:val="0"/>
              <w:snapToGrid w:val="0"/>
              <w:jc w:val="center"/>
              <w:rPr>
                <w:szCs w:val="21"/>
              </w:rPr>
            </w:pPr>
            <w:r>
              <w:rPr>
                <w:rFonts w:hint="eastAsia"/>
                <w:szCs w:val="21"/>
              </w:rPr>
              <w:t>生态复垦表土覆盖厚度0.2以上</w:t>
            </w:r>
          </w:p>
        </w:tc>
        <w:tc>
          <w:tcPr>
            <w:tcW w:w="3208" w:type="dxa"/>
            <w:vAlign w:val="center"/>
          </w:tcPr>
          <w:p>
            <w:pPr>
              <w:adjustRightInd w:val="0"/>
              <w:snapToGrid w:val="0"/>
              <w:jc w:val="center"/>
              <w:rPr>
                <w:szCs w:val="21"/>
              </w:rPr>
            </w:pPr>
            <w:r>
              <w:rPr>
                <w:rFonts w:hint="eastAsia"/>
                <w:szCs w:val="21"/>
              </w:rPr>
              <w:t>生态复垦表土覆盖厚度0.2m以上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声环境</w:t>
            </w:r>
          </w:p>
        </w:tc>
        <w:tc>
          <w:tcPr>
            <w:tcW w:w="2669" w:type="dxa"/>
            <w:vAlign w:val="center"/>
          </w:tcPr>
          <w:p>
            <w:pPr>
              <w:adjustRightInd w:val="0"/>
              <w:snapToGrid w:val="0"/>
              <w:jc w:val="center"/>
              <w:rPr>
                <w:szCs w:val="21"/>
              </w:rPr>
            </w:pPr>
            <w:r>
              <w:rPr>
                <w:rFonts w:hint="eastAsia"/>
                <w:szCs w:val="21"/>
              </w:rPr>
              <w:t>低噪声设备、加强检修保养</w:t>
            </w:r>
          </w:p>
        </w:tc>
        <w:tc>
          <w:tcPr>
            <w:tcW w:w="1900" w:type="dxa"/>
            <w:vAlign w:val="center"/>
          </w:tcPr>
          <w:p>
            <w:pPr>
              <w:adjustRightInd w:val="0"/>
              <w:snapToGrid w:val="0"/>
              <w:jc w:val="center"/>
              <w:rPr>
                <w:szCs w:val="21"/>
              </w:rPr>
            </w:pPr>
            <w:r>
              <w:rPr>
                <w:rFonts w:hint="eastAsia"/>
                <w:szCs w:val="21"/>
              </w:rPr>
              <w:t>满足《建筑施工场界环境噪声排放标准》（GB12523-2011）</w:t>
            </w:r>
          </w:p>
        </w:tc>
        <w:tc>
          <w:tcPr>
            <w:tcW w:w="5000" w:type="dxa"/>
            <w:vAlign w:val="center"/>
          </w:tcPr>
          <w:p>
            <w:pPr>
              <w:adjustRightInd w:val="0"/>
              <w:snapToGrid w:val="0"/>
              <w:jc w:val="center"/>
              <w:rPr>
                <w:szCs w:val="21"/>
              </w:rPr>
            </w:pPr>
            <w:r>
              <w:rPr>
                <w:rFonts w:hint="eastAsia"/>
                <w:szCs w:val="21"/>
              </w:rPr>
              <w:t>低噪声设备、加强检修保养</w:t>
            </w:r>
          </w:p>
        </w:tc>
        <w:tc>
          <w:tcPr>
            <w:tcW w:w="3208" w:type="dxa"/>
            <w:vAlign w:val="center"/>
          </w:tcPr>
          <w:p>
            <w:pPr>
              <w:adjustRightInd w:val="0"/>
              <w:snapToGrid w:val="0"/>
              <w:jc w:val="center"/>
              <w:rPr>
                <w:szCs w:val="21"/>
              </w:rPr>
            </w:pPr>
            <w:r>
              <w:rPr>
                <w:rFonts w:hint="eastAsia"/>
                <w:szCs w:val="21"/>
              </w:rPr>
              <w:t>满足《工业企业厂界环境噪声排放标准》(GB12348-2008)中2类区标准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振动</w:t>
            </w:r>
          </w:p>
        </w:tc>
        <w:tc>
          <w:tcPr>
            <w:tcW w:w="2669" w:type="dxa"/>
            <w:vAlign w:val="center"/>
          </w:tcPr>
          <w:p>
            <w:pPr>
              <w:adjustRightInd w:val="0"/>
              <w:snapToGrid w:val="0"/>
              <w:jc w:val="center"/>
              <w:rPr>
                <w:szCs w:val="21"/>
              </w:rPr>
            </w:pPr>
            <w:r>
              <w:rPr>
                <w:rFonts w:hint="eastAsia"/>
                <w:szCs w:val="21"/>
              </w:rPr>
              <w:t>/</w:t>
            </w:r>
          </w:p>
        </w:tc>
        <w:tc>
          <w:tcPr>
            <w:tcW w:w="1900" w:type="dxa"/>
            <w:vAlign w:val="center"/>
          </w:tcPr>
          <w:p>
            <w:pPr>
              <w:adjustRightInd w:val="0"/>
              <w:snapToGrid w:val="0"/>
              <w:jc w:val="center"/>
              <w:rPr>
                <w:szCs w:val="21"/>
              </w:rPr>
            </w:pPr>
            <w:r>
              <w:rPr>
                <w:rFonts w:hint="eastAsia"/>
                <w:szCs w:val="21"/>
              </w:rPr>
              <w:t>/</w:t>
            </w:r>
          </w:p>
        </w:tc>
        <w:tc>
          <w:tcPr>
            <w:tcW w:w="5000" w:type="dxa"/>
            <w:vAlign w:val="center"/>
          </w:tcPr>
          <w:p>
            <w:pPr>
              <w:adjustRightInd w:val="0"/>
              <w:snapToGrid w:val="0"/>
              <w:jc w:val="center"/>
              <w:rPr>
                <w:szCs w:val="21"/>
              </w:rPr>
            </w:pPr>
            <w:r>
              <w:rPr>
                <w:rFonts w:hint="eastAsia"/>
                <w:szCs w:val="21"/>
              </w:rPr>
              <w:t>/</w:t>
            </w:r>
          </w:p>
        </w:tc>
        <w:tc>
          <w:tcPr>
            <w:tcW w:w="3208"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大气环境</w:t>
            </w:r>
          </w:p>
        </w:tc>
        <w:tc>
          <w:tcPr>
            <w:tcW w:w="2669" w:type="dxa"/>
            <w:vAlign w:val="center"/>
          </w:tcPr>
          <w:p>
            <w:pPr>
              <w:adjustRightInd w:val="0"/>
              <w:snapToGrid w:val="0"/>
              <w:jc w:val="center"/>
              <w:rPr>
                <w:szCs w:val="21"/>
              </w:rPr>
            </w:pPr>
            <w:r>
              <w:rPr>
                <w:rFonts w:hint="eastAsia"/>
                <w:szCs w:val="21"/>
              </w:rPr>
              <w:t>通过洒水抑尘、篷布覆盖等措施</w:t>
            </w:r>
          </w:p>
        </w:tc>
        <w:tc>
          <w:tcPr>
            <w:tcW w:w="1900" w:type="dxa"/>
            <w:vAlign w:val="center"/>
          </w:tcPr>
          <w:p>
            <w:pPr>
              <w:adjustRightInd w:val="0"/>
              <w:snapToGrid w:val="0"/>
              <w:jc w:val="center"/>
              <w:rPr>
                <w:szCs w:val="21"/>
              </w:rPr>
            </w:pPr>
            <w:r>
              <w:rPr>
                <w:rFonts w:hint="eastAsia"/>
                <w:szCs w:val="21"/>
              </w:rPr>
              <w:t>施工场界颗粒物满足《大气污染物综合排放标准》（GB16297-1996）</w:t>
            </w:r>
          </w:p>
        </w:tc>
        <w:tc>
          <w:tcPr>
            <w:tcW w:w="5000" w:type="dxa"/>
            <w:vAlign w:val="center"/>
          </w:tcPr>
          <w:p>
            <w:pPr>
              <w:autoSpaceDE w:val="0"/>
              <w:autoSpaceDN w:val="0"/>
              <w:ind w:firstLine="420" w:firstLineChars="200"/>
              <w:rPr>
                <w:szCs w:val="21"/>
              </w:rPr>
            </w:pPr>
            <w:r>
              <w:rPr>
                <w:rFonts w:hint="eastAsia"/>
                <w:szCs w:val="21"/>
              </w:rPr>
              <w:t>①有组织废气：白云岩矿石破碎筛分设备密闭，破碎机投料口﹑出料口及筛分机上部设置密闭收集装置+旋风除尘器+布袋除尘器处理；伴生矿石破碎筛分设备密闭，破碎机投料口﹑出料口及筛分机上部设置密闭收集装置+旋风除尘器+布袋除尘器处理；</w:t>
            </w:r>
          </w:p>
          <w:p>
            <w:pPr>
              <w:autoSpaceDE w:val="0"/>
              <w:autoSpaceDN w:val="0"/>
              <w:ind w:firstLine="420" w:firstLineChars="200"/>
              <w:rPr>
                <w:szCs w:val="21"/>
              </w:rPr>
            </w:pPr>
            <w:r>
              <w:rPr>
                <w:rFonts w:hint="eastAsia"/>
                <w:szCs w:val="21"/>
              </w:rPr>
              <w:t>②无组织废气：钻孔凿岩、爆破粉尘，装卸扬尘和汽车道路扬尘：均采用洒水抑尘的方式；堆场扬尘：设置全封闭式破碎站和产品堆场；</w:t>
            </w:r>
            <w:r>
              <w:rPr>
                <w:rFonts w:hint="eastAsia" w:ascii="宋体" w:hAnsi="宋体"/>
              </w:rPr>
              <w:t>排土场堆体表面采用篷布覆盖，并采用高压喷雾机定期洒水抑尘；达到设计标高区域种植适合当地生长的草本植物等措施</w:t>
            </w:r>
          </w:p>
        </w:tc>
        <w:tc>
          <w:tcPr>
            <w:tcW w:w="3208" w:type="dxa"/>
            <w:vAlign w:val="center"/>
          </w:tcPr>
          <w:p>
            <w:pPr>
              <w:adjustRightInd w:val="0"/>
              <w:snapToGrid w:val="0"/>
              <w:jc w:val="center"/>
              <w:rPr>
                <w:szCs w:val="21"/>
              </w:rPr>
            </w:pPr>
            <w:r>
              <w:rPr>
                <w:rFonts w:hint="eastAsia"/>
                <w:szCs w:val="21"/>
              </w:rPr>
              <w:t>满足《大气污染物综合排放标准》（GB16297-1996）表2标准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固体废物</w:t>
            </w:r>
          </w:p>
        </w:tc>
        <w:tc>
          <w:tcPr>
            <w:tcW w:w="2669" w:type="dxa"/>
            <w:vAlign w:val="center"/>
          </w:tcPr>
          <w:p>
            <w:pPr>
              <w:adjustRightInd w:val="0"/>
              <w:snapToGrid w:val="0"/>
              <w:jc w:val="center"/>
              <w:rPr>
                <w:szCs w:val="21"/>
              </w:rPr>
            </w:pPr>
            <w:r>
              <w:rPr>
                <w:rFonts w:hint="eastAsia"/>
                <w:szCs w:val="21"/>
              </w:rPr>
              <w:t>生活垃圾分类收集、集中处理；弃土回用，做到挖填平衡</w:t>
            </w:r>
          </w:p>
        </w:tc>
        <w:tc>
          <w:tcPr>
            <w:tcW w:w="1900" w:type="dxa"/>
            <w:vAlign w:val="center"/>
          </w:tcPr>
          <w:p>
            <w:pPr>
              <w:adjustRightInd w:val="0"/>
              <w:snapToGrid w:val="0"/>
              <w:jc w:val="center"/>
              <w:rPr>
                <w:szCs w:val="21"/>
              </w:rPr>
            </w:pPr>
            <w:r>
              <w:rPr>
                <w:rFonts w:hint="eastAsia"/>
                <w:szCs w:val="21"/>
              </w:rPr>
              <w:t>不外排</w:t>
            </w:r>
          </w:p>
        </w:tc>
        <w:tc>
          <w:tcPr>
            <w:tcW w:w="5000" w:type="dxa"/>
            <w:vAlign w:val="center"/>
          </w:tcPr>
          <w:p>
            <w:pPr>
              <w:adjustRightInd w:val="0"/>
              <w:snapToGrid w:val="0"/>
              <w:jc w:val="center"/>
              <w:rPr>
                <w:szCs w:val="21"/>
              </w:rPr>
            </w:pPr>
            <w:r>
              <w:rPr>
                <w:rFonts w:hint="eastAsia"/>
                <w:szCs w:val="21"/>
              </w:rPr>
              <w:t>剥离过程产生的剥离岩石破碎后作为建筑材料外售，劣质岩石用于采空区回填和工业场地冲沟的回填和地基填筑，除尘器收集尘收集后外售，生活垃圾集中收集后送至政府指定场所统一处理；废润滑油、废油桶集中收集后暂存于危废暂存间，定期交有资质单位处置；剥离表土运往外排土场，一部分及时进行绿化，另一部分用于后期复垦使用</w:t>
            </w:r>
          </w:p>
        </w:tc>
        <w:tc>
          <w:tcPr>
            <w:tcW w:w="3208" w:type="dxa"/>
            <w:vAlign w:val="center"/>
          </w:tcPr>
          <w:p>
            <w:pPr>
              <w:adjustRightInd w:val="0"/>
              <w:snapToGrid w:val="0"/>
              <w:jc w:val="center"/>
              <w:rPr>
                <w:szCs w:val="21"/>
              </w:rPr>
            </w:pPr>
            <w:r>
              <w:rPr>
                <w:rFonts w:hint="eastAsia"/>
                <w:kern w:val="1"/>
                <w:szCs w:val="21"/>
              </w:rPr>
              <w:t>执行《一般工业固体废物贮存和填埋污染控制标准》（GB18599-2020）和《危险废物贮存污染物控制标准》（GB18597-2001）及2013年修改单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电磁环境</w:t>
            </w:r>
          </w:p>
        </w:tc>
        <w:tc>
          <w:tcPr>
            <w:tcW w:w="2669" w:type="dxa"/>
            <w:vAlign w:val="center"/>
          </w:tcPr>
          <w:p>
            <w:pPr>
              <w:adjustRightInd w:val="0"/>
              <w:snapToGrid w:val="0"/>
              <w:jc w:val="center"/>
              <w:rPr>
                <w:szCs w:val="21"/>
              </w:rPr>
            </w:pPr>
            <w:r>
              <w:rPr>
                <w:rFonts w:hint="eastAsia"/>
                <w:szCs w:val="21"/>
              </w:rPr>
              <w:t>/</w:t>
            </w:r>
          </w:p>
        </w:tc>
        <w:tc>
          <w:tcPr>
            <w:tcW w:w="1900" w:type="dxa"/>
            <w:vAlign w:val="center"/>
          </w:tcPr>
          <w:p>
            <w:pPr>
              <w:adjustRightInd w:val="0"/>
              <w:snapToGrid w:val="0"/>
              <w:jc w:val="center"/>
              <w:rPr>
                <w:szCs w:val="21"/>
              </w:rPr>
            </w:pPr>
            <w:r>
              <w:rPr>
                <w:rFonts w:hint="eastAsia"/>
                <w:szCs w:val="21"/>
              </w:rPr>
              <w:t>/</w:t>
            </w:r>
          </w:p>
        </w:tc>
        <w:tc>
          <w:tcPr>
            <w:tcW w:w="5000" w:type="dxa"/>
            <w:vAlign w:val="center"/>
          </w:tcPr>
          <w:p>
            <w:pPr>
              <w:adjustRightInd w:val="0"/>
              <w:snapToGrid w:val="0"/>
              <w:jc w:val="center"/>
              <w:rPr>
                <w:szCs w:val="21"/>
              </w:rPr>
            </w:pPr>
            <w:r>
              <w:rPr>
                <w:rFonts w:hint="eastAsia"/>
                <w:szCs w:val="21"/>
              </w:rPr>
              <w:t>/</w:t>
            </w:r>
          </w:p>
        </w:tc>
        <w:tc>
          <w:tcPr>
            <w:tcW w:w="3208"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环境风险</w:t>
            </w:r>
          </w:p>
        </w:tc>
        <w:tc>
          <w:tcPr>
            <w:tcW w:w="2669" w:type="dxa"/>
            <w:vAlign w:val="center"/>
          </w:tcPr>
          <w:p>
            <w:pPr>
              <w:adjustRightInd w:val="0"/>
              <w:snapToGrid w:val="0"/>
              <w:jc w:val="center"/>
              <w:rPr>
                <w:szCs w:val="21"/>
              </w:rPr>
            </w:pPr>
            <w:r>
              <w:rPr>
                <w:rFonts w:hint="eastAsia"/>
                <w:szCs w:val="21"/>
              </w:rPr>
              <w:t>/</w:t>
            </w:r>
          </w:p>
        </w:tc>
        <w:tc>
          <w:tcPr>
            <w:tcW w:w="1900" w:type="dxa"/>
            <w:vAlign w:val="center"/>
          </w:tcPr>
          <w:p>
            <w:pPr>
              <w:adjustRightInd w:val="0"/>
              <w:snapToGrid w:val="0"/>
              <w:jc w:val="center"/>
              <w:rPr>
                <w:szCs w:val="21"/>
              </w:rPr>
            </w:pPr>
            <w:r>
              <w:rPr>
                <w:rFonts w:hint="eastAsia"/>
                <w:szCs w:val="21"/>
              </w:rPr>
              <w:t>/</w:t>
            </w:r>
          </w:p>
        </w:tc>
        <w:tc>
          <w:tcPr>
            <w:tcW w:w="5000" w:type="dxa"/>
            <w:vAlign w:val="center"/>
          </w:tcPr>
          <w:p>
            <w:pPr>
              <w:adjustRightInd w:val="0"/>
              <w:snapToGrid w:val="0"/>
              <w:jc w:val="center"/>
              <w:rPr>
                <w:szCs w:val="21"/>
              </w:rPr>
            </w:pPr>
            <w:r>
              <w:rPr>
                <w:rFonts w:hint="eastAsia"/>
                <w:szCs w:val="21"/>
              </w:rPr>
              <w:t>/</w:t>
            </w:r>
          </w:p>
        </w:tc>
        <w:tc>
          <w:tcPr>
            <w:tcW w:w="3208"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环境监测</w:t>
            </w:r>
          </w:p>
        </w:tc>
        <w:tc>
          <w:tcPr>
            <w:tcW w:w="2669" w:type="dxa"/>
            <w:vAlign w:val="center"/>
          </w:tcPr>
          <w:p>
            <w:pPr>
              <w:adjustRightInd w:val="0"/>
              <w:snapToGrid w:val="0"/>
              <w:jc w:val="center"/>
              <w:rPr>
                <w:szCs w:val="21"/>
              </w:rPr>
            </w:pPr>
            <w:r>
              <w:rPr>
                <w:rFonts w:hint="eastAsia"/>
                <w:szCs w:val="21"/>
              </w:rPr>
              <w:t>大气无组织颗粒物监测、施工场界噪声监测</w:t>
            </w:r>
          </w:p>
        </w:tc>
        <w:tc>
          <w:tcPr>
            <w:tcW w:w="1900" w:type="dxa"/>
            <w:vAlign w:val="center"/>
          </w:tcPr>
          <w:p>
            <w:pPr>
              <w:adjustRightInd w:val="0"/>
              <w:snapToGrid w:val="0"/>
              <w:jc w:val="center"/>
              <w:rPr>
                <w:szCs w:val="21"/>
              </w:rPr>
            </w:pPr>
            <w:r>
              <w:rPr>
                <w:rFonts w:hint="eastAsia"/>
                <w:szCs w:val="21"/>
              </w:rPr>
              <w:t>监测结果符合管控标准要求</w:t>
            </w:r>
          </w:p>
        </w:tc>
        <w:tc>
          <w:tcPr>
            <w:tcW w:w="5000" w:type="dxa"/>
            <w:vAlign w:val="center"/>
          </w:tcPr>
          <w:p>
            <w:pPr>
              <w:adjustRightInd w:val="0"/>
              <w:snapToGrid w:val="0"/>
              <w:jc w:val="center"/>
              <w:rPr>
                <w:szCs w:val="21"/>
              </w:rPr>
            </w:pPr>
            <w:r>
              <w:rPr>
                <w:rFonts w:hint="eastAsia"/>
                <w:szCs w:val="21"/>
              </w:rPr>
              <w:t>废气、噪声、地下水、土壤等监测及生态恢复措施监测</w:t>
            </w:r>
          </w:p>
        </w:tc>
        <w:tc>
          <w:tcPr>
            <w:tcW w:w="3208" w:type="dxa"/>
            <w:vAlign w:val="center"/>
          </w:tcPr>
          <w:p>
            <w:pPr>
              <w:adjustRightInd w:val="0"/>
              <w:snapToGrid w:val="0"/>
              <w:jc w:val="center"/>
              <w:rPr>
                <w:szCs w:val="21"/>
              </w:rPr>
            </w:pPr>
            <w:r>
              <w:rPr>
                <w:rFonts w:hint="eastAsia"/>
                <w:szCs w:val="21"/>
              </w:rPr>
              <w:t>监测结果符合管控标准要求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adjustRightInd w:val="0"/>
              <w:snapToGrid w:val="0"/>
              <w:jc w:val="center"/>
              <w:rPr>
                <w:szCs w:val="21"/>
              </w:rPr>
            </w:pPr>
            <w:r>
              <w:rPr>
                <w:rFonts w:hint="eastAsia"/>
                <w:szCs w:val="21"/>
              </w:rPr>
              <w:t>其他</w:t>
            </w:r>
          </w:p>
        </w:tc>
        <w:tc>
          <w:tcPr>
            <w:tcW w:w="2669" w:type="dxa"/>
            <w:vAlign w:val="center"/>
          </w:tcPr>
          <w:p>
            <w:pPr>
              <w:adjustRightInd w:val="0"/>
              <w:snapToGrid w:val="0"/>
              <w:jc w:val="center"/>
              <w:rPr>
                <w:szCs w:val="21"/>
              </w:rPr>
            </w:pPr>
            <w:r>
              <w:rPr>
                <w:rFonts w:hint="eastAsia"/>
                <w:szCs w:val="21"/>
              </w:rPr>
              <w:t>/</w:t>
            </w:r>
          </w:p>
        </w:tc>
        <w:tc>
          <w:tcPr>
            <w:tcW w:w="1900" w:type="dxa"/>
            <w:vAlign w:val="center"/>
          </w:tcPr>
          <w:p>
            <w:pPr>
              <w:adjustRightInd w:val="0"/>
              <w:snapToGrid w:val="0"/>
              <w:jc w:val="center"/>
              <w:rPr>
                <w:szCs w:val="21"/>
              </w:rPr>
            </w:pPr>
            <w:r>
              <w:rPr>
                <w:rFonts w:hint="eastAsia"/>
                <w:szCs w:val="21"/>
              </w:rPr>
              <w:t>/</w:t>
            </w:r>
          </w:p>
        </w:tc>
        <w:tc>
          <w:tcPr>
            <w:tcW w:w="5000" w:type="dxa"/>
            <w:vAlign w:val="center"/>
          </w:tcPr>
          <w:p>
            <w:pPr>
              <w:adjustRightInd w:val="0"/>
              <w:snapToGrid w:val="0"/>
              <w:jc w:val="center"/>
              <w:rPr>
                <w:szCs w:val="21"/>
              </w:rPr>
            </w:pPr>
            <w:r>
              <w:rPr>
                <w:rFonts w:hint="eastAsia"/>
                <w:szCs w:val="21"/>
              </w:rPr>
              <w:t>/</w:t>
            </w:r>
          </w:p>
        </w:tc>
        <w:tc>
          <w:tcPr>
            <w:tcW w:w="3208" w:type="dxa"/>
            <w:vAlign w:val="center"/>
          </w:tcPr>
          <w:p>
            <w:pPr>
              <w:adjustRightInd w:val="0"/>
              <w:snapToGrid w:val="0"/>
              <w:jc w:val="center"/>
              <w:rPr>
                <w:szCs w:val="21"/>
              </w:rPr>
            </w:pPr>
            <w:r>
              <w:rPr>
                <w:rFonts w:hint="eastAsia"/>
                <w:szCs w:val="21"/>
              </w:rPr>
              <w:t>/</w:t>
            </w:r>
          </w:p>
        </w:tc>
      </w:tr>
    </w:tbl>
    <w:p>
      <w:pPr>
        <w:pStyle w:val="55"/>
        <w:rPr>
          <w:rFonts w:eastAsia="黑体"/>
          <w:snapToGrid w:val="0"/>
          <w:color w:val="auto"/>
          <w:sz w:val="30"/>
          <w:szCs w:val="30"/>
        </w:rPr>
        <w:sectPr>
          <w:pgSz w:w="16840" w:h="11907" w:orient="landscape"/>
          <w:pgMar w:top="1440" w:right="1440" w:bottom="1440" w:left="1440" w:header="851" w:footer="1077" w:gutter="0"/>
          <w:cols w:space="720" w:num="1"/>
          <w:docGrid w:linePitch="312" w:charSpace="0"/>
        </w:sectPr>
      </w:pPr>
    </w:p>
    <w:p>
      <w:pPr>
        <w:pStyle w:val="18"/>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七、结论</w:t>
      </w:r>
    </w:p>
    <w:tbl>
      <w:tblPr>
        <w:tblStyle w:val="22"/>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42" w:type="dxa"/>
          </w:tcPr>
          <w:p>
            <w:pPr>
              <w:adjustRightInd w:val="0"/>
              <w:snapToGrid w:val="0"/>
              <w:spacing w:line="360" w:lineRule="auto"/>
              <w:ind w:firstLine="480" w:firstLineChars="200"/>
              <w:rPr>
                <w:sz w:val="24"/>
                <w:szCs w:val="32"/>
              </w:rPr>
            </w:pPr>
            <w:r>
              <w:rPr>
                <w:rFonts w:hint="eastAsia"/>
                <w:sz w:val="24"/>
                <w:szCs w:val="32"/>
              </w:rPr>
              <w:t>本项目符合国家及地方产业政策要求，对项目生产过程中产生的主要污染采取的措施有效、合理，技术经济上可行，在切实落实本报告中提出的各项污染物防治措施以及生产设施正常运行状况下，各污染物能够实现达标排放，对周边环境影响可接受，环境风险可防可控。从环境保护角度分析，建设单位在落实各项环境保护措施的前提下，本项目的建设是可行的。</w:t>
            </w: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ind w:firstLine="315"/>
              <w:rPr>
                <w:szCs w:val="21"/>
              </w:rPr>
            </w:pPr>
          </w:p>
          <w:p>
            <w:pPr>
              <w:adjustRightInd w:val="0"/>
              <w:snapToGrid w:val="0"/>
              <w:rPr>
                <w:szCs w:val="21"/>
              </w:rPr>
            </w:pPr>
          </w:p>
        </w:tc>
      </w:tr>
    </w:tbl>
    <w:p>
      <w:pPr>
        <w:widowControl/>
        <w:adjustRightInd w:val="0"/>
        <w:snapToGrid w:val="0"/>
        <w:spacing w:before="192" w:beforeLines="80"/>
        <w:jc w:val="left"/>
      </w:pPr>
    </w:p>
    <w:p>
      <w:pPr>
        <w:pStyle w:val="18"/>
        <w:adjustRightInd w:val="0"/>
        <w:snapToGrid w:val="0"/>
        <w:spacing w:before="0" w:beforeAutospacing="0" w:after="0" w:afterAutospacing="0" w:line="648" w:lineRule="auto"/>
        <w:outlineLvl w:val="0"/>
        <w:rPr>
          <w:rFonts w:ascii="黑体" w:hAnsi="黑体" w:eastAsia="黑体"/>
          <w:snapToGrid w:val="0"/>
          <w:sz w:val="32"/>
          <w:szCs w:val="32"/>
        </w:rPr>
        <w:sectPr>
          <w:pgSz w:w="11906" w:h="16838"/>
          <w:pgMar w:top="1440" w:right="1440" w:bottom="1440" w:left="1440" w:header="851" w:footer="1077" w:gutter="0"/>
          <w:cols w:space="720" w:num="1"/>
          <w:docGrid w:linePitch="312" w:charSpace="0"/>
        </w:sectPr>
      </w:pPr>
    </w:p>
    <w:p>
      <w:pPr>
        <w:pStyle w:val="18"/>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8"/>
        <w:adjustRightInd w:val="0"/>
        <w:snapToGrid w:val="0"/>
        <w:spacing w:before="0" w:beforeAutospacing="0" w:after="0" w:afterAutospacing="0" w:line="552"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57"/>
              <w:spacing w:beforeLines="0" w:afterLines="0" w:line="240" w:lineRule="auto"/>
              <w:jc w:val="right"/>
              <w:rPr>
                <w:rFonts w:ascii="黑体" w:hAnsi="黑体" w:eastAsia="黑体" w:cs="宋体"/>
                <w:snapToGrid w:val="0"/>
                <w:spacing w:val="-6"/>
                <w:kern w:val="21"/>
              </w:rPr>
            </w:pPr>
            <w:r>
              <w:rPr>
                <w:rFonts w:hint="eastAsia" w:ascii="黑体" w:hAnsi="黑体" w:eastAsia="黑体" w:cs="宋体"/>
                <w:snapToGrid w:val="0"/>
                <w:spacing w:val="-6"/>
                <w:kern w:val="21"/>
              </w:rPr>
              <w:t>项目</w:t>
            </w:r>
          </w:p>
          <w:p>
            <w:pPr>
              <w:pStyle w:val="57"/>
              <w:spacing w:beforeLines="0" w:afterLines="0" w:line="240" w:lineRule="auto"/>
              <w:jc w:val="left"/>
              <w:rPr>
                <w:rFonts w:ascii="黑体" w:hAnsi="黑体" w:eastAsia="黑体" w:cs="宋体"/>
                <w:snapToGrid w:val="0"/>
                <w:spacing w:val="-6"/>
                <w:kern w:val="21"/>
              </w:rPr>
            </w:pPr>
            <w:r>
              <w:rPr>
                <w:rFonts w:hint="eastAsia" w:ascii="黑体" w:hAnsi="黑体" w:eastAsia="黑体" w:cs="宋体"/>
                <w:snapToGrid w:val="0"/>
                <w:spacing w:val="-6"/>
                <w:kern w:val="21"/>
              </w:rPr>
              <w:t>分类</w:t>
            </w:r>
          </w:p>
        </w:tc>
        <w:tc>
          <w:tcPr>
            <w:tcW w:w="1417" w:type="dxa"/>
            <w:tcMar>
              <w:left w:w="28" w:type="dxa"/>
              <w:right w:w="28" w:type="dxa"/>
            </w:tcMar>
            <w:vAlign w:val="center"/>
          </w:tcPr>
          <w:p>
            <w:pPr>
              <w:pStyle w:val="57"/>
              <w:spacing w:beforeLines="0" w:afterLines="0" w:line="240" w:lineRule="auto"/>
              <w:ind w:firstLine="0"/>
              <w:rPr>
                <w:rFonts w:ascii="黑体" w:hAnsi="黑体" w:eastAsia="黑体" w:cs="宋体"/>
                <w:snapToGrid w:val="0"/>
                <w:spacing w:val="-6"/>
                <w:kern w:val="21"/>
              </w:rPr>
            </w:pPr>
            <w:r>
              <w:rPr>
                <w:rFonts w:hint="eastAsia" w:ascii="黑体" w:hAnsi="黑体" w:eastAsia="黑体" w:cs="宋体"/>
                <w:snapToGrid w:val="0"/>
                <w:spacing w:val="-6"/>
                <w:kern w:val="21"/>
              </w:rPr>
              <w:t>污染物名称</w:t>
            </w:r>
          </w:p>
        </w:tc>
        <w:tc>
          <w:tcPr>
            <w:tcW w:w="1701" w:type="dxa"/>
            <w:tcMar>
              <w:left w:w="28" w:type="dxa"/>
              <w:right w:w="28" w:type="dxa"/>
            </w:tcMar>
            <w:vAlign w:val="center"/>
          </w:tcPr>
          <w:p>
            <w:pPr>
              <w:pStyle w:val="57"/>
              <w:spacing w:beforeLines="0" w:afterLines="0" w:line="240" w:lineRule="auto"/>
              <w:ind w:firstLine="0"/>
              <w:rPr>
                <w:rFonts w:ascii="黑体" w:hAnsi="黑体" w:eastAsia="黑体"/>
                <w:snapToGrid w:val="0"/>
                <w:spacing w:val="-6"/>
                <w:kern w:val="21"/>
              </w:rPr>
            </w:pPr>
            <w:r>
              <w:rPr>
                <w:rFonts w:hint="eastAsia" w:ascii="黑体" w:hAnsi="黑体" w:eastAsia="黑体"/>
                <w:snapToGrid w:val="0"/>
                <w:spacing w:val="-6"/>
                <w:kern w:val="21"/>
              </w:rPr>
              <w:t>现有工程排放量（固体废物产生量）</w:t>
            </w:r>
            <w:r>
              <w:rPr>
                <w:rFonts w:hint="eastAsia" w:ascii="黑体" w:hAnsi="黑体" w:eastAsia="黑体"/>
                <w:snapToGrid w:val="0"/>
                <w:spacing w:val="-6"/>
                <w:kern w:val="21"/>
              </w:rPr>
              <w:fldChar w:fldCharType="begin"/>
            </w:r>
            <w:r>
              <w:rPr>
                <w:rFonts w:hint="eastAsia" w:ascii="黑体" w:hAnsi="黑体" w:eastAsia="黑体"/>
                <w:snapToGrid w:val="0"/>
                <w:spacing w:val="-6"/>
                <w:kern w:val="21"/>
              </w:rPr>
              <w:instrText xml:space="preserve"> = 1 \* GB3 \* MERGEFORMAT </w:instrText>
            </w:r>
            <w:r>
              <w:rPr>
                <w:rFonts w:hint="eastAsia" w:ascii="黑体" w:hAnsi="黑体" w:eastAsia="黑体"/>
                <w:snapToGrid w:val="0"/>
                <w:spacing w:val="-6"/>
                <w:kern w:val="21"/>
              </w:rPr>
              <w:fldChar w:fldCharType="separate"/>
            </w:r>
            <w:r>
              <w:rPr>
                <w:rFonts w:hint="eastAsia" w:ascii="黑体" w:hAnsi="黑体" w:eastAsia="黑体" w:cs="宋体"/>
                <w:kern w:val="2"/>
              </w:rPr>
              <w:t>①</w:t>
            </w:r>
            <w:r>
              <w:rPr>
                <w:rFonts w:hint="eastAsia" w:ascii="黑体" w:hAnsi="黑体" w:eastAsia="黑体"/>
                <w:snapToGrid w:val="0"/>
                <w:spacing w:val="-6"/>
                <w:kern w:val="21"/>
              </w:rPr>
              <w:fldChar w:fldCharType="end"/>
            </w:r>
          </w:p>
        </w:tc>
        <w:tc>
          <w:tcPr>
            <w:tcW w:w="1276" w:type="dxa"/>
            <w:tcMar>
              <w:left w:w="28" w:type="dxa"/>
              <w:right w:w="28" w:type="dxa"/>
            </w:tcMar>
            <w:vAlign w:val="center"/>
          </w:tcPr>
          <w:p>
            <w:pPr>
              <w:pStyle w:val="57"/>
              <w:spacing w:beforeLines="0" w:afterLines="0" w:line="240" w:lineRule="auto"/>
              <w:ind w:firstLine="0"/>
              <w:rPr>
                <w:rFonts w:ascii="黑体" w:hAnsi="黑体" w:eastAsia="黑体"/>
                <w:snapToGrid w:val="0"/>
                <w:spacing w:val="-6"/>
                <w:kern w:val="21"/>
              </w:rPr>
            </w:pPr>
            <w:r>
              <w:rPr>
                <w:rFonts w:hint="eastAsia" w:ascii="黑体" w:hAnsi="黑体" w:eastAsia="黑体"/>
                <w:snapToGrid w:val="0"/>
                <w:spacing w:val="-6"/>
                <w:kern w:val="21"/>
              </w:rPr>
              <w:t>现有工程</w:t>
            </w:r>
          </w:p>
          <w:p>
            <w:pPr>
              <w:pStyle w:val="57"/>
              <w:spacing w:beforeLines="0" w:afterLines="0" w:line="240" w:lineRule="auto"/>
              <w:ind w:firstLine="0"/>
              <w:rPr>
                <w:rFonts w:ascii="黑体" w:hAnsi="黑体" w:eastAsia="黑体"/>
                <w:snapToGrid w:val="0"/>
                <w:spacing w:val="-6"/>
                <w:kern w:val="21"/>
              </w:rPr>
            </w:pPr>
            <w:r>
              <w:rPr>
                <w:rFonts w:hint="eastAsia" w:ascii="黑体" w:hAnsi="黑体" w:eastAsia="黑体"/>
                <w:snapToGrid w:val="0"/>
                <w:spacing w:val="-6"/>
                <w:kern w:val="21"/>
              </w:rPr>
              <w:t>许可排放量</w:t>
            </w:r>
          </w:p>
          <w:p>
            <w:pPr>
              <w:pStyle w:val="57"/>
              <w:spacing w:beforeLines="0" w:afterLines="0"/>
              <w:jc w:val="both"/>
              <w:rPr>
                <w:rFonts w:ascii="黑体" w:hAnsi="黑体" w:eastAsia="黑体"/>
                <w:snapToGrid w:val="0"/>
                <w:spacing w:val="-6"/>
                <w:kern w:val="21"/>
              </w:rPr>
            </w:pPr>
            <w:r>
              <w:rPr>
                <w:rFonts w:hint="eastAsia" w:ascii="黑体" w:hAnsi="黑体" w:eastAsia="黑体"/>
                <w:snapToGrid w:val="0"/>
                <w:spacing w:val="-6"/>
                <w:kern w:val="21"/>
              </w:rPr>
              <w:fldChar w:fldCharType="begin"/>
            </w:r>
            <w:r>
              <w:rPr>
                <w:rFonts w:hint="eastAsia" w:ascii="黑体" w:hAnsi="黑体" w:eastAsia="黑体"/>
                <w:snapToGrid w:val="0"/>
                <w:spacing w:val="-6"/>
                <w:kern w:val="21"/>
              </w:rPr>
              <w:instrText xml:space="preserve"> = 2 \* GB3 \* MERGEFORMAT </w:instrText>
            </w:r>
            <w:r>
              <w:rPr>
                <w:rFonts w:hint="eastAsia" w:ascii="黑体" w:hAnsi="黑体" w:eastAsia="黑体"/>
                <w:snapToGrid w:val="0"/>
                <w:spacing w:val="-6"/>
                <w:kern w:val="21"/>
              </w:rPr>
              <w:fldChar w:fldCharType="separate"/>
            </w:r>
            <w:r>
              <w:rPr>
                <w:rFonts w:hint="eastAsia" w:ascii="黑体" w:hAnsi="黑体" w:eastAsia="黑体" w:cs="宋体"/>
                <w:snapToGrid w:val="0"/>
                <w:spacing w:val="-6"/>
                <w:kern w:val="21"/>
              </w:rPr>
              <w:t>②</w:t>
            </w:r>
            <w:r>
              <w:rPr>
                <w:rFonts w:hint="eastAsia" w:ascii="黑体" w:hAnsi="黑体" w:eastAsia="黑体"/>
                <w:snapToGrid w:val="0"/>
                <w:spacing w:val="-6"/>
                <w:kern w:val="21"/>
              </w:rPr>
              <w:fldChar w:fldCharType="end"/>
            </w:r>
          </w:p>
        </w:tc>
        <w:tc>
          <w:tcPr>
            <w:tcW w:w="1701" w:type="dxa"/>
            <w:tcMar>
              <w:left w:w="28" w:type="dxa"/>
              <w:right w:w="28" w:type="dxa"/>
            </w:tcMar>
            <w:vAlign w:val="center"/>
          </w:tcPr>
          <w:p>
            <w:pPr>
              <w:pStyle w:val="57"/>
              <w:spacing w:beforeLines="0" w:afterLines="0" w:line="240" w:lineRule="auto"/>
              <w:ind w:firstLine="0"/>
              <w:rPr>
                <w:rFonts w:ascii="黑体" w:hAnsi="黑体" w:eastAsia="黑体"/>
                <w:snapToGrid w:val="0"/>
                <w:spacing w:val="-6"/>
                <w:kern w:val="21"/>
              </w:rPr>
            </w:pPr>
            <w:r>
              <w:rPr>
                <w:rFonts w:hint="eastAsia" w:ascii="黑体" w:hAnsi="黑体" w:eastAsia="黑体"/>
                <w:snapToGrid w:val="0"/>
                <w:spacing w:val="-6"/>
                <w:kern w:val="21"/>
              </w:rPr>
              <w:t>在建工程排放量（固体废物产生量）</w:t>
            </w:r>
            <w:r>
              <w:rPr>
                <w:rFonts w:hint="eastAsia" w:ascii="黑体" w:hAnsi="黑体" w:eastAsia="黑体"/>
                <w:snapToGrid w:val="0"/>
                <w:spacing w:val="-6"/>
                <w:kern w:val="21"/>
              </w:rPr>
              <w:fldChar w:fldCharType="begin"/>
            </w:r>
            <w:r>
              <w:rPr>
                <w:rFonts w:hint="eastAsia" w:ascii="黑体" w:hAnsi="黑体" w:eastAsia="黑体"/>
                <w:snapToGrid w:val="0"/>
                <w:spacing w:val="-6"/>
                <w:kern w:val="21"/>
              </w:rPr>
              <w:instrText xml:space="preserve"> = 3 \* GB3 \* MERGEFORMAT </w:instrText>
            </w:r>
            <w:r>
              <w:rPr>
                <w:rFonts w:hint="eastAsia" w:ascii="黑体" w:hAnsi="黑体" w:eastAsia="黑体"/>
                <w:snapToGrid w:val="0"/>
                <w:spacing w:val="-6"/>
                <w:kern w:val="21"/>
              </w:rPr>
              <w:fldChar w:fldCharType="separate"/>
            </w:r>
            <w:r>
              <w:rPr>
                <w:rFonts w:hint="eastAsia" w:ascii="黑体" w:hAnsi="黑体" w:eastAsia="黑体" w:cs="宋体"/>
                <w:kern w:val="2"/>
              </w:rPr>
              <w:t>③</w:t>
            </w:r>
            <w:r>
              <w:rPr>
                <w:rFonts w:hint="eastAsia" w:ascii="黑体" w:hAnsi="黑体" w:eastAsia="黑体"/>
                <w:snapToGrid w:val="0"/>
                <w:spacing w:val="-6"/>
                <w:kern w:val="21"/>
              </w:rPr>
              <w:fldChar w:fldCharType="end"/>
            </w:r>
          </w:p>
        </w:tc>
        <w:tc>
          <w:tcPr>
            <w:tcW w:w="1559" w:type="dxa"/>
            <w:tcMar>
              <w:left w:w="28" w:type="dxa"/>
              <w:right w:w="28" w:type="dxa"/>
            </w:tcMar>
            <w:vAlign w:val="center"/>
          </w:tcPr>
          <w:p>
            <w:pPr>
              <w:pStyle w:val="57"/>
              <w:spacing w:beforeLines="0" w:afterLines="0" w:line="240" w:lineRule="auto"/>
              <w:ind w:firstLine="0"/>
              <w:rPr>
                <w:rFonts w:ascii="黑体" w:hAnsi="黑体" w:eastAsia="黑体"/>
                <w:snapToGrid w:val="0"/>
                <w:spacing w:val="-6"/>
                <w:kern w:val="21"/>
              </w:rPr>
            </w:pPr>
            <w:r>
              <w:rPr>
                <w:rFonts w:hint="eastAsia" w:ascii="黑体" w:hAnsi="黑体" w:eastAsia="黑体"/>
                <w:snapToGrid w:val="0"/>
                <w:spacing w:val="-6"/>
                <w:kern w:val="21"/>
              </w:rPr>
              <w:t>本项目排放量（固体废物产生量）</w:t>
            </w:r>
            <w:r>
              <w:rPr>
                <w:rFonts w:hint="eastAsia" w:ascii="黑体" w:hAnsi="黑体" w:eastAsia="黑体"/>
                <w:snapToGrid w:val="0"/>
                <w:spacing w:val="-6"/>
                <w:kern w:val="21"/>
              </w:rPr>
              <w:fldChar w:fldCharType="begin"/>
            </w:r>
            <w:r>
              <w:rPr>
                <w:rFonts w:hint="eastAsia" w:ascii="黑体" w:hAnsi="黑体" w:eastAsia="黑体"/>
                <w:snapToGrid w:val="0"/>
                <w:spacing w:val="-6"/>
                <w:kern w:val="21"/>
              </w:rPr>
              <w:instrText xml:space="preserve"> = 4 \* GB3 \* MERGEFORMAT </w:instrText>
            </w:r>
            <w:r>
              <w:rPr>
                <w:rFonts w:hint="eastAsia" w:ascii="黑体" w:hAnsi="黑体" w:eastAsia="黑体"/>
                <w:snapToGrid w:val="0"/>
                <w:spacing w:val="-6"/>
                <w:kern w:val="21"/>
              </w:rPr>
              <w:fldChar w:fldCharType="separate"/>
            </w:r>
            <w:r>
              <w:rPr>
                <w:rFonts w:hint="eastAsia" w:ascii="黑体" w:hAnsi="黑体" w:eastAsia="黑体" w:cs="宋体"/>
                <w:kern w:val="2"/>
              </w:rPr>
              <w:t>④</w:t>
            </w:r>
            <w:r>
              <w:rPr>
                <w:rFonts w:hint="eastAsia" w:ascii="黑体" w:hAnsi="黑体" w:eastAsia="黑体"/>
                <w:snapToGrid w:val="0"/>
                <w:spacing w:val="-6"/>
                <w:kern w:val="21"/>
              </w:rPr>
              <w:fldChar w:fldCharType="end"/>
            </w:r>
          </w:p>
        </w:tc>
        <w:tc>
          <w:tcPr>
            <w:tcW w:w="1761" w:type="dxa"/>
            <w:tcMar>
              <w:left w:w="28" w:type="dxa"/>
              <w:right w:w="28" w:type="dxa"/>
            </w:tcMar>
            <w:vAlign w:val="center"/>
          </w:tcPr>
          <w:p>
            <w:pPr>
              <w:pStyle w:val="57"/>
              <w:spacing w:beforeLines="0" w:afterLines="0" w:line="240" w:lineRule="auto"/>
              <w:ind w:firstLine="0"/>
              <w:rPr>
                <w:rFonts w:ascii="黑体" w:hAnsi="黑体" w:eastAsia="黑体"/>
                <w:snapToGrid w:val="0"/>
                <w:spacing w:val="-16"/>
                <w:kern w:val="21"/>
              </w:rPr>
            </w:pPr>
            <w:r>
              <w:rPr>
                <w:rFonts w:hint="eastAsia" w:ascii="黑体" w:hAnsi="黑体" w:eastAsia="黑体"/>
                <w:snapToGrid w:val="0"/>
                <w:spacing w:val="-16"/>
                <w:kern w:val="21"/>
              </w:rPr>
              <w:t>以新带老削减量</w:t>
            </w:r>
          </w:p>
          <w:p>
            <w:pPr>
              <w:pStyle w:val="57"/>
              <w:spacing w:beforeLines="0" w:afterLines="0" w:line="240" w:lineRule="auto"/>
              <w:ind w:firstLine="0"/>
              <w:rPr>
                <w:rFonts w:ascii="黑体" w:hAnsi="黑体" w:eastAsia="黑体"/>
                <w:snapToGrid w:val="0"/>
                <w:spacing w:val="-16"/>
                <w:kern w:val="21"/>
              </w:rPr>
            </w:pPr>
            <w:r>
              <w:rPr>
                <w:rFonts w:hint="eastAsia" w:ascii="黑体" w:hAnsi="黑体" w:eastAsia="黑体"/>
                <w:snapToGrid w:val="0"/>
                <w:spacing w:val="-16"/>
                <w:kern w:val="21"/>
              </w:rPr>
              <w:t>（新建项目不填）</w:t>
            </w:r>
            <w:r>
              <w:rPr>
                <w:rFonts w:hint="eastAsia" w:ascii="黑体" w:hAnsi="黑体" w:eastAsia="黑体"/>
                <w:snapToGrid w:val="0"/>
                <w:spacing w:val="-16"/>
                <w:kern w:val="21"/>
              </w:rPr>
              <w:fldChar w:fldCharType="begin"/>
            </w:r>
            <w:r>
              <w:rPr>
                <w:rFonts w:hint="eastAsia" w:ascii="黑体" w:hAnsi="黑体" w:eastAsia="黑体"/>
                <w:snapToGrid w:val="0"/>
                <w:spacing w:val="-16"/>
                <w:kern w:val="21"/>
              </w:rPr>
              <w:instrText xml:space="preserve"> = 5 \* GB3 \* MERGEFORMAT </w:instrText>
            </w:r>
            <w:r>
              <w:rPr>
                <w:rFonts w:hint="eastAsia" w:ascii="黑体" w:hAnsi="黑体" w:eastAsia="黑体"/>
                <w:snapToGrid w:val="0"/>
                <w:spacing w:val="-16"/>
                <w:kern w:val="21"/>
              </w:rPr>
              <w:fldChar w:fldCharType="separate"/>
            </w:r>
            <w:r>
              <w:rPr>
                <w:rFonts w:hint="eastAsia" w:ascii="黑体" w:hAnsi="黑体" w:eastAsia="黑体" w:cs="宋体"/>
                <w:kern w:val="2"/>
              </w:rPr>
              <w:t>⑤</w:t>
            </w:r>
            <w:r>
              <w:rPr>
                <w:rFonts w:hint="eastAsia" w:ascii="黑体" w:hAnsi="黑体" w:eastAsia="黑体"/>
                <w:snapToGrid w:val="0"/>
                <w:spacing w:val="-16"/>
                <w:kern w:val="21"/>
              </w:rPr>
              <w:fldChar w:fldCharType="end"/>
            </w:r>
          </w:p>
        </w:tc>
        <w:tc>
          <w:tcPr>
            <w:tcW w:w="1959" w:type="dxa"/>
            <w:tcMar>
              <w:left w:w="28" w:type="dxa"/>
              <w:right w:w="28" w:type="dxa"/>
            </w:tcMar>
            <w:vAlign w:val="center"/>
          </w:tcPr>
          <w:p>
            <w:pPr>
              <w:pStyle w:val="57"/>
              <w:spacing w:beforeLines="0" w:afterLines="0" w:line="240" w:lineRule="auto"/>
              <w:ind w:firstLine="0"/>
              <w:rPr>
                <w:rFonts w:ascii="黑体" w:hAnsi="黑体" w:eastAsia="黑体"/>
                <w:snapToGrid w:val="0"/>
                <w:spacing w:val="-16"/>
                <w:kern w:val="21"/>
              </w:rPr>
            </w:pPr>
            <w:r>
              <w:rPr>
                <w:rFonts w:hint="eastAsia" w:ascii="黑体" w:hAnsi="黑体" w:eastAsia="黑体"/>
                <w:snapToGrid w:val="0"/>
                <w:spacing w:val="-16"/>
                <w:kern w:val="21"/>
              </w:rPr>
              <w:t>本项目建成后全厂排放量（固体废物产生量）</w:t>
            </w:r>
            <w:r>
              <w:rPr>
                <w:rFonts w:hint="eastAsia" w:ascii="黑体" w:hAnsi="黑体" w:eastAsia="黑体"/>
                <w:snapToGrid w:val="0"/>
                <w:spacing w:val="-16"/>
                <w:kern w:val="21"/>
              </w:rPr>
              <w:fldChar w:fldCharType="begin"/>
            </w:r>
            <w:r>
              <w:rPr>
                <w:rFonts w:hint="eastAsia" w:ascii="黑体" w:hAnsi="黑体" w:eastAsia="黑体"/>
                <w:snapToGrid w:val="0"/>
                <w:spacing w:val="-16"/>
                <w:kern w:val="21"/>
              </w:rPr>
              <w:instrText xml:space="preserve"> = 6 \* GB3 \* MERGEFORMAT </w:instrText>
            </w:r>
            <w:r>
              <w:rPr>
                <w:rFonts w:hint="eastAsia" w:ascii="黑体" w:hAnsi="黑体" w:eastAsia="黑体"/>
                <w:snapToGrid w:val="0"/>
                <w:spacing w:val="-16"/>
                <w:kern w:val="21"/>
              </w:rPr>
              <w:fldChar w:fldCharType="separate"/>
            </w:r>
            <w:r>
              <w:rPr>
                <w:rFonts w:hint="eastAsia" w:ascii="黑体" w:hAnsi="黑体" w:eastAsia="黑体" w:cs="宋体"/>
                <w:kern w:val="2"/>
              </w:rPr>
              <w:t>⑥</w:t>
            </w:r>
            <w:r>
              <w:rPr>
                <w:rFonts w:hint="eastAsia" w:ascii="黑体" w:hAnsi="黑体" w:eastAsia="黑体"/>
                <w:snapToGrid w:val="0"/>
                <w:spacing w:val="-16"/>
                <w:kern w:val="21"/>
              </w:rPr>
              <w:fldChar w:fldCharType="end"/>
            </w:r>
          </w:p>
        </w:tc>
        <w:tc>
          <w:tcPr>
            <w:tcW w:w="826" w:type="dxa"/>
            <w:tcMar>
              <w:left w:w="28" w:type="dxa"/>
              <w:right w:w="28" w:type="dxa"/>
            </w:tcMar>
            <w:vAlign w:val="center"/>
          </w:tcPr>
          <w:p>
            <w:pPr>
              <w:pStyle w:val="57"/>
              <w:spacing w:beforeLines="0" w:afterLines="0" w:line="240" w:lineRule="auto"/>
              <w:ind w:firstLine="0"/>
              <w:rPr>
                <w:rFonts w:ascii="黑体" w:hAnsi="黑体" w:eastAsia="黑体"/>
                <w:snapToGrid w:val="0"/>
                <w:spacing w:val="-6"/>
                <w:kern w:val="21"/>
              </w:rPr>
            </w:pPr>
            <w:r>
              <w:rPr>
                <w:rFonts w:hint="eastAsia" w:ascii="黑体" w:hAnsi="黑体" w:eastAsia="黑体"/>
                <w:snapToGrid w:val="0"/>
                <w:spacing w:val="-6"/>
                <w:kern w:val="21"/>
              </w:rPr>
              <w:t>变化量</w:t>
            </w:r>
          </w:p>
          <w:p>
            <w:pPr>
              <w:pStyle w:val="57"/>
              <w:spacing w:beforeLines="0" w:afterLines="0" w:line="240" w:lineRule="auto"/>
              <w:ind w:firstLine="0"/>
              <w:rPr>
                <w:rFonts w:ascii="黑体" w:hAnsi="黑体" w:eastAsia="黑体"/>
                <w:snapToGrid w:val="0"/>
                <w:spacing w:val="-6"/>
                <w:kern w:val="21"/>
              </w:rPr>
            </w:pPr>
            <w:r>
              <w:rPr>
                <w:rFonts w:hint="eastAsia" w:ascii="黑体" w:hAnsi="黑体" w:eastAsia="黑体"/>
                <w:snapToGrid w:val="0"/>
                <w:spacing w:val="-6"/>
                <w:kern w:val="21"/>
              </w:rPr>
              <w:fldChar w:fldCharType="begin"/>
            </w:r>
            <w:r>
              <w:rPr>
                <w:rFonts w:hint="eastAsia" w:ascii="黑体" w:hAnsi="黑体" w:eastAsia="黑体"/>
                <w:snapToGrid w:val="0"/>
                <w:spacing w:val="-6"/>
                <w:kern w:val="21"/>
              </w:rPr>
              <w:instrText xml:space="preserve"> = 7 \* GB3 \* MERGEFORMAT </w:instrText>
            </w:r>
            <w:r>
              <w:rPr>
                <w:rFonts w:hint="eastAsia" w:ascii="黑体" w:hAnsi="黑体" w:eastAsia="黑体"/>
                <w:snapToGrid w:val="0"/>
                <w:spacing w:val="-6"/>
                <w:kern w:val="21"/>
              </w:rPr>
              <w:fldChar w:fldCharType="separate"/>
            </w:r>
            <w:r>
              <w:rPr>
                <w:rFonts w:hint="eastAsia" w:ascii="黑体" w:hAnsi="黑体" w:eastAsia="黑体" w:cs="宋体"/>
                <w:kern w:val="2"/>
              </w:rPr>
              <w:t>⑦</w:t>
            </w:r>
            <w:r>
              <w:rPr>
                <w:rFonts w:hint="eastAsia" w:ascii="黑体" w:hAnsi="黑体" w:eastAsia="黑体"/>
                <w:snapToGrid w:val="0"/>
                <w:spacing w:val="-6"/>
                <w:kern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57"/>
              <w:spacing w:beforeLines="0" w:afterLines="0" w:line="240" w:lineRule="auto"/>
              <w:ind w:firstLine="0"/>
            </w:pPr>
            <w:r>
              <w:rPr>
                <w:rFonts w:hint="eastAsia"/>
              </w:rPr>
              <w:t>废气</w:t>
            </w:r>
          </w:p>
        </w:tc>
        <w:tc>
          <w:tcPr>
            <w:tcW w:w="1417" w:type="dxa"/>
            <w:vAlign w:val="center"/>
          </w:tcPr>
          <w:p>
            <w:pPr>
              <w:pStyle w:val="57"/>
              <w:spacing w:beforeLines="0" w:afterLines="0" w:line="240" w:lineRule="auto"/>
              <w:ind w:firstLine="0"/>
            </w:pPr>
            <w:r>
              <w:rPr>
                <w:rFonts w:hint="eastAsia"/>
              </w:rPr>
              <w:t>颗粒物</w:t>
            </w:r>
          </w:p>
        </w:tc>
        <w:tc>
          <w:tcPr>
            <w:tcW w:w="1701" w:type="dxa"/>
            <w:vAlign w:val="center"/>
          </w:tcPr>
          <w:p>
            <w:pPr>
              <w:pStyle w:val="57"/>
              <w:spacing w:beforeLines="0" w:afterLines="0" w:line="240" w:lineRule="auto"/>
              <w:ind w:firstLine="0"/>
            </w:pPr>
            <w:r>
              <w:rPr>
                <w:rFonts w:hint="eastAsia"/>
              </w:rPr>
              <w:t>0</w:t>
            </w:r>
          </w:p>
        </w:tc>
        <w:tc>
          <w:tcPr>
            <w:tcW w:w="1276" w:type="dxa"/>
            <w:vAlign w:val="center"/>
          </w:tcPr>
          <w:p>
            <w:pPr>
              <w:pStyle w:val="57"/>
              <w:spacing w:beforeLines="0" w:afterLines="0" w:line="240" w:lineRule="auto"/>
              <w:ind w:firstLine="0"/>
            </w:pPr>
            <w:r>
              <w:rPr>
                <w:rFonts w:hint="eastAsia"/>
              </w:rPr>
              <w:t>0</w:t>
            </w:r>
          </w:p>
        </w:tc>
        <w:tc>
          <w:tcPr>
            <w:tcW w:w="1701" w:type="dxa"/>
            <w:vAlign w:val="center"/>
          </w:tcPr>
          <w:p>
            <w:pPr>
              <w:pStyle w:val="57"/>
              <w:spacing w:beforeLines="0" w:afterLines="0" w:line="240" w:lineRule="auto"/>
              <w:rPr>
                <w:rFonts w:hAnsi="宋体" w:cs="宋体"/>
                <w:snapToGrid w:val="0"/>
                <w:kern w:val="21"/>
              </w:rPr>
            </w:pPr>
            <w:r>
              <w:rPr>
                <w:rFonts w:hint="eastAsia" w:hAnsi="宋体" w:cs="宋体"/>
                <w:snapToGrid w:val="0"/>
                <w:kern w:val="21"/>
              </w:rPr>
              <w:t>0</w:t>
            </w:r>
          </w:p>
        </w:tc>
        <w:tc>
          <w:tcPr>
            <w:tcW w:w="1559" w:type="dxa"/>
            <w:vAlign w:val="center"/>
          </w:tcPr>
          <w:p>
            <w:pPr>
              <w:pStyle w:val="57"/>
              <w:spacing w:beforeLines="0" w:afterLines="0" w:line="240" w:lineRule="auto"/>
              <w:ind w:firstLine="0"/>
              <w:rPr>
                <w:rFonts w:hAnsi="宋体" w:cs="宋体"/>
                <w:snapToGrid w:val="0"/>
                <w:kern w:val="21"/>
              </w:rPr>
            </w:pPr>
            <w:r>
              <w:rPr>
                <w:rFonts w:hint="eastAsia" w:hAnsi="宋体" w:cs="宋体"/>
                <w:snapToGrid w:val="0"/>
                <w:kern w:val="21"/>
              </w:rPr>
              <w:t>8.91t/a</w:t>
            </w:r>
          </w:p>
        </w:tc>
        <w:tc>
          <w:tcPr>
            <w:tcW w:w="1761" w:type="dxa"/>
            <w:vAlign w:val="center"/>
          </w:tcPr>
          <w:p>
            <w:pPr>
              <w:pStyle w:val="57"/>
              <w:spacing w:beforeLines="0" w:afterLines="0" w:line="240" w:lineRule="auto"/>
              <w:ind w:firstLine="0"/>
            </w:pPr>
            <w:r>
              <w:rPr>
                <w:rFonts w:hint="eastAsia"/>
              </w:rPr>
              <w:t>0</w:t>
            </w:r>
          </w:p>
        </w:tc>
        <w:tc>
          <w:tcPr>
            <w:tcW w:w="1959" w:type="dxa"/>
            <w:vAlign w:val="center"/>
          </w:tcPr>
          <w:p>
            <w:pPr>
              <w:pStyle w:val="57"/>
              <w:spacing w:beforeLines="0" w:afterLines="0" w:line="240" w:lineRule="auto"/>
              <w:ind w:firstLine="0"/>
            </w:pPr>
            <w:r>
              <w:rPr>
                <w:rFonts w:hint="eastAsia" w:hAnsi="宋体" w:cs="宋体"/>
                <w:snapToGrid w:val="0"/>
                <w:kern w:val="21"/>
              </w:rPr>
              <w:t>8.91t/a</w:t>
            </w:r>
          </w:p>
        </w:tc>
        <w:tc>
          <w:tcPr>
            <w:tcW w:w="826" w:type="dxa"/>
            <w:vAlign w:val="center"/>
          </w:tcPr>
          <w:p>
            <w:pPr>
              <w:pStyle w:val="57"/>
              <w:spacing w:beforeLines="0" w:afterLines="0" w:line="240" w:lineRule="auto"/>
              <w:ind w:firstLine="0"/>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7"/>
              <w:spacing w:beforeLines="0" w:afterLines="0" w:line="240" w:lineRule="auto"/>
              <w:ind w:firstLine="0"/>
            </w:pPr>
            <w:r>
              <w:rPr>
                <w:rFonts w:hint="eastAsia"/>
              </w:rPr>
              <w:t>废水</w:t>
            </w:r>
          </w:p>
        </w:tc>
        <w:tc>
          <w:tcPr>
            <w:tcW w:w="1417" w:type="dxa"/>
            <w:vAlign w:val="center"/>
          </w:tcPr>
          <w:p>
            <w:pPr>
              <w:pStyle w:val="57"/>
              <w:spacing w:beforeLines="0" w:afterLines="0" w:line="240" w:lineRule="auto"/>
              <w:ind w:firstLine="0"/>
            </w:pPr>
            <w:r>
              <w:rPr>
                <w:rFonts w:hint="eastAsia"/>
              </w:rPr>
              <w:t>生产废水</w:t>
            </w:r>
          </w:p>
        </w:tc>
        <w:tc>
          <w:tcPr>
            <w:tcW w:w="1701" w:type="dxa"/>
            <w:vAlign w:val="center"/>
          </w:tcPr>
          <w:p>
            <w:pPr>
              <w:pStyle w:val="57"/>
              <w:spacing w:beforeLines="0" w:afterLines="0" w:line="240" w:lineRule="auto"/>
              <w:ind w:firstLine="0"/>
            </w:pPr>
            <w:r>
              <w:rPr>
                <w:rFonts w:hint="eastAsia"/>
              </w:rPr>
              <w:t>0</w:t>
            </w:r>
          </w:p>
        </w:tc>
        <w:tc>
          <w:tcPr>
            <w:tcW w:w="1276" w:type="dxa"/>
            <w:vAlign w:val="center"/>
          </w:tcPr>
          <w:p>
            <w:pPr>
              <w:pStyle w:val="57"/>
              <w:spacing w:beforeLines="0" w:afterLines="0" w:line="240" w:lineRule="auto"/>
              <w:ind w:firstLine="0"/>
            </w:pPr>
            <w:r>
              <w:rPr>
                <w:rFonts w:hint="eastAsia"/>
              </w:rPr>
              <w:t>0</w:t>
            </w:r>
          </w:p>
        </w:tc>
        <w:tc>
          <w:tcPr>
            <w:tcW w:w="1701" w:type="dxa"/>
            <w:vAlign w:val="center"/>
          </w:tcPr>
          <w:p>
            <w:pPr>
              <w:pStyle w:val="57"/>
              <w:spacing w:beforeLines="0" w:afterLines="0" w:line="240" w:lineRule="auto"/>
              <w:rPr>
                <w:rFonts w:hAnsi="宋体" w:cs="宋体"/>
                <w:snapToGrid w:val="0"/>
                <w:kern w:val="21"/>
              </w:rPr>
            </w:pPr>
            <w:r>
              <w:rPr>
                <w:rFonts w:hint="eastAsia" w:hAnsi="宋体" w:cs="宋体"/>
                <w:snapToGrid w:val="0"/>
                <w:kern w:val="21"/>
              </w:rPr>
              <w:t>0</w:t>
            </w:r>
          </w:p>
        </w:tc>
        <w:tc>
          <w:tcPr>
            <w:tcW w:w="1559" w:type="dxa"/>
            <w:vAlign w:val="center"/>
          </w:tcPr>
          <w:p>
            <w:pPr>
              <w:pStyle w:val="57"/>
              <w:spacing w:beforeLines="0" w:afterLines="0" w:line="240" w:lineRule="auto"/>
              <w:ind w:firstLine="0"/>
              <w:rPr>
                <w:rFonts w:hAnsi="宋体" w:cs="宋体"/>
                <w:snapToGrid w:val="0"/>
                <w:kern w:val="21"/>
              </w:rPr>
            </w:pPr>
            <w:r>
              <w:rPr>
                <w:rFonts w:hint="eastAsia" w:hAnsi="宋体" w:cs="宋体"/>
                <w:snapToGrid w:val="0"/>
                <w:kern w:val="21"/>
              </w:rPr>
              <w:t>0</w:t>
            </w:r>
          </w:p>
        </w:tc>
        <w:tc>
          <w:tcPr>
            <w:tcW w:w="1761" w:type="dxa"/>
            <w:vAlign w:val="center"/>
          </w:tcPr>
          <w:p>
            <w:pPr>
              <w:pStyle w:val="57"/>
              <w:spacing w:beforeLines="0" w:afterLines="0" w:line="240" w:lineRule="auto"/>
              <w:ind w:firstLine="0"/>
            </w:pPr>
            <w:r>
              <w:rPr>
                <w:rFonts w:hint="eastAsia"/>
              </w:rPr>
              <w:t>0</w:t>
            </w:r>
          </w:p>
        </w:tc>
        <w:tc>
          <w:tcPr>
            <w:tcW w:w="1959" w:type="dxa"/>
            <w:vAlign w:val="center"/>
          </w:tcPr>
          <w:p>
            <w:pPr>
              <w:pStyle w:val="57"/>
              <w:spacing w:beforeLines="0" w:afterLines="0" w:line="240" w:lineRule="auto"/>
              <w:ind w:firstLine="0"/>
            </w:pPr>
            <w:r>
              <w:rPr>
                <w:rFonts w:hint="eastAsia"/>
              </w:rPr>
              <w:t>0</w:t>
            </w:r>
          </w:p>
        </w:tc>
        <w:tc>
          <w:tcPr>
            <w:tcW w:w="826" w:type="dxa"/>
            <w:vAlign w:val="center"/>
          </w:tcPr>
          <w:p>
            <w:pPr>
              <w:pStyle w:val="57"/>
              <w:spacing w:beforeLines="0" w:afterLines="0" w:line="240" w:lineRule="auto"/>
              <w:ind w:firstLine="0"/>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7"/>
              <w:spacing w:beforeLines="0" w:afterLines="0" w:line="240" w:lineRule="auto"/>
              <w:ind w:firstLine="0"/>
            </w:pPr>
          </w:p>
        </w:tc>
        <w:tc>
          <w:tcPr>
            <w:tcW w:w="1417" w:type="dxa"/>
            <w:vAlign w:val="center"/>
          </w:tcPr>
          <w:p>
            <w:pPr>
              <w:pStyle w:val="57"/>
              <w:spacing w:beforeLines="0" w:afterLines="0" w:line="240" w:lineRule="auto"/>
              <w:ind w:firstLine="0"/>
            </w:pPr>
            <w:r>
              <w:rPr>
                <w:rFonts w:hint="eastAsia"/>
              </w:rPr>
              <w:t>生活污水</w:t>
            </w:r>
          </w:p>
        </w:tc>
        <w:tc>
          <w:tcPr>
            <w:tcW w:w="1701" w:type="dxa"/>
            <w:vAlign w:val="center"/>
          </w:tcPr>
          <w:p>
            <w:pPr>
              <w:pStyle w:val="57"/>
              <w:spacing w:beforeLines="0" w:afterLines="0" w:line="240" w:lineRule="auto"/>
              <w:ind w:firstLine="0"/>
            </w:pPr>
            <w:r>
              <w:rPr>
                <w:rFonts w:hint="eastAsia"/>
              </w:rPr>
              <w:t>0</w:t>
            </w:r>
          </w:p>
        </w:tc>
        <w:tc>
          <w:tcPr>
            <w:tcW w:w="1276" w:type="dxa"/>
            <w:vAlign w:val="center"/>
          </w:tcPr>
          <w:p>
            <w:pPr>
              <w:pStyle w:val="57"/>
              <w:spacing w:beforeLines="0" w:afterLines="0" w:line="240" w:lineRule="auto"/>
              <w:ind w:firstLine="0"/>
            </w:pPr>
            <w:r>
              <w:rPr>
                <w:rFonts w:hint="eastAsia"/>
              </w:rPr>
              <w:t>0</w:t>
            </w:r>
          </w:p>
        </w:tc>
        <w:tc>
          <w:tcPr>
            <w:tcW w:w="1701" w:type="dxa"/>
            <w:vAlign w:val="center"/>
          </w:tcPr>
          <w:p>
            <w:pPr>
              <w:pStyle w:val="57"/>
              <w:spacing w:beforeLines="0" w:afterLines="0" w:line="240" w:lineRule="auto"/>
              <w:rPr>
                <w:rFonts w:hAnsi="宋体" w:cs="宋体"/>
                <w:snapToGrid w:val="0"/>
                <w:kern w:val="21"/>
              </w:rPr>
            </w:pPr>
            <w:r>
              <w:rPr>
                <w:rFonts w:hint="eastAsia" w:hAnsi="宋体" w:cs="宋体"/>
                <w:snapToGrid w:val="0"/>
                <w:kern w:val="21"/>
              </w:rPr>
              <w:t>0</w:t>
            </w:r>
          </w:p>
        </w:tc>
        <w:tc>
          <w:tcPr>
            <w:tcW w:w="1559" w:type="dxa"/>
            <w:vAlign w:val="center"/>
          </w:tcPr>
          <w:p>
            <w:pPr>
              <w:pStyle w:val="57"/>
              <w:spacing w:beforeLines="0" w:afterLines="0" w:line="240" w:lineRule="auto"/>
              <w:ind w:firstLine="0"/>
              <w:rPr>
                <w:rFonts w:hAnsi="宋体" w:cs="宋体"/>
                <w:snapToGrid w:val="0"/>
                <w:kern w:val="21"/>
              </w:rPr>
            </w:pPr>
            <w:r>
              <w:rPr>
                <w:rFonts w:hint="eastAsia" w:hAnsi="宋体" w:cs="宋体"/>
                <w:snapToGrid w:val="0"/>
                <w:kern w:val="21"/>
              </w:rPr>
              <w:t>0</w:t>
            </w:r>
          </w:p>
        </w:tc>
        <w:tc>
          <w:tcPr>
            <w:tcW w:w="1761" w:type="dxa"/>
            <w:vAlign w:val="center"/>
          </w:tcPr>
          <w:p>
            <w:pPr>
              <w:pStyle w:val="57"/>
              <w:spacing w:beforeLines="0" w:afterLines="0" w:line="240" w:lineRule="auto"/>
              <w:ind w:firstLine="0"/>
            </w:pPr>
            <w:r>
              <w:rPr>
                <w:rFonts w:hint="eastAsia"/>
              </w:rPr>
              <w:t>0</w:t>
            </w:r>
          </w:p>
        </w:tc>
        <w:tc>
          <w:tcPr>
            <w:tcW w:w="1959" w:type="dxa"/>
            <w:vAlign w:val="center"/>
          </w:tcPr>
          <w:p>
            <w:pPr>
              <w:pStyle w:val="57"/>
              <w:spacing w:beforeLines="0" w:afterLines="0" w:line="240" w:lineRule="auto"/>
              <w:ind w:firstLine="0"/>
            </w:pPr>
            <w:r>
              <w:rPr>
                <w:rFonts w:hint="eastAsia"/>
              </w:rPr>
              <w:t>0</w:t>
            </w:r>
          </w:p>
        </w:tc>
        <w:tc>
          <w:tcPr>
            <w:tcW w:w="826" w:type="dxa"/>
            <w:vAlign w:val="center"/>
          </w:tcPr>
          <w:p>
            <w:pPr>
              <w:pStyle w:val="57"/>
              <w:spacing w:beforeLines="0" w:afterLines="0" w:line="240" w:lineRule="auto"/>
              <w:ind w:firstLine="0"/>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7"/>
              <w:spacing w:beforeLines="0" w:afterLines="0" w:line="240" w:lineRule="auto"/>
              <w:ind w:firstLine="0"/>
            </w:pPr>
            <w:r>
              <w:rPr>
                <w:rFonts w:hint="eastAsia"/>
              </w:rPr>
              <w:t>一般工业</w:t>
            </w:r>
          </w:p>
          <w:p>
            <w:pPr>
              <w:pStyle w:val="57"/>
              <w:spacing w:beforeLines="0" w:afterLines="0" w:line="240" w:lineRule="auto"/>
              <w:ind w:firstLine="0"/>
            </w:pPr>
            <w:r>
              <w:rPr>
                <w:rFonts w:hint="eastAsia"/>
              </w:rPr>
              <w:t>固体废物</w:t>
            </w:r>
          </w:p>
        </w:tc>
        <w:tc>
          <w:tcPr>
            <w:tcW w:w="1417" w:type="dxa"/>
            <w:vAlign w:val="center"/>
          </w:tcPr>
          <w:p>
            <w:pPr>
              <w:pStyle w:val="57"/>
              <w:spacing w:beforeLines="0" w:afterLines="0" w:line="240" w:lineRule="auto"/>
              <w:ind w:firstLine="0"/>
            </w:pPr>
            <w:r>
              <w:rPr>
                <w:rFonts w:hint="eastAsia"/>
              </w:rPr>
              <w:t>生活垃圾</w:t>
            </w:r>
          </w:p>
        </w:tc>
        <w:tc>
          <w:tcPr>
            <w:tcW w:w="1701" w:type="dxa"/>
            <w:vAlign w:val="center"/>
          </w:tcPr>
          <w:p>
            <w:pPr>
              <w:pStyle w:val="57"/>
              <w:spacing w:beforeLines="0" w:afterLines="0" w:line="240" w:lineRule="auto"/>
              <w:ind w:firstLine="0"/>
            </w:pPr>
            <w:r>
              <w:rPr>
                <w:rFonts w:hint="eastAsia"/>
              </w:rPr>
              <w:t>0</w:t>
            </w:r>
          </w:p>
        </w:tc>
        <w:tc>
          <w:tcPr>
            <w:tcW w:w="1276" w:type="dxa"/>
            <w:vAlign w:val="center"/>
          </w:tcPr>
          <w:p>
            <w:pPr>
              <w:pStyle w:val="57"/>
              <w:spacing w:beforeLines="0" w:afterLines="0" w:line="240" w:lineRule="auto"/>
              <w:ind w:firstLine="0"/>
            </w:pPr>
            <w:r>
              <w:rPr>
                <w:rFonts w:hint="eastAsia"/>
              </w:rPr>
              <w:t>0</w:t>
            </w:r>
          </w:p>
        </w:tc>
        <w:tc>
          <w:tcPr>
            <w:tcW w:w="1701" w:type="dxa"/>
            <w:vAlign w:val="center"/>
          </w:tcPr>
          <w:p>
            <w:pPr>
              <w:pStyle w:val="57"/>
              <w:spacing w:beforeLines="0" w:afterLines="0" w:line="240" w:lineRule="auto"/>
              <w:rPr>
                <w:rFonts w:hAnsi="宋体" w:cs="宋体"/>
                <w:snapToGrid w:val="0"/>
                <w:kern w:val="21"/>
              </w:rPr>
            </w:pPr>
            <w:r>
              <w:rPr>
                <w:rFonts w:hint="eastAsia" w:hAnsi="宋体" w:cs="宋体"/>
                <w:snapToGrid w:val="0"/>
                <w:kern w:val="21"/>
              </w:rPr>
              <w:t>0</w:t>
            </w:r>
          </w:p>
        </w:tc>
        <w:tc>
          <w:tcPr>
            <w:tcW w:w="1559" w:type="dxa"/>
            <w:vAlign w:val="center"/>
          </w:tcPr>
          <w:p>
            <w:pPr>
              <w:pStyle w:val="57"/>
              <w:spacing w:beforeLines="0" w:afterLines="0" w:line="240" w:lineRule="auto"/>
              <w:ind w:firstLine="0"/>
            </w:pPr>
            <w:r>
              <w:rPr>
                <w:rFonts w:hint="eastAsia"/>
              </w:rPr>
              <w:t>19.8</w:t>
            </w:r>
            <w:r>
              <w:rPr>
                <w:rFonts w:hint="eastAsia" w:hAnsi="宋体" w:cs="宋体"/>
                <w:snapToGrid w:val="0"/>
                <w:kern w:val="21"/>
              </w:rPr>
              <w:t>t/a</w:t>
            </w:r>
          </w:p>
        </w:tc>
        <w:tc>
          <w:tcPr>
            <w:tcW w:w="1761" w:type="dxa"/>
            <w:vAlign w:val="center"/>
          </w:tcPr>
          <w:p>
            <w:pPr>
              <w:pStyle w:val="57"/>
              <w:spacing w:beforeLines="0" w:afterLines="0" w:line="240" w:lineRule="auto"/>
              <w:ind w:firstLine="0"/>
            </w:pPr>
            <w:r>
              <w:rPr>
                <w:rFonts w:hint="eastAsia"/>
              </w:rPr>
              <w:t>0</w:t>
            </w:r>
          </w:p>
        </w:tc>
        <w:tc>
          <w:tcPr>
            <w:tcW w:w="1959" w:type="dxa"/>
            <w:vAlign w:val="center"/>
          </w:tcPr>
          <w:p>
            <w:pPr>
              <w:pStyle w:val="57"/>
              <w:spacing w:beforeLines="0" w:afterLines="0" w:line="240" w:lineRule="auto"/>
              <w:ind w:firstLine="0"/>
            </w:pPr>
            <w:r>
              <w:rPr>
                <w:rFonts w:hint="eastAsia"/>
              </w:rPr>
              <w:t>19.8</w:t>
            </w:r>
            <w:r>
              <w:rPr>
                <w:rFonts w:hint="eastAsia" w:hAnsi="宋体" w:cs="宋体"/>
                <w:snapToGrid w:val="0"/>
                <w:kern w:val="21"/>
              </w:rPr>
              <w:t>t/a</w:t>
            </w:r>
          </w:p>
        </w:tc>
        <w:tc>
          <w:tcPr>
            <w:tcW w:w="826" w:type="dxa"/>
            <w:vAlign w:val="center"/>
          </w:tcPr>
          <w:p>
            <w:pPr>
              <w:pStyle w:val="57"/>
              <w:spacing w:beforeLines="0" w:afterLines="0" w:line="240" w:lineRule="auto"/>
              <w:ind w:firstLine="0"/>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7"/>
              <w:spacing w:beforeLines="0" w:afterLines="0" w:line="240" w:lineRule="auto"/>
              <w:ind w:firstLine="0"/>
            </w:pPr>
          </w:p>
        </w:tc>
        <w:tc>
          <w:tcPr>
            <w:tcW w:w="1417" w:type="dxa"/>
            <w:vAlign w:val="center"/>
          </w:tcPr>
          <w:p>
            <w:pPr>
              <w:pStyle w:val="57"/>
              <w:spacing w:beforeLines="0" w:afterLines="0" w:line="240" w:lineRule="auto"/>
              <w:ind w:firstLine="0"/>
            </w:pPr>
            <w:r>
              <w:rPr>
                <w:rFonts w:hint="eastAsia"/>
              </w:rPr>
              <w:t>废弃的含油抹布</w:t>
            </w:r>
          </w:p>
        </w:tc>
        <w:tc>
          <w:tcPr>
            <w:tcW w:w="1701" w:type="dxa"/>
            <w:vAlign w:val="center"/>
          </w:tcPr>
          <w:p>
            <w:pPr>
              <w:pStyle w:val="57"/>
              <w:spacing w:beforeLines="0" w:afterLines="0" w:line="240" w:lineRule="auto"/>
              <w:ind w:firstLine="0"/>
            </w:pPr>
          </w:p>
        </w:tc>
        <w:tc>
          <w:tcPr>
            <w:tcW w:w="1276" w:type="dxa"/>
            <w:vAlign w:val="center"/>
          </w:tcPr>
          <w:p>
            <w:pPr>
              <w:pStyle w:val="57"/>
              <w:spacing w:beforeLines="0" w:afterLines="0" w:line="240" w:lineRule="auto"/>
              <w:ind w:firstLine="0"/>
            </w:pPr>
          </w:p>
        </w:tc>
        <w:tc>
          <w:tcPr>
            <w:tcW w:w="1701" w:type="dxa"/>
            <w:vAlign w:val="center"/>
          </w:tcPr>
          <w:p>
            <w:pPr>
              <w:pStyle w:val="57"/>
              <w:spacing w:beforeLines="0" w:afterLines="0" w:line="240" w:lineRule="auto"/>
              <w:rPr>
                <w:rFonts w:hAnsi="宋体" w:cs="宋体"/>
                <w:snapToGrid w:val="0"/>
                <w:kern w:val="21"/>
              </w:rPr>
            </w:pPr>
          </w:p>
        </w:tc>
        <w:tc>
          <w:tcPr>
            <w:tcW w:w="1559" w:type="dxa"/>
            <w:vAlign w:val="center"/>
          </w:tcPr>
          <w:p>
            <w:pPr>
              <w:pStyle w:val="57"/>
              <w:spacing w:beforeLines="0" w:afterLines="0" w:line="240" w:lineRule="auto"/>
              <w:ind w:firstLine="0"/>
            </w:pPr>
            <w:r>
              <w:rPr>
                <w:rFonts w:hint="eastAsia"/>
              </w:rPr>
              <w:t>0</w:t>
            </w:r>
            <w:r>
              <w:t>.01</w:t>
            </w:r>
            <w:r>
              <w:rPr>
                <w:rFonts w:hint="eastAsia" w:hAnsi="宋体" w:cs="宋体"/>
                <w:snapToGrid w:val="0"/>
                <w:kern w:val="21"/>
              </w:rPr>
              <w:t>t/a</w:t>
            </w:r>
          </w:p>
        </w:tc>
        <w:tc>
          <w:tcPr>
            <w:tcW w:w="1761" w:type="dxa"/>
            <w:vAlign w:val="center"/>
          </w:tcPr>
          <w:p>
            <w:pPr>
              <w:pStyle w:val="57"/>
              <w:spacing w:beforeLines="0" w:afterLines="0" w:line="240" w:lineRule="auto"/>
              <w:ind w:firstLine="0"/>
            </w:pPr>
            <w:r>
              <w:rPr>
                <w:rFonts w:hint="eastAsia"/>
              </w:rPr>
              <w:t>0</w:t>
            </w:r>
          </w:p>
        </w:tc>
        <w:tc>
          <w:tcPr>
            <w:tcW w:w="1959" w:type="dxa"/>
            <w:vAlign w:val="center"/>
          </w:tcPr>
          <w:p>
            <w:pPr>
              <w:pStyle w:val="57"/>
              <w:spacing w:beforeLines="0" w:afterLines="0" w:line="240" w:lineRule="auto"/>
              <w:ind w:firstLine="0"/>
            </w:pPr>
            <w:r>
              <w:rPr>
                <w:rFonts w:hint="eastAsia"/>
              </w:rPr>
              <w:t>0</w:t>
            </w:r>
            <w:r>
              <w:t>.01</w:t>
            </w:r>
            <w:r>
              <w:rPr>
                <w:rFonts w:hint="eastAsia" w:hAnsi="宋体" w:cs="宋体"/>
                <w:snapToGrid w:val="0"/>
                <w:kern w:val="21"/>
              </w:rPr>
              <w:t>t/a</w:t>
            </w:r>
          </w:p>
        </w:tc>
        <w:tc>
          <w:tcPr>
            <w:tcW w:w="826" w:type="dxa"/>
            <w:vAlign w:val="center"/>
          </w:tcPr>
          <w:p>
            <w:pPr>
              <w:pStyle w:val="57"/>
              <w:spacing w:beforeLines="0" w:afterLines="0" w:line="240" w:lineRule="auto"/>
              <w:ind w:firstLine="0"/>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7"/>
              <w:spacing w:beforeLines="0" w:afterLines="0" w:line="240" w:lineRule="auto"/>
              <w:ind w:firstLine="0"/>
            </w:pPr>
            <w:r>
              <w:rPr>
                <w:rFonts w:hint="eastAsia"/>
              </w:rPr>
              <w:t>危险废物</w:t>
            </w:r>
          </w:p>
        </w:tc>
        <w:tc>
          <w:tcPr>
            <w:tcW w:w="1417" w:type="dxa"/>
            <w:vAlign w:val="center"/>
          </w:tcPr>
          <w:p>
            <w:pPr>
              <w:pStyle w:val="57"/>
              <w:spacing w:beforeLines="0" w:afterLines="0" w:line="240" w:lineRule="auto"/>
              <w:ind w:firstLine="0"/>
            </w:pPr>
            <w:r>
              <w:rPr>
                <w:rFonts w:hint="eastAsia"/>
              </w:rPr>
              <w:t>废润滑油</w:t>
            </w:r>
          </w:p>
        </w:tc>
        <w:tc>
          <w:tcPr>
            <w:tcW w:w="1701" w:type="dxa"/>
            <w:vAlign w:val="center"/>
          </w:tcPr>
          <w:p>
            <w:pPr>
              <w:pStyle w:val="57"/>
              <w:spacing w:beforeLines="0" w:afterLines="0" w:line="240" w:lineRule="auto"/>
              <w:ind w:firstLine="0"/>
            </w:pPr>
            <w:r>
              <w:rPr>
                <w:rFonts w:hint="eastAsia"/>
              </w:rPr>
              <w:t>0</w:t>
            </w:r>
          </w:p>
        </w:tc>
        <w:tc>
          <w:tcPr>
            <w:tcW w:w="1276" w:type="dxa"/>
            <w:vAlign w:val="center"/>
          </w:tcPr>
          <w:p>
            <w:pPr>
              <w:pStyle w:val="57"/>
              <w:spacing w:beforeLines="0" w:afterLines="0" w:line="240" w:lineRule="auto"/>
              <w:ind w:firstLine="0"/>
            </w:pPr>
            <w:r>
              <w:rPr>
                <w:rFonts w:hint="eastAsia"/>
              </w:rPr>
              <w:t>0</w:t>
            </w:r>
          </w:p>
        </w:tc>
        <w:tc>
          <w:tcPr>
            <w:tcW w:w="1701" w:type="dxa"/>
            <w:vAlign w:val="center"/>
          </w:tcPr>
          <w:p>
            <w:pPr>
              <w:pStyle w:val="57"/>
              <w:spacing w:beforeLines="0" w:afterLines="0" w:line="240" w:lineRule="auto"/>
              <w:rPr>
                <w:rFonts w:hAnsi="宋体" w:cs="宋体"/>
                <w:snapToGrid w:val="0"/>
                <w:kern w:val="21"/>
              </w:rPr>
            </w:pPr>
            <w:r>
              <w:rPr>
                <w:rFonts w:hint="eastAsia" w:hAnsi="宋体" w:cs="宋体"/>
                <w:snapToGrid w:val="0"/>
                <w:kern w:val="21"/>
              </w:rPr>
              <w:t>0</w:t>
            </w:r>
          </w:p>
        </w:tc>
        <w:tc>
          <w:tcPr>
            <w:tcW w:w="1559" w:type="dxa"/>
            <w:vAlign w:val="center"/>
          </w:tcPr>
          <w:p>
            <w:pPr>
              <w:pStyle w:val="57"/>
              <w:spacing w:beforeLines="0" w:afterLines="0" w:line="240" w:lineRule="auto"/>
              <w:ind w:firstLine="0"/>
            </w:pPr>
            <w:r>
              <w:rPr>
                <w:rFonts w:hint="eastAsia"/>
              </w:rPr>
              <w:t>1t/a</w:t>
            </w:r>
          </w:p>
        </w:tc>
        <w:tc>
          <w:tcPr>
            <w:tcW w:w="1761" w:type="dxa"/>
            <w:vAlign w:val="center"/>
          </w:tcPr>
          <w:p>
            <w:pPr>
              <w:pStyle w:val="57"/>
              <w:spacing w:beforeLines="0" w:afterLines="0" w:line="240" w:lineRule="auto"/>
              <w:ind w:firstLine="0"/>
            </w:pPr>
            <w:r>
              <w:rPr>
                <w:rFonts w:hint="eastAsia"/>
              </w:rPr>
              <w:t>0</w:t>
            </w:r>
          </w:p>
        </w:tc>
        <w:tc>
          <w:tcPr>
            <w:tcW w:w="1959" w:type="dxa"/>
            <w:vAlign w:val="center"/>
          </w:tcPr>
          <w:p>
            <w:pPr>
              <w:pStyle w:val="57"/>
              <w:spacing w:beforeLines="0" w:afterLines="0" w:line="240" w:lineRule="auto"/>
              <w:ind w:firstLine="0"/>
            </w:pPr>
            <w:r>
              <w:rPr>
                <w:rFonts w:hint="eastAsia"/>
              </w:rPr>
              <w:t>1t/a</w:t>
            </w:r>
          </w:p>
        </w:tc>
        <w:tc>
          <w:tcPr>
            <w:tcW w:w="826" w:type="dxa"/>
            <w:vAlign w:val="center"/>
          </w:tcPr>
          <w:p>
            <w:pPr>
              <w:pStyle w:val="57"/>
              <w:spacing w:beforeLines="0" w:afterLines="0" w:line="240" w:lineRule="auto"/>
              <w:ind w:firstLine="0"/>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7"/>
              <w:spacing w:beforeLines="0" w:afterLines="0" w:line="240" w:lineRule="auto"/>
              <w:rPr>
                <w:rFonts w:hAnsi="宋体" w:cs="宋体"/>
                <w:snapToGrid w:val="0"/>
                <w:kern w:val="21"/>
              </w:rPr>
            </w:pPr>
          </w:p>
        </w:tc>
        <w:tc>
          <w:tcPr>
            <w:tcW w:w="1417" w:type="dxa"/>
            <w:vAlign w:val="center"/>
          </w:tcPr>
          <w:p>
            <w:pPr>
              <w:pStyle w:val="57"/>
              <w:spacing w:beforeLines="0" w:afterLines="0" w:line="240" w:lineRule="auto"/>
              <w:ind w:firstLine="0"/>
            </w:pPr>
            <w:r>
              <w:rPr>
                <w:rFonts w:hint="eastAsia"/>
              </w:rPr>
              <w:t>废油桶</w:t>
            </w:r>
          </w:p>
        </w:tc>
        <w:tc>
          <w:tcPr>
            <w:tcW w:w="1701" w:type="dxa"/>
            <w:vAlign w:val="center"/>
          </w:tcPr>
          <w:p>
            <w:pPr>
              <w:pStyle w:val="57"/>
              <w:spacing w:beforeLines="0" w:afterLines="0" w:line="240" w:lineRule="auto"/>
              <w:ind w:firstLine="0"/>
            </w:pPr>
            <w:r>
              <w:rPr>
                <w:rFonts w:hint="eastAsia"/>
              </w:rPr>
              <w:t>0</w:t>
            </w:r>
          </w:p>
        </w:tc>
        <w:tc>
          <w:tcPr>
            <w:tcW w:w="1276" w:type="dxa"/>
            <w:vAlign w:val="center"/>
          </w:tcPr>
          <w:p>
            <w:pPr>
              <w:pStyle w:val="57"/>
              <w:spacing w:beforeLines="0" w:afterLines="0" w:line="240" w:lineRule="auto"/>
              <w:ind w:firstLine="0"/>
            </w:pPr>
            <w:r>
              <w:rPr>
                <w:rFonts w:hint="eastAsia"/>
              </w:rPr>
              <w:t>0</w:t>
            </w:r>
          </w:p>
        </w:tc>
        <w:tc>
          <w:tcPr>
            <w:tcW w:w="1701" w:type="dxa"/>
            <w:vAlign w:val="center"/>
          </w:tcPr>
          <w:p>
            <w:pPr>
              <w:pStyle w:val="57"/>
              <w:spacing w:beforeLines="0" w:afterLines="0" w:line="240" w:lineRule="auto"/>
              <w:rPr>
                <w:rFonts w:hAnsi="宋体" w:cs="宋体"/>
                <w:snapToGrid w:val="0"/>
                <w:kern w:val="21"/>
              </w:rPr>
            </w:pPr>
            <w:r>
              <w:rPr>
                <w:rFonts w:hint="eastAsia" w:hAnsi="宋体" w:cs="宋体"/>
                <w:snapToGrid w:val="0"/>
                <w:kern w:val="21"/>
              </w:rPr>
              <w:t>0</w:t>
            </w:r>
          </w:p>
        </w:tc>
        <w:tc>
          <w:tcPr>
            <w:tcW w:w="1559" w:type="dxa"/>
            <w:vAlign w:val="center"/>
          </w:tcPr>
          <w:p>
            <w:pPr>
              <w:pStyle w:val="57"/>
              <w:spacing w:beforeLines="0" w:afterLines="0" w:line="240" w:lineRule="auto"/>
              <w:ind w:firstLine="0"/>
            </w:pPr>
            <w:r>
              <w:rPr>
                <w:rFonts w:hint="eastAsia"/>
              </w:rPr>
              <w:t>0.025t/a</w:t>
            </w:r>
          </w:p>
        </w:tc>
        <w:tc>
          <w:tcPr>
            <w:tcW w:w="1761" w:type="dxa"/>
            <w:vAlign w:val="center"/>
          </w:tcPr>
          <w:p>
            <w:pPr>
              <w:pStyle w:val="57"/>
              <w:spacing w:beforeLines="0" w:afterLines="0" w:line="240" w:lineRule="auto"/>
              <w:ind w:firstLine="0"/>
            </w:pPr>
            <w:r>
              <w:rPr>
                <w:rFonts w:hint="eastAsia"/>
              </w:rPr>
              <w:t>0</w:t>
            </w:r>
          </w:p>
        </w:tc>
        <w:tc>
          <w:tcPr>
            <w:tcW w:w="1959" w:type="dxa"/>
            <w:vAlign w:val="center"/>
          </w:tcPr>
          <w:p>
            <w:pPr>
              <w:pStyle w:val="57"/>
              <w:spacing w:beforeLines="0" w:afterLines="0" w:line="240" w:lineRule="auto"/>
              <w:ind w:firstLine="0"/>
            </w:pPr>
            <w:r>
              <w:rPr>
                <w:rFonts w:hint="eastAsia"/>
              </w:rPr>
              <w:t>0.025t/a</w:t>
            </w:r>
          </w:p>
        </w:tc>
        <w:tc>
          <w:tcPr>
            <w:tcW w:w="826" w:type="dxa"/>
            <w:vAlign w:val="center"/>
          </w:tcPr>
          <w:p>
            <w:pPr>
              <w:pStyle w:val="57"/>
              <w:spacing w:beforeLines="0" w:afterLines="0" w:line="240" w:lineRule="auto"/>
              <w:ind w:firstLine="0"/>
            </w:pPr>
            <w:r>
              <w:rPr>
                <w:rFonts w:hint="eastAsia"/>
              </w:rPr>
              <w:t>0</w:t>
            </w:r>
          </w:p>
        </w:tc>
      </w:tr>
    </w:tbl>
    <w:p>
      <w:pPr>
        <w:pStyle w:val="57"/>
        <w:spacing w:before="192" w:beforeLines="80" w:after="24"/>
        <w:jc w:val="left"/>
        <w:rPr>
          <w:rFonts w:hAnsi="宋体"/>
          <w:snapToGrid w:val="0"/>
          <w:spacing w:val="-6"/>
          <w:kern w:val="21"/>
        </w:rPr>
      </w:pPr>
      <w:r>
        <w:rPr>
          <w:rFonts w:hAnsi="宋体"/>
          <w:snapToGrid w:val="0"/>
          <w:kern w:val="21"/>
        </w:rPr>
        <w:t>注：</w:t>
      </w:r>
      <w:r>
        <w:rPr>
          <w:rFonts w:hAnsi="宋体"/>
          <w:snapToGrid w:val="0"/>
          <w:spacing w:val="-16"/>
          <w:kern w:val="21"/>
        </w:rPr>
        <w:fldChar w:fldCharType="begin"/>
      </w:r>
      <w:r>
        <w:rPr>
          <w:rFonts w:hAnsi="宋体"/>
          <w:snapToGrid w:val="0"/>
          <w:spacing w:val="-16"/>
          <w:kern w:val="21"/>
        </w:rPr>
        <w:instrText xml:space="preserve"> = 6 \* GB3 \* MERGEFORMAT </w:instrText>
      </w:r>
      <w:r>
        <w:rPr>
          <w:rFonts w:hAnsi="宋体"/>
          <w:snapToGrid w:val="0"/>
          <w:spacing w:val="-16"/>
          <w:kern w:val="21"/>
        </w:rPr>
        <w:fldChar w:fldCharType="separate"/>
      </w:r>
      <w:r>
        <w:rPr>
          <w:rFonts w:hint="eastAsia" w:hAnsi="宋体"/>
        </w:rPr>
        <w:t>⑥</w:t>
      </w:r>
      <w:r>
        <w:rPr>
          <w:rFonts w:hAnsi="宋体"/>
          <w:snapToGrid w:val="0"/>
          <w:spacing w:val="-16"/>
          <w:kern w:val="21"/>
        </w:rPr>
        <w:fldChar w:fldCharType="end"/>
      </w:r>
      <w:r>
        <w:rPr>
          <w:rFonts w:hAnsi="宋体"/>
          <w:snapToGrid w:val="0"/>
          <w:spacing w:val="-16"/>
          <w:kern w:val="21"/>
        </w:rPr>
        <w:t>=</w:t>
      </w:r>
      <w:r>
        <w:rPr>
          <w:rFonts w:hAnsi="宋体"/>
          <w:snapToGrid w:val="0"/>
          <w:spacing w:val="-6"/>
          <w:kern w:val="21"/>
        </w:rPr>
        <w:fldChar w:fldCharType="begin"/>
      </w:r>
      <w:r>
        <w:rPr>
          <w:rFonts w:hAnsi="宋体"/>
          <w:snapToGrid w:val="0"/>
          <w:spacing w:val="-6"/>
          <w:kern w:val="21"/>
        </w:rPr>
        <w:instrText xml:space="preserve"> = 1 \* GB3 \* MERGEFORMAT </w:instrText>
      </w:r>
      <w:r>
        <w:rPr>
          <w:rFonts w:hAnsi="宋体"/>
          <w:snapToGrid w:val="0"/>
          <w:spacing w:val="-6"/>
          <w:kern w:val="21"/>
        </w:rPr>
        <w:fldChar w:fldCharType="separate"/>
      </w:r>
      <w:r>
        <w:rPr>
          <w:rFonts w:hint="eastAsia" w:hAnsi="宋体"/>
        </w:rPr>
        <w:t>①</w:t>
      </w:r>
      <w:r>
        <w:rPr>
          <w:rFonts w:hAnsi="宋体"/>
          <w:snapToGrid w:val="0"/>
          <w:spacing w:val="-6"/>
          <w:kern w:val="21"/>
        </w:rPr>
        <w:fldChar w:fldCharType="end"/>
      </w:r>
      <w:r>
        <w:rPr>
          <w:rFonts w:hAnsi="宋体"/>
          <w:snapToGrid w:val="0"/>
          <w:spacing w:val="-6"/>
          <w:kern w:val="21"/>
        </w:rPr>
        <w:t>+</w:t>
      </w:r>
      <w:r>
        <w:rPr>
          <w:rFonts w:hAnsi="宋体"/>
          <w:snapToGrid w:val="0"/>
          <w:spacing w:val="-6"/>
          <w:kern w:val="21"/>
        </w:rPr>
        <w:fldChar w:fldCharType="begin"/>
      </w:r>
      <w:r>
        <w:rPr>
          <w:rFonts w:hAnsi="宋体"/>
          <w:snapToGrid w:val="0"/>
          <w:spacing w:val="-6"/>
          <w:kern w:val="21"/>
        </w:rPr>
        <w:instrText xml:space="preserve"> = 3 \* GB3 \* MERGEFORMAT </w:instrText>
      </w:r>
      <w:r>
        <w:rPr>
          <w:rFonts w:hAnsi="宋体"/>
          <w:snapToGrid w:val="0"/>
          <w:spacing w:val="-6"/>
          <w:kern w:val="21"/>
        </w:rPr>
        <w:fldChar w:fldCharType="separate"/>
      </w:r>
      <w:r>
        <w:rPr>
          <w:rFonts w:hint="eastAsia" w:hAnsi="宋体"/>
        </w:rPr>
        <w:t>③</w:t>
      </w:r>
      <w:r>
        <w:rPr>
          <w:rFonts w:hAnsi="宋体"/>
          <w:snapToGrid w:val="0"/>
          <w:spacing w:val="-6"/>
          <w:kern w:val="21"/>
        </w:rPr>
        <w:fldChar w:fldCharType="end"/>
      </w:r>
      <w:r>
        <w:rPr>
          <w:rFonts w:hAnsi="宋体"/>
          <w:snapToGrid w:val="0"/>
          <w:spacing w:val="-6"/>
          <w:kern w:val="21"/>
        </w:rPr>
        <w:t>+</w:t>
      </w:r>
      <w:r>
        <w:rPr>
          <w:rFonts w:hAnsi="宋体"/>
          <w:snapToGrid w:val="0"/>
          <w:spacing w:val="-6"/>
          <w:kern w:val="21"/>
        </w:rPr>
        <w:fldChar w:fldCharType="begin"/>
      </w:r>
      <w:r>
        <w:rPr>
          <w:rFonts w:hAnsi="宋体"/>
          <w:snapToGrid w:val="0"/>
          <w:spacing w:val="-6"/>
          <w:kern w:val="21"/>
        </w:rPr>
        <w:instrText xml:space="preserve"> = 4 \* GB3 \* MERGEFORMAT </w:instrText>
      </w:r>
      <w:r>
        <w:rPr>
          <w:rFonts w:hAnsi="宋体"/>
          <w:snapToGrid w:val="0"/>
          <w:spacing w:val="-6"/>
          <w:kern w:val="21"/>
        </w:rPr>
        <w:fldChar w:fldCharType="separate"/>
      </w:r>
      <w:r>
        <w:rPr>
          <w:rFonts w:hint="eastAsia" w:hAnsi="宋体"/>
        </w:rPr>
        <w:t>④</w:t>
      </w:r>
      <w:r>
        <w:rPr>
          <w:rFonts w:hAnsi="宋体"/>
          <w:snapToGrid w:val="0"/>
          <w:spacing w:val="-6"/>
          <w:kern w:val="21"/>
        </w:rPr>
        <w:fldChar w:fldCharType="end"/>
      </w:r>
      <w:r>
        <w:rPr>
          <w:rFonts w:hAnsi="宋体"/>
          <w:snapToGrid w:val="0"/>
          <w:spacing w:val="-6"/>
          <w:kern w:val="21"/>
        </w:rPr>
        <w:t>-</w:t>
      </w:r>
      <w:r>
        <w:rPr>
          <w:rFonts w:hAnsi="宋体"/>
          <w:snapToGrid w:val="0"/>
          <w:spacing w:val="-16"/>
          <w:kern w:val="21"/>
        </w:rPr>
        <w:fldChar w:fldCharType="begin"/>
      </w:r>
      <w:r>
        <w:rPr>
          <w:rFonts w:hAnsi="宋体"/>
          <w:snapToGrid w:val="0"/>
          <w:spacing w:val="-16"/>
          <w:kern w:val="21"/>
        </w:rPr>
        <w:instrText xml:space="preserve"> = 5 \* GB3 \* MERGEFORMAT </w:instrText>
      </w:r>
      <w:r>
        <w:rPr>
          <w:rFonts w:hAnsi="宋体"/>
          <w:snapToGrid w:val="0"/>
          <w:spacing w:val="-16"/>
          <w:kern w:val="21"/>
        </w:rPr>
        <w:fldChar w:fldCharType="separate"/>
      </w:r>
      <w:r>
        <w:rPr>
          <w:rFonts w:hint="eastAsia" w:hAnsi="宋体"/>
        </w:rPr>
        <w:t>⑤</w:t>
      </w:r>
      <w:r>
        <w:rPr>
          <w:rFonts w:hAnsi="宋体"/>
          <w:snapToGrid w:val="0"/>
          <w:spacing w:val="-16"/>
          <w:kern w:val="21"/>
        </w:rPr>
        <w:fldChar w:fldCharType="end"/>
      </w:r>
      <w:r>
        <w:rPr>
          <w:rFonts w:hAnsi="宋体"/>
          <w:snapToGrid w:val="0"/>
          <w:spacing w:val="-16"/>
          <w:kern w:val="21"/>
        </w:rPr>
        <w:t>；</w:t>
      </w:r>
      <w:r>
        <w:rPr>
          <w:rFonts w:hAnsi="宋体"/>
          <w:snapToGrid w:val="0"/>
          <w:spacing w:val="-6"/>
          <w:kern w:val="21"/>
        </w:rPr>
        <w:fldChar w:fldCharType="begin"/>
      </w:r>
      <w:r>
        <w:rPr>
          <w:rFonts w:hAnsi="宋体"/>
          <w:snapToGrid w:val="0"/>
          <w:spacing w:val="-6"/>
          <w:kern w:val="21"/>
        </w:rPr>
        <w:instrText xml:space="preserve"> = 7 \* GB3 \* MERGEFORMAT </w:instrText>
      </w:r>
      <w:r>
        <w:rPr>
          <w:rFonts w:hAnsi="宋体"/>
          <w:snapToGrid w:val="0"/>
          <w:spacing w:val="-6"/>
          <w:kern w:val="21"/>
        </w:rPr>
        <w:fldChar w:fldCharType="separate"/>
      </w:r>
      <w:r>
        <w:rPr>
          <w:rFonts w:hint="eastAsia" w:hAnsi="宋体"/>
        </w:rPr>
        <w:t>⑦</w:t>
      </w:r>
      <w:r>
        <w:rPr>
          <w:rFonts w:hAnsi="宋体"/>
          <w:snapToGrid w:val="0"/>
          <w:spacing w:val="-6"/>
          <w:kern w:val="21"/>
        </w:rPr>
        <w:fldChar w:fldCharType="end"/>
      </w:r>
      <w:r>
        <w:rPr>
          <w:rFonts w:hAnsi="宋体"/>
          <w:snapToGrid w:val="0"/>
          <w:spacing w:val="-6"/>
          <w:kern w:val="21"/>
        </w:rPr>
        <w:t>=</w:t>
      </w:r>
      <w:r>
        <w:rPr>
          <w:rFonts w:hAnsi="宋体"/>
          <w:snapToGrid w:val="0"/>
          <w:spacing w:val="-16"/>
          <w:kern w:val="21"/>
        </w:rPr>
        <w:fldChar w:fldCharType="begin"/>
      </w:r>
      <w:r>
        <w:rPr>
          <w:rFonts w:hAnsi="宋体"/>
          <w:snapToGrid w:val="0"/>
          <w:spacing w:val="-16"/>
          <w:kern w:val="21"/>
        </w:rPr>
        <w:instrText xml:space="preserve"> = 6 \* GB3 \* MERGEFORMAT </w:instrText>
      </w:r>
      <w:r>
        <w:rPr>
          <w:rFonts w:hAnsi="宋体"/>
          <w:snapToGrid w:val="0"/>
          <w:spacing w:val="-16"/>
          <w:kern w:val="21"/>
        </w:rPr>
        <w:fldChar w:fldCharType="separate"/>
      </w:r>
      <w:r>
        <w:rPr>
          <w:rFonts w:hint="eastAsia" w:hAnsi="宋体"/>
        </w:rPr>
        <w:t>⑥</w:t>
      </w:r>
      <w:r>
        <w:rPr>
          <w:rFonts w:hAnsi="宋体"/>
          <w:snapToGrid w:val="0"/>
          <w:spacing w:val="-16"/>
          <w:kern w:val="21"/>
        </w:rPr>
        <w:fldChar w:fldCharType="end"/>
      </w:r>
      <w:r>
        <w:rPr>
          <w:rFonts w:hAnsi="宋体"/>
          <w:snapToGrid w:val="0"/>
          <w:spacing w:val="-16"/>
          <w:kern w:val="21"/>
        </w:rPr>
        <w:t>-</w:t>
      </w:r>
      <w:r>
        <w:rPr>
          <w:rFonts w:hAnsi="宋体"/>
          <w:snapToGrid w:val="0"/>
          <w:spacing w:val="-6"/>
          <w:kern w:val="21"/>
        </w:rPr>
        <w:fldChar w:fldCharType="begin"/>
      </w:r>
      <w:r>
        <w:rPr>
          <w:rFonts w:hAnsi="宋体"/>
          <w:snapToGrid w:val="0"/>
          <w:spacing w:val="-6"/>
          <w:kern w:val="21"/>
        </w:rPr>
        <w:instrText xml:space="preserve"> = 1 \* GB3 \* MERGEFORMAT </w:instrText>
      </w:r>
      <w:r>
        <w:rPr>
          <w:rFonts w:hAnsi="宋体"/>
          <w:snapToGrid w:val="0"/>
          <w:spacing w:val="-6"/>
          <w:kern w:val="21"/>
        </w:rPr>
        <w:fldChar w:fldCharType="separate"/>
      </w:r>
      <w:r>
        <w:rPr>
          <w:rFonts w:hint="eastAsia" w:hAnsi="宋体"/>
        </w:rPr>
        <w:t>①</w:t>
      </w:r>
      <w:r>
        <w:rPr>
          <w:rFonts w:hAnsi="宋体"/>
          <w:snapToGrid w:val="0"/>
          <w:spacing w:val="-6"/>
          <w:kern w:val="21"/>
        </w:rPr>
        <w:fldChar w:fldCharType="end"/>
      </w:r>
    </w:p>
    <w:p>
      <w:pPr>
        <w:pStyle w:val="21"/>
        <w:ind w:firstLine="0" w:firstLineChars="0"/>
      </w:pPr>
    </w:p>
    <w:p/>
    <w:sectPr>
      <w:pgSz w:w="16838" w:h="11906" w:orient="landscape"/>
      <w:pgMar w:top="1440" w:right="1440" w:bottom="1440" w:left="1440" w:header="851" w:footer="1077"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TimesNewRomanPS-BoldMT">
    <w:altName w:val="宋体"/>
    <w:panose1 w:val="00000000000000000000"/>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mc:AlternateContent>
        <mc:Choice Requires="wps">
          <w:drawing>
            <wp:anchor distT="0" distB="0" distL="114300" distR="114300" simplePos="0" relativeHeight="251660288" behindDoc="0" locked="0" layoutInCell="1" allowOverlap="1">
              <wp:simplePos x="0" y="0"/>
              <wp:positionH relativeFrom="margin">
                <wp:posOffset>2806700</wp:posOffset>
              </wp:positionH>
              <wp:positionV relativeFrom="paragraph">
                <wp:posOffset>-1270</wp:posOffset>
              </wp:positionV>
              <wp:extent cx="381635" cy="182880"/>
              <wp:effectExtent l="0" t="0" r="18415" b="7620"/>
              <wp:wrapNone/>
              <wp:docPr id="41" name="文本框 1"/>
              <wp:cNvGraphicFramePr/>
              <a:graphic xmlns:a="http://schemas.openxmlformats.org/drawingml/2006/main">
                <a:graphicData uri="http://schemas.microsoft.com/office/word/2010/wordprocessingShape">
                  <wps:wsp>
                    <wps:cNvSpPr txBox="1"/>
                    <wps:spPr>
                      <a:xfrm>
                        <a:off x="0" y="0"/>
                        <a:ext cx="381663" cy="18288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r>
                            <w:t xml:space="preserve"> </w:t>
                          </w:r>
                        </w:p>
                      </w:txbxContent>
                    </wps:txbx>
                    <wps:bodyPr wrap="square" lIns="0" tIns="0" rIns="0" bIns="0">
                      <a:noAutofit/>
                    </wps:bodyPr>
                  </wps:wsp>
                </a:graphicData>
              </a:graphic>
            </wp:anchor>
          </w:drawing>
        </mc:Choice>
        <mc:Fallback>
          <w:pict>
            <v:shape id="文本框 1" o:spid="_x0000_s1026" o:spt="202" type="#_x0000_t202" style="position:absolute;left:0pt;margin-left:221pt;margin-top:-0.1pt;height:14.4pt;width:30.05pt;mso-position-horizontal-relative:margin;z-index:251660288;mso-width-relative:page;mso-height-relative:page;" filled="f" stroked="f" coordsize="21600,21600" o:gfxdata="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4e0CTYAAAACAEAAA8AAAAAAAAAAQAgAAAAIgAAAGRycy9k&#10;b3ducmV2LnhtbFBLAQIUABQAAAAIAIdO4kDK1XffyQEAAI4DAAAOAAAAAAAAAAEAIAAAACcBAABk&#10;cnMvZTJvRG9jLnhtbFBLBQYAAAAABgAGAFkBAABiBQAAAAA=&#10;">
              <v:fill on="f" focussize="0,0"/>
              <v:stroke on="f"/>
              <v:imagedata o:title=""/>
              <o:lock v:ext="edit" aspectratio="f"/>
              <v:textbox inset="0mm,0mm,0mm,0mm">
                <w:txbxContent>
                  <w:p>
                    <w:pPr>
                      <w:pStyle w:val="2"/>
                    </w:pP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FF0488"/>
    <w:multiLevelType w:val="singleLevel"/>
    <w:tmpl w:val="11FF0488"/>
    <w:lvl w:ilvl="0" w:tentative="0">
      <w:start w:val="1"/>
      <w:numFmt w:val="decimal"/>
      <w:suff w:val="nothing"/>
      <w:lvlText w:val="%1、"/>
      <w:lvlJc w:val="left"/>
      <w:pPr>
        <w:ind w:left="942"/>
      </w:pPr>
    </w:lvl>
  </w:abstractNum>
  <w:abstractNum w:abstractNumId="1">
    <w:nsid w:val="13C52412"/>
    <w:multiLevelType w:val="multilevel"/>
    <w:tmpl w:val="13C52412"/>
    <w:lvl w:ilvl="0" w:tentative="0">
      <w:start w:val="6"/>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CF523F9"/>
    <w:multiLevelType w:val="multilevel"/>
    <w:tmpl w:val="1CF523F9"/>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339E68F4"/>
    <w:multiLevelType w:val="multilevel"/>
    <w:tmpl w:val="339E68F4"/>
    <w:lvl w:ilvl="0" w:tentative="0">
      <w:start w:val="1"/>
      <w:numFmt w:val="decimal"/>
      <w:lvlText w:val="表%1  "/>
      <w:lvlJc w:val="left"/>
      <w:pPr>
        <w:ind w:left="987" w:hanging="420"/>
      </w:pPr>
      <w:rPr>
        <w:rFonts w:hint="default" w:ascii="Times New Roman" w:hAnsi="Times New Roman" w:eastAsia="黑体" w:cs="Times New Roman"/>
        <w:b w:val="0"/>
        <w:bCs/>
        <w:sz w:val="24"/>
        <w:szCs w:val="24"/>
      </w:r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4">
    <w:nsid w:val="75FC1C24"/>
    <w:multiLevelType w:val="multilevel"/>
    <w:tmpl w:val="75FC1C24"/>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0ZjBhZjUwYWU3MDlkYjRiNjQ3NWE4MTI3NWQ2OGUifQ=="/>
    <w:docVar w:name="KSO_WPS_MARK_KEY" w:val="a8cbdcee-f023-4b7b-93ba-783c9c31a715"/>
  </w:docVars>
  <w:rsids>
    <w:rsidRoot w:val="00EB1A03"/>
    <w:rsid w:val="000002BB"/>
    <w:rsid w:val="000033BC"/>
    <w:rsid w:val="00017E38"/>
    <w:rsid w:val="00022DB9"/>
    <w:rsid w:val="00042DD9"/>
    <w:rsid w:val="00047CC6"/>
    <w:rsid w:val="00052619"/>
    <w:rsid w:val="000564BA"/>
    <w:rsid w:val="00060833"/>
    <w:rsid w:val="00065C40"/>
    <w:rsid w:val="00074C0A"/>
    <w:rsid w:val="0008129D"/>
    <w:rsid w:val="00082A72"/>
    <w:rsid w:val="00083AED"/>
    <w:rsid w:val="00084E41"/>
    <w:rsid w:val="000904A3"/>
    <w:rsid w:val="000A2C5B"/>
    <w:rsid w:val="000A67C6"/>
    <w:rsid w:val="000B4466"/>
    <w:rsid w:val="000C5921"/>
    <w:rsid w:val="000D1C08"/>
    <w:rsid w:val="000E654F"/>
    <w:rsid w:val="000E6A46"/>
    <w:rsid w:val="000E709B"/>
    <w:rsid w:val="000F331A"/>
    <w:rsid w:val="000F6BB4"/>
    <w:rsid w:val="00104032"/>
    <w:rsid w:val="00117A95"/>
    <w:rsid w:val="00120B51"/>
    <w:rsid w:val="00131ADD"/>
    <w:rsid w:val="00133C37"/>
    <w:rsid w:val="00137D69"/>
    <w:rsid w:val="001423DD"/>
    <w:rsid w:val="00147688"/>
    <w:rsid w:val="001530B2"/>
    <w:rsid w:val="00154B04"/>
    <w:rsid w:val="001625BC"/>
    <w:rsid w:val="001644EA"/>
    <w:rsid w:val="001809BC"/>
    <w:rsid w:val="00185945"/>
    <w:rsid w:val="001879BA"/>
    <w:rsid w:val="00197910"/>
    <w:rsid w:val="001979AA"/>
    <w:rsid w:val="001A17E4"/>
    <w:rsid w:val="001A4034"/>
    <w:rsid w:val="001C29AD"/>
    <w:rsid w:val="001C34EC"/>
    <w:rsid w:val="001D0668"/>
    <w:rsid w:val="001D258F"/>
    <w:rsid w:val="001D57DD"/>
    <w:rsid w:val="001E1533"/>
    <w:rsid w:val="001E1ED8"/>
    <w:rsid w:val="001E472E"/>
    <w:rsid w:val="001F2DEA"/>
    <w:rsid w:val="002030BD"/>
    <w:rsid w:val="00221791"/>
    <w:rsid w:val="00224F89"/>
    <w:rsid w:val="00231D68"/>
    <w:rsid w:val="00232F74"/>
    <w:rsid w:val="00241DDD"/>
    <w:rsid w:val="00245460"/>
    <w:rsid w:val="00252A37"/>
    <w:rsid w:val="00252A9F"/>
    <w:rsid w:val="002564F5"/>
    <w:rsid w:val="00260D74"/>
    <w:rsid w:val="0026361F"/>
    <w:rsid w:val="002637D9"/>
    <w:rsid w:val="00266576"/>
    <w:rsid w:val="00267DA6"/>
    <w:rsid w:val="00276490"/>
    <w:rsid w:val="002816FA"/>
    <w:rsid w:val="00285DE0"/>
    <w:rsid w:val="002917EA"/>
    <w:rsid w:val="002955BD"/>
    <w:rsid w:val="002A212A"/>
    <w:rsid w:val="002B1A7F"/>
    <w:rsid w:val="002B5C84"/>
    <w:rsid w:val="002C1BA7"/>
    <w:rsid w:val="002C4951"/>
    <w:rsid w:val="002D3141"/>
    <w:rsid w:val="002D6BC0"/>
    <w:rsid w:val="002D7946"/>
    <w:rsid w:val="002E7124"/>
    <w:rsid w:val="002F66AD"/>
    <w:rsid w:val="0031350A"/>
    <w:rsid w:val="0031506E"/>
    <w:rsid w:val="00317F92"/>
    <w:rsid w:val="003250FC"/>
    <w:rsid w:val="0032793D"/>
    <w:rsid w:val="00337F84"/>
    <w:rsid w:val="00344273"/>
    <w:rsid w:val="00344590"/>
    <w:rsid w:val="003458AA"/>
    <w:rsid w:val="00360311"/>
    <w:rsid w:val="00366504"/>
    <w:rsid w:val="00366FFA"/>
    <w:rsid w:val="00390F91"/>
    <w:rsid w:val="0039483B"/>
    <w:rsid w:val="00395C61"/>
    <w:rsid w:val="00395D72"/>
    <w:rsid w:val="003977C5"/>
    <w:rsid w:val="003A13CB"/>
    <w:rsid w:val="003A1560"/>
    <w:rsid w:val="003A22F1"/>
    <w:rsid w:val="003A4C64"/>
    <w:rsid w:val="003A6E46"/>
    <w:rsid w:val="003B0642"/>
    <w:rsid w:val="003B1EED"/>
    <w:rsid w:val="003B3643"/>
    <w:rsid w:val="003B705A"/>
    <w:rsid w:val="003B78B4"/>
    <w:rsid w:val="003C1906"/>
    <w:rsid w:val="003C2924"/>
    <w:rsid w:val="003D6A1A"/>
    <w:rsid w:val="003E29CF"/>
    <w:rsid w:val="003E464D"/>
    <w:rsid w:val="0040609E"/>
    <w:rsid w:val="0041347A"/>
    <w:rsid w:val="00413980"/>
    <w:rsid w:val="004261A2"/>
    <w:rsid w:val="00426F4F"/>
    <w:rsid w:val="00450EB1"/>
    <w:rsid w:val="00452807"/>
    <w:rsid w:val="004631D0"/>
    <w:rsid w:val="0046628F"/>
    <w:rsid w:val="00475617"/>
    <w:rsid w:val="00480833"/>
    <w:rsid w:val="00482B31"/>
    <w:rsid w:val="004856EE"/>
    <w:rsid w:val="00485BED"/>
    <w:rsid w:val="004933C9"/>
    <w:rsid w:val="0049671F"/>
    <w:rsid w:val="004970A2"/>
    <w:rsid w:val="004A5A49"/>
    <w:rsid w:val="004A66D1"/>
    <w:rsid w:val="004B5CF0"/>
    <w:rsid w:val="004B6CE5"/>
    <w:rsid w:val="004C14CA"/>
    <w:rsid w:val="004C6BBD"/>
    <w:rsid w:val="004C7AB9"/>
    <w:rsid w:val="004D2B0E"/>
    <w:rsid w:val="004E1088"/>
    <w:rsid w:val="004F2D80"/>
    <w:rsid w:val="004F49AD"/>
    <w:rsid w:val="00503495"/>
    <w:rsid w:val="00505BF0"/>
    <w:rsid w:val="00507E6D"/>
    <w:rsid w:val="00512C64"/>
    <w:rsid w:val="00524208"/>
    <w:rsid w:val="00524F72"/>
    <w:rsid w:val="005304AB"/>
    <w:rsid w:val="005311FF"/>
    <w:rsid w:val="005322CB"/>
    <w:rsid w:val="0053431E"/>
    <w:rsid w:val="005420D2"/>
    <w:rsid w:val="00550F02"/>
    <w:rsid w:val="00552338"/>
    <w:rsid w:val="00556709"/>
    <w:rsid w:val="005618F7"/>
    <w:rsid w:val="00574F1B"/>
    <w:rsid w:val="00585871"/>
    <w:rsid w:val="00592E7D"/>
    <w:rsid w:val="005937CD"/>
    <w:rsid w:val="005C3A30"/>
    <w:rsid w:val="005C53AD"/>
    <w:rsid w:val="005C624A"/>
    <w:rsid w:val="005C7CF3"/>
    <w:rsid w:val="005E6D45"/>
    <w:rsid w:val="005F7F16"/>
    <w:rsid w:val="00600CBF"/>
    <w:rsid w:val="00602284"/>
    <w:rsid w:val="00621576"/>
    <w:rsid w:val="00624CE0"/>
    <w:rsid w:val="006325B3"/>
    <w:rsid w:val="00640E0A"/>
    <w:rsid w:val="00642EB2"/>
    <w:rsid w:val="00644CC1"/>
    <w:rsid w:val="0064711A"/>
    <w:rsid w:val="006609BE"/>
    <w:rsid w:val="00670364"/>
    <w:rsid w:val="00670E38"/>
    <w:rsid w:val="00673514"/>
    <w:rsid w:val="0067477F"/>
    <w:rsid w:val="006800C2"/>
    <w:rsid w:val="0068057C"/>
    <w:rsid w:val="00680EB2"/>
    <w:rsid w:val="006A1BBE"/>
    <w:rsid w:val="006A1F60"/>
    <w:rsid w:val="006A2E58"/>
    <w:rsid w:val="006A7E4B"/>
    <w:rsid w:val="006B200C"/>
    <w:rsid w:val="006B2589"/>
    <w:rsid w:val="006C0C42"/>
    <w:rsid w:val="006C1C52"/>
    <w:rsid w:val="006C3054"/>
    <w:rsid w:val="006D0AA9"/>
    <w:rsid w:val="006D39A7"/>
    <w:rsid w:val="006D3F70"/>
    <w:rsid w:val="006E0D1C"/>
    <w:rsid w:val="006F0A84"/>
    <w:rsid w:val="006F2325"/>
    <w:rsid w:val="0071053D"/>
    <w:rsid w:val="00723CAF"/>
    <w:rsid w:val="00724F95"/>
    <w:rsid w:val="00725BBC"/>
    <w:rsid w:val="007267E1"/>
    <w:rsid w:val="00735F9A"/>
    <w:rsid w:val="0074769C"/>
    <w:rsid w:val="00751D26"/>
    <w:rsid w:val="007554F4"/>
    <w:rsid w:val="00771C9E"/>
    <w:rsid w:val="0078149A"/>
    <w:rsid w:val="00791395"/>
    <w:rsid w:val="0079509B"/>
    <w:rsid w:val="007A212F"/>
    <w:rsid w:val="007A3D7A"/>
    <w:rsid w:val="007A489A"/>
    <w:rsid w:val="007A4BCC"/>
    <w:rsid w:val="007B3D3A"/>
    <w:rsid w:val="007B40DF"/>
    <w:rsid w:val="007B5903"/>
    <w:rsid w:val="007C563E"/>
    <w:rsid w:val="007C6A1E"/>
    <w:rsid w:val="007D0CED"/>
    <w:rsid w:val="007D3F0D"/>
    <w:rsid w:val="007E46CB"/>
    <w:rsid w:val="007E4C6E"/>
    <w:rsid w:val="00815C7F"/>
    <w:rsid w:val="00821687"/>
    <w:rsid w:val="00833FBC"/>
    <w:rsid w:val="008410B4"/>
    <w:rsid w:val="00847A9A"/>
    <w:rsid w:val="0085652A"/>
    <w:rsid w:val="00886B23"/>
    <w:rsid w:val="00890917"/>
    <w:rsid w:val="0089304C"/>
    <w:rsid w:val="0089548F"/>
    <w:rsid w:val="008A4EA9"/>
    <w:rsid w:val="008B0DE1"/>
    <w:rsid w:val="008B1B46"/>
    <w:rsid w:val="008C3372"/>
    <w:rsid w:val="008C4E88"/>
    <w:rsid w:val="008D1028"/>
    <w:rsid w:val="008D1371"/>
    <w:rsid w:val="008D7337"/>
    <w:rsid w:val="008E65DF"/>
    <w:rsid w:val="008F23B0"/>
    <w:rsid w:val="009035DD"/>
    <w:rsid w:val="00904A6C"/>
    <w:rsid w:val="00910C01"/>
    <w:rsid w:val="0091103E"/>
    <w:rsid w:val="00913BB0"/>
    <w:rsid w:val="0091498A"/>
    <w:rsid w:val="0091779E"/>
    <w:rsid w:val="00920478"/>
    <w:rsid w:val="00920FE4"/>
    <w:rsid w:val="00924B8B"/>
    <w:rsid w:val="009326C0"/>
    <w:rsid w:val="009341BE"/>
    <w:rsid w:val="009371D7"/>
    <w:rsid w:val="00943545"/>
    <w:rsid w:val="00955DD7"/>
    <w:rsid w:val="00956F8F"/>
    <w:rsid w:val="00960304"/>
    <w:rsid w:val="009705E3"/>
    <w:rsid w:val="00970A29"/>
    <w:rsid w:val="00983631"/>
    <w:rsid w:val="00984A65"/>
    <w:rsid w:val="00994E96"/>
    <w:rsid w:val="009A00AF"/>
    <w:rsid w:val="009A56B9"/>
    <w:rsid w:val="009B3424"/>
    <w:rsid w:val="009B579B"/>
    <w:rsid w:val="009D0B00"/>
    <w:rsid w:val="009D5932"/>
    <w:rsid w:val="009E40F0"/>
    <w:rsid w:val="009E477C"/>
    <w:rsid w:val="009E7816"/>
    <w:rsid w:val="009F4348"/>
    <w:rsid w:val="009F6259"/>
    <w:rsid w:val="00A03E08"/>
    <w:rsid w:val="00A13E03"/>
    <w:rsid w:val="00A2573F"/>
    <w:rsid w:val="00A45A65"/>
    <w:rsid w:val="00A64B86"/>
    <w:rsid w:val="00A672C0"/>
    <w:rsid w:val="00A8113C"/>
    <w:rsid w:val="00A857B2"/>
    <w:rsid w:val="00A94682"/>
    <w:rsid w:val="00A979F4"/>
    <w:rsid w:val="00AA34C7"/>
    <w:rsid w:val="00AA5C41"/>
    <w:rsid w:val="00AB23FD"/>
    <w:rsid w:val="00AB2F81"/>
    <w:rsid w:val="00AC0211"/>
    <w:rsid w:val="00AC2CEB"/>
    <w:rsid w:val="00AC5531"/>
    <w:rsid w:val="00AD0FE5"/>
    <w:rsid w:val="00AD6FB1"/>
    <w:rsid w:val="00AE1E8C"/>
    <w:rsid w:val="00AE4D75"/>
    <w:rsid w:val="00AE4F3C"/>
    <w:rsid w:val="00AF37B1"/>
    <w:rsid w:val="00AF3E16"/>
    <w:rsid w:val="00AF7991"/>
    <w:rsid w:val="00B0183F"/>
    <w:rsid w:val="00B1237F"/>
    <w:rsid w:val="00B12731"/>
    <w:rsid w:val="00B31B05"/>
    <w:rsid w:val="00B34BEC"/>
    <w:rsid w:val="00B3557C"/>
    <w:rsid w:val="00B3718E"/>
    <w:rsid w:val="00B42B0D"/>
    <w:rsid w:val="00B42D5E"/>
    <w:rsid w:val="00B47F35"/>
    <w:rsid w:val="00B503D8"/>
    <w:rsid w:val="00B551C3"/>
    <w:rsid w:val="00B64144"/>
    <w:rsid w:val="00B755AF"/>
    <w:rsid w:val="00B767E9"/>
    <w:rsid w:val="00B82127"/>
    <w:rsid w:val="00B8631B"/>
    <w:rsid w:val="00B86C0D"/>
    <w:rsid w:val="00B91B5D"/>
    <w:rsid w:val="00B95352"/>
    <w:rsid w:val="00BA66E1"/>
    <w:rsid w:val="00BB0501"/>
    <w:rsid w:val="00BB0C4E"/>
    <w:rsid w:val="00BC2B1F"/>
    <w:rsid w:val="00BC2E3A"/>
    <w:rsid w:val="00BE1B17"/>
    <w:rsid w:val="00BF26AC"/>
    <w:rsid w:val="00BF29B6"/>
    <w:rsid w:val="00C05368"/>
    <w:rsid w:val="00C06079"/>
    <w:rsid w:val="00C10A9D"/>
    <w:rsid w:val="00C14AF8"/>
    <w:rsid w:val="00C27CF6"/>
    <w:rsid w:val="00C35D51"/>
    <w:rsid w:val="00C36182"/>
    <w:rsid w:val="00C3748F"/>
    <w:rsid w:val="00C37DC3"/>
    <w:rsid w:val="00C40194"/>
    <w:rsid w:val="00C469A4"/>
    <w:rsid w:val="00C5353A"/>
    <w:rsid w:val="00C552A5"/>
    <w:rsid w:val="00C57601"/>
    <w:rsid w:val="00C60F17"/>
    <w:rsid w:val="00C61116"/>
    <w:rsid w:val="00C66167"/>
    <w:rsid w:val="00C72223"/>
    <w:rsid w:val="00C73E9B"/>
    <w:rsid w:val="00C76472"/>
    <w:rsid w:val="00C77C24"/>
    <w:rsid w:val="00C84EF7"/>
    <w:rsid w:val="00C92507"/>
    <w:rsid w:val="00CA124D"/>
    <w:rsid w:val="00CA32C6"/>
    <w:rsid w:val="00CA72E0"/>
    <w:rsid w:val="00CC5BFF"/>
    <w:rsid w:val="00CD3472"/>
    <w:rsid w:val="00CD67BF"/>
    <w:rsid w:val="00CE18FA"/>
    <w:rsid w:val="00CE2301"/>
    <w:rsid w:val="00CE722A"/>
    <w:rsid w:val="00CF1B99"/>
    <w:rsid w:val="00CF605A"/>
    <w:rsid w:val="00CF6D44"/>
    <w:rsid w:val="00CF7C5B"/>
    <w:rsid w:val="00D02B9C"/>
    <w:rsid w:val="00D05BDD"/>
    <w:rsid w:val="00D07E72"/>
    <w:rsid w:val="00D140FF"/>
    <w:rsid w:val="00D23149"/>
    <w:rsid w:val="00D36186"/>
    <w:rsid w:val="00D36D60"/>
    <w:rsid w:val="00D40596"/>
    <w:rsid w:val="00D43169"/>
    <w:rsid w:val="00D54E0D"/>
    <w:rsid w:val="00D57B09"/>
    <w:rsid w:val="00D57B21"/>
    <w:rsid w:val="00D65ED7"/>
    <w:rsid w:val="00D75FD9"/>
    <w:rsid w:val="00D87153"/>
    <w:rsid w:val="00D875BE"/>
    <w:rsid w:val="00D97FA5"/>
    <w:rsid w:val="00DA2668"/>
    <w:rsid w:val="00DA5CA7"/>
    <w:rsid w:val="00DB6564"/>
    <w:rsid w:val="00DC3A0E"/>
    <w:rsid w:val="00DE0CB4"/>
    <w:rsid w:val="00DF2F62"/>
    <w:rsid w:val="00DF6618"/>
    <w:rsid w:val="00E02F60"/>
    <w:rsid w:val="00E117C7"/>
    <w:rsid w:val="00E14498"/>
    <w:rsid w:val="00E15490"/>
    <w:rsid w:val="00E3347F"/>
    <w:rsid w:val="00E34315"/>
    <w:rsid w:val="00E40422"/>
    <w:rsid w:val="00E4549C"/>
    <w:rsid w:val="00E470D7"/>
    <w:rsid w:val="00E5057A"/>
    <w:rsid w:val="00E536D1"/>
    <w:rsid w:val="00E549D3"/>
    <w:rsid w:val="00E63FEF"/>
    <w:rsid w:val="00E70C9E"/>
    <w:rsid w:val="00E7575B"/>
    <w:rsid w:val="00E7764B"/>
    <w:rsid w:val="00E87ADF"/>
    <w:rsid w:val="00E96B45"/>
    <w:rsid w:val="00EA0EFC"/>
    <w:rsid w:val="00EA1022"/>
    <w:rsid w:val="00EB1879"/>
    <w:rsid w:val="00EB1A03"/>
    <w:rsid w:val="00EC35BC"/>
    <w:rsid w:val="00ED0FB1"/>
    <w:rsid w:val="00EE50E2"/>
    <w:rsid w:val="00F03D84"/>
    <w:rsid w:val="00F20BAA"/>
    <w:rsid w:val="00F4321D"/>
    <w:rsid w:val="00F46C97"/>
    <w:rsid w:val="00F64155"/>
    <w:rsid w:val="00F734FE"/>
    <w:rsid w:val="00F75BD2"/>
    <w:rsid w:val="00F76AF9"/>
    <w:rsid w:val="00F80038"/>
    <w:rsid w:val="00F8044E"/>
    <w:rsid w:val="00F809AA"/>
    <w:rsid w:val="00F8250E"/>
    <w:rsid w:val="00F83EA6"/>
    <w:rsid w:val="00F85050"/>
    <w:rsid w:val="00F92A81"/>
    <w:rsid w:val="00F9361B"/>
    <w:rsid w:val="00FA5489"/>
    <w:rsid w:val="00FC5830"/>
    <w:rsid w:val="00FD509C"/>
    <w:rsid w:val="00FD6558"/>
    <w:rsid w:val="00FE3600"/>
    <w:rsid w:val="00FE44A3"/>
    <w:rsid w:val="00FE6E2D"/>
    <w:rsid w:val="00FF08E1"/>
    <w:rsid w:val="00FF1CA8"/>
    <w:rsid w:val="00FF2FC2"/>
    <w:rsid w:val="0C095AC4"/>
    <w:rsid w:val="12AA1814"/>
    <w:rsid w:val="14A844DE"/>
    <w:rsid w:val="154D3EA6"/>
    <w:rsid w:val="163D4862"/>
    <w:rsid w:val="167C182F"/>
    <w:rsid w:val="1A193636"/>
    <w:rsid w:val="1AD559B1"/>
    <w:rsid w:val="1D647399"/>
    <w:rsid w:val="1DAE6A79"/>
    <w:rsid w:val="1DCE6C1D"/>
    <w:rsid w:val="26100B59"/>
    <w:rsid w:val="27B965B1"/>
    <w:rsid w:val="2BE5357A"/>
    <w:rsid w:val="2D480265"/>
    <w:rsid w:val="318178A1"/>
    <w:rsid w:val="322743D4"/>
    <w:rsid w:val="340547BA"/>
    <w:rsid w:val="346654F5"/>
    <w:rsid w:val="3701637C"/>
    <w:rsid w:val="3E9E4E87"/>
    <w:rsid w:val="409D3A90"/>
    <w:rsid w:val="42BA2C13"/>
    <w:rsid w:val="46F45C23"/>
    <w:rsid w:val="4C1A6C47"/>
    <w:rsid w:val="4C9A78B9"/>
    <w:rsid w:val="5BB40AAE"/>
    <w:rsid w:val="5E90733D"/>
    <w:rsid w:val="5F9E1D97"/>
    <w:rsid w:val="602E33BF"/>
    <w:rsid w:val="6A5F216E"/>
    <w:rsid w:val="6F442692"/>
    <w:rsid w:val="710D679A"/>
    <w:rsid w:val="716342F2"/>
    <w:rsid w:val="7E184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0"/>
    <w:pPr>
      <w:autoSpaceDE w:val="0"/>
      <w:autoSpaceDN w:val="0"/>
      <w:adjustRightInd w:val="0"/>
      <w:outlineLvl w:val="0"/>
    </w:pPr>
    <w:rPr>
      <w:rFonts w:ascii="Arial Unicode MS" w:eastAsia="黑体" w:cs="Arial Unicode MS"/>
      <w:kern w:val="0"/>
      <w:sz w:val="30"/>
      <w:szCs w:val="72"/>
    </w:rPr>
  </w:style>
  <w:style w:type="paragraph" w:styleId="4">
    <w:name w:val="heading 2"/>
    <w:basedOn w:val="1"/>
    <w:next w:val="1"/>
    <w:link w:val="30"/>
    <w:qFormat/>
    <w:uiPriority w:val="99"/>
    <w:pPr>
      <w:autoSpaceDE w:val="0"/>
      <w:autoSpaceDN w:val="0"/>
      <w:adjustRightInd w:val="0"/>
      <w:spacing w:before="259"/>
      <w:ind w:left="292"/>
      <w:jc w:val="left"/>
      <w:outlineLvl w:val="1"/>
    </w:pPr>
    <w:rPr>
      <w:rFonts w:ascii="楷体" w:eastAsia="楷体" w:cs="楷体"/>
      <w:kern w:val="0"/>
      <w:sz w:val="48"/>
      <w:szCs w:val="48"/>
    </w:rPr>
  </w:style>
  <w:style w:type="paragraph" w:styleId="5">
    <w:name w:val="heading 3"/>
    <w:basedOn w:val="1"/>
    <w:next w:val="1"/>
    <w:link w:val="34"/>
    <w:qFormat/>
    <w:uiPriority w:val="0"/>
    <w:pPr>
      <w:keepNext/>
      <w:keepLines/>
      <w:spacing w:before="260" w:after="260" w:line="413" w:lineRule="auto"/>
      <w:outlineLvl w:val="2"/>
    </w:pPr>
    <w:rPr>
      <w:b/>
      <w:sz w:val="32"/>
      <w:szCs w:val="32"/>
    </w:rPr>
  </w:style>
  <w:style w:type="paragraph" w:styleId="6">
    <w:name w:val="heading 4"/>
    <w:basedOn w:val="1"/>
    <w:next w:val="1"/>
    <w:link w:val="31"/>
    <w:qFormat/>
    <w:uiPriority w:val="0"/>
    <w:pPr>
      <w:autoSpaceDE w:val="0"/>
      <w:autoSpaceDN w:val="0"/>
      <w:adjustRightInd w:val="0"/>
      <w:ind w:left="890"/>
      <w:jc w:val="left"/>
      <w:outlineLvl w:val="3"/>
    </w:pPr>
    <w:rPr>
      <w:rFonts w:ascii="仿宋" w:eastAsia="仿宋" w:cs="仿宋"/>
      <w:kern w:val="0"/>
      <w:sz w:val="36"/>
      <w:szCs w:val="36"/>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40"/>
    <w:qFormat/>
    <w:uiPriority w:val="0"/>
    <w:pPr>
      <w:tabs>
        <w:tab w:val="center" w:pos="4153"/>
        <w:tab w:val="right" w:pos="8306"/>
      </w:tabs>
      <w:snapToGrid w:val="0"/>
      <w:jc w:val="left"/>
    </w:pPr>
    <w:rPr>
      <w:sz w:val="18"/>
      <w:szCs w:val="18"/>
    </w:rPr>
  </w:style>
  <w:style w:type="paragraph" w:styleId="7">
    <w:name w:val="Normal Indent"/>
    <w:basedOn w:val="1"/>
    <w:next w:val="1"/>
    <w:qFormat/>
    <w:uiPriority w:val="0"/>
    <w:pPr>
      <w:ind w:firstLine="420"/>
    </w:pPr>
    <w:rPr>
      <w:kern w:val="1"/>
      <w:szCs w:val="20"/>
    </w:rPr>
  </w:style>
  <w:style w:type="paragraph" w:styleId="8">
    <w:name w:val="annotation text"/>
    <w:basedOn w:val="1"/>
    <w:link w:val="35"/>
    <w:semiHidden/>
    <w:qFormat/>
    <w:uiPriority w:val="0"/>
    <w:pPr>
      <w:jc w:val="left"/>
    </w:pPr>
    <w:rPr>
      <w:kern w:val="0"/>
      <w:sz w:val="20"/>
    </w:rPr>
  </w:style>
  <w:style w:type="paragraph" w:styleId="9">
    <w:name w:val="Salutation"/>
    <w:basedOn w:val="1"/>
    <w:next w:val="1"/>
    <w:link w:val="98"/>
    <w:semiHidden/>
    <w:unhideWhenUsed/>
    <w:qFormat/>
    <w:uiPriority w:val="99"/>
  </w:style>
  <w:style w:type="paragraph" w:styleId="10">
    <w:name w:val="Body Text"/>
    <w:basedOn w:val="1"/>
    <w:link w:val="32"/>
    <w:qFormat/>
    <w:uiPriority w:val="0"/>
    <w:pPr>
      <w:autoSpaceDE w:val="0"/>
      <w:autoSpaceDN w:val="0"/>
      <w:adjustRightInd w:val="0"/>
      <w:spacing w:before="39"/>
      <w:ind w:left="111" w:firstLine="600"/>
      <w:jc w:val="left"/>
    </w:pPr>
    <w:rPr>
      <w:rFonts w:ascii="仿宋" w:eastAsia="仿宋" w:cs="仿宋"/>
      <w:kern w:val="0"/>
      <w:sz w:val="30"/>
      <w:szCs w:val="30"/>
    </w:rPr>
  </w:style>
  <w:style w:type="paragraph" w:styleId="11">
    <w:name w:val="Body Text Indent"/>
    <w:basedOn w:val="1"/>
    <w:next w:val="1"/>
    <w:link w:val="36"/>
    <w:semiHidden/>
    <w:qFormat/>
    <w:uiPriority w:val="0"/>
    <w:pPr>
      <w:spacing w:after="120"/>
      <w:ind w:left="420" w:leftChars="200"/>
    </w:pPr>
  </w:style>
  <w:style w:type="paragraph" w:styleId="12">
    <w:name w:val="Plain Text"/>
    <w:basedOn w:val="1"/>
    <w:link w:val="37"/>
    <w:qFormat/>
    <w:uiPriority w:val="99"/>
    <w:rPr>
      <w:rFonts w:ascii="宋体" w:hAnsi="Courier New" w:cs="宋体"/>
      <w:kern w:val="0"/>
    </w:rPr>
  </w:style>
  <w:style w:type="paragraph" w:styleId="13">
    <w:name w:val="Date"/>
    <w:basedOn w:val="1"/>
    <w:next w:val="1"/>
    <w:link w:val="52"/>
    <w:qFormat/>
    <w:uiPriority w:val="0"/>
    <w:pPr>
      <w:ind w:left="100" w:leftChars="2500"/>
    </w:pPr>
    <w:rPr>
      <w:kern w:val="0"/>
      <w:sz w:val="20"/>
    </w:rPr>
  </w:style>
  <w:style w:type="paragraph" w:styleId="14">
    <w:name w:val="Balloon Text"/>
    <w:basedOn w:val="1"/>
    <w:link w:val="39"/>
    <w:semiHidden/>
    <w:qFormat/>
    <w:uiPriority w:val="0"/>
    <w:rPr>
      <w:sz w:val="18"/>
      <w:szCs w:val="18"/>
    </w:rPr>
  </w:style>
  <w:style w:type="paragraph" w:styleId="15">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1"/>
    <w:unhideWhenUsed/>
    <w:qFormat/>
    <w:uiPriority w:val="0"/>
    <w:pPr>
      <w:ind w:left="200" w:hanging="200" w:hangingChars="200"/>
      <w:contextualSpacing/>
    </w:pPr>
    <w:rPr>
      <w:rFonts w:ascii="Calibri" w:hAnsi="Calibri"/>
    </w:rPr>
  </w:style>
  <w:style w:type="paragraph" w:styleId="17">
    <w:name w:val="Body Text 2"/>
    <w:basedOn w:val="1"/>
    <w:link w:val="42"/>
    <w:qFormat/>
    <w:uiPriority w:val="0"/>
    <w:pPr>
      <w:jc w:val="center"/>
    </w:pPr>
    <w:rPr>
      <w:b/>
      <w:bCs/>
      <w:spacing w:val="20"/>
      <w:w w:val="90"/>
      <w:sz w:val="28"/>
      <w:szCs w:val="28"/>
    </w:rPr>
  </w:style>
  <w:style w:type="paragraph" w:styleId="18">
    <w:name w:val="Normal (Web)"/>
    <w:basedOn w:val="1"/>
    <w:link w:val="53"/>
    <w:qFormat/>
    <w:uiPriority w:val="99"/>
    <w:pPr>
      <w:widowControl/>
      <w:spacing w:before="100" w:beforeAutospacing="1" w:after="100" w:afterAutospacing="1"/>
      <w:jc w:val="left"/>
    </w:pPr>
    <w:rPr>
      <w:rFonts w:ascii="宋体" w:hAnsi="宋体"/>
      <w:kern w:val="0"/>
      <w:sz w:val="24"/>
    </w:rPr>
  </w:style>
  <w:style w:type="paragraph" w:styleId="19">
    <w:name w:val="annotation subject"/>
    <w:basedOn w:val="8"/>
    <w:next w:val="8"/>
    <w:link w:val="43"/>
    <w:semiHidden/>
    <w:qFormat/>
    <w:uiPriority w:val="0"/>
    <w:rPr>
      <w:b/>
      <w:bCs/>
    </w:rPr>
  </w:style>
  <w:style w:type="paragraph" w:styleId="20">
    <w:name w:val="Body Text First Indent"/>
    <w:basedOn w:val="10"/>
    <w:next w:val="1"/>
    <w:link w:val="44"/>
    <w:qFormat/>
    <w:uiPriority w:val="99"/>
    <w:pPr>
      <w:widowControl/>
      <w:autoSpaceDE/>
      <w:autoSpaceDN/>
      <w:adjustRightInd/>
      <w:snapToGrid w:val="0"/>
      <w:spacing w:before="60" w:after="160" w:line="259" w:lineRule="auto"/>
      <w:ind w:left="0" w:right="113" w:firstLine="420" w:firstLineChars="100"/>
      <w:jc w:val="both"/>
    </w:pPr>
    <w:rPr>
      <w:rFonts w:ascii="Times New Roman" w:eastAsia="宋体" w:cs="Times New Roman"/>
      <w:sz w:val="18"/>
      <w:szCs w:val="18"/>
    </w:rPr>
  </w:style>
  <w:style w:type="paragraph" w:styleId="21">
    <w:name w:val="Body Text First Indent 2"/>
    <w:basedOn w:val="1"/>
    <w:next w:val="1"/>
    <w:link w:val="45"/>
    <w:qFormat/>
    <w:uiPriority w:val="0"/>
    <w:pPr>
      <w:ind w:firstLine="420" w:firstLineChars="200"/>
    </w:p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rPr>
  </w:style>
  <w:style w:type="character" w:styleId="26">
    <w:name w:val="page number"/>
    <w:qFormat/>
    <w:uiPriority w:val="0"/>
  </w:style>
  <w:style w:type="character" w:styleId="27">
    <w:name w:val="annotation reference"/>
    <w:semiHidden/>
    <w:qFormat/>
    <w:uiPriority w:val="0"/>
    <w:rPr>
      <w:sz w:val="21"/>
    </w:rPr>
  </w:style>
  <w:style w:type="paragraph" w:customStyle="1" w:styleId="28">
    <w:name w:val="列出段落"/>
    <w:basedOn w:val="1"/>
    <w:qFormat/>
    <w:uiPriority w:val="99"/>
    <w:pPr>
      <w:ind w:firstLine="200" w:firstLineChars="200"/>
    </w:pPr>
  </w:style>
  <w:style w:type="character" w:customStyle="1" w:styleId="29">
    <w:name w:val="标题 1 字符"/>
    <w:link w:val="3"/>
    <w:qFormat/>
    <w:uiPriority w:val="1"/>
    <w:rPr>
      <w:rFonts w:ascii="Arial Unicode MS" w:hAnsi="Times New Roman" w:eastAsia="黑体" w:cs="Arial Unicode MS"/>
      <w:kern w:val="0"/>
      <w:sz w:val="30"/>
      <w:szCs w:val="72"/>
    </w:rPr>
  </w:style>
  <w:style w:type="character" w:customStyle="1" w:styleId="30">
    <w:name w:val="标题 2 字符"/>
    <w:link w:val="4"/>
    <w:qFormat/>
    <w:uiPriority w:val="1"/>
    <w:rPr>
      <w:rFonts w:ascii="楷体" w:hAnsi="Times New Roman" w:eastAsia="楷体" w:cs="楷体"/>
      <w:kern w:val="0"/>
      <w:sz w:val="48"/>
      <w:szCs w:val="48"/>
    </w:rPr>
  </w:style>
  <w:style w:type="character" w:customStyle="1" w:styleId="31">
    <w:name w:val="标题 4 字符"/>
    <w:link w:val="6"/>
    <w:qFormat/>
    <w:uiPriority w:val="1"/>
    <w:rPr>
      <w:rFonts w:ascii="仿宋" w:hAnsi="Times New Roman" w:eastAsia="仿宋" w:cs="仿宋"/>
      <w:kern w:val="0"/>
      <w:sz w:val="36"/>
      <w:szCs w:val="36"/>
    </w:rPr>
  </w:style>
  <w:style w:type="character" w:customStyle="1" w:styleId="32">
    <w:name w:val="正文文本 字符2"/>
    <w:link w:val="10"/>
    <w:qFormat/>
    <w:uiPriority w:val="1"/>
    <w:rPr>
      <w:rFonts w:ascii="仿宋" w:hAnsi="Times New Roman" w:eastAsia="仿宋" w:cs="仿宋"/>
      <w:kern w:val="0"/>
      <w:sz w:val="30"/>
      <w:szCs w:val="30"/>
    </w:rPr>
  </w:style>
  <w:style w:type="paragraph" w:customStyle="1" w:styleId="33">
    <w:name w:val="Table Paragraph"/>
    <w:basedOn w:val="1"/>
    <w:qFormat/>
    <w:uiPriority w:val="0"/>
    <w:pPr>
      <w:autoSpaceDE w:val="0"/>
      <w:autoSpaceDN w:val="0"/>
      <w:adjustRightInd w:val="0"/>
      <w:jc w:val="left"/>
    </w:pPr>
    <w:rPr>
      <w:kern w:val="0"/>
    </w:rPr>
  </w:style>
  <w:style w:type="character" w:customStyle="1" w:styleId="34">
    <w:name w:val="标题 3 字符"/>
    <w:basedOn w:val="24"/>
    <w:link w:val="5"/>
    <w:qFormat/>
    <w:uiPriority w:val="0"/>
    <w:rPr>
      <w:rFonts w:ascii="Times New Roman" w:hAnsi="Times New Roman"/>
      <w:b/>
      <w:kern w:val="2"/>
      <w:sz w:val="32"/>
      <w:szCs w:val="32"/>
    </w:rPr>
  </w:style>
  <w:style w:type="character" w:customStyle="1" w:styleId="35">
    <w:name w:val="批注文字 字符"/>
    <w:basedOn w:val="24"/>
    <w:link w:val="8"/>
    <w:semiHidden/>
    <w:qFormat/>
    <w:uiPriority w:val="0"/>
    <w:rPr>
      <w:rFonts w:ascii="Times New Roman" w:hAnsi="Times New Roman"/>
      <w:szCs w:val="24"/>
    </w:rPr>
  </w:style>
  <w:style w:type="character" w:customStyle="1" w:styleId="36">
    <w:name w:val="正文文本缩进 字符"/>
    <w:basedOn w:val="24"/>
    <w:link w:val="11"/>
    <w:semiHidden/>
    <w:qFormat/>
    <w:uiPriority w:val="0"/>
    <w:rPr>
      <w:rFonts w:ascii="Times New Roman" w:hAnsi="Times New Roman"/>
      <w:kern w:val="2"/>
      <w:sz w:val="21"/>
      <w:szCs w:val="24"/>
    </w:rPr>
  </w:style>
  <w:style w:type="character" w:customStyle="1" w:styleId="37">
    <w:name w:val="纯文本 字符"/>
    <w:basedOn w:val="24"/>
    <w:link w:val="12"/>
    <w:qFormat/>
    <w:uiPriority w:val="99"/>
    <w:rPr>
      <w:rFonts w:ascii="宋体" w:hAnsi="Courier New" w:cs="宋体"/>
      <w:sz w:val="21"/>
      <w:szCs w:val="24"/>
    </w:rPr>
  </w:style>
  <w:style w:type="character" w:customStyle="1" w:styleId="38">
    <w:name w:val="日期 字符"/>
    <w:basedOn w:val="24"/>
    <w:semiHidden/>
    <w:qFormat/>
    <w:uiPriority w:val="0"/>
    <w:rPr>
      <w:rFonts w:ascii="Times New Roman" w:hAnsi="Times New Roman"/>
      <w:kern w:val="2"/>
      <w:sz w:val="21"/>
      <w:szCs w:val="24"/>
    </w:rPr>
  </w:style>
  <w:style w:type="character" w:customStyle="1" w:styleId="39">
    <w:name w:val="批注框文本 字符"/>
    <w:basedOn w:val="24"/>
    <w:link w:val="14"/>
    <w:semiHidden/>
    <w:qFormat/>
    <w:uiPriority w:val="0"/>
    <w:rPr>
      <w:rFonts w:ascii="Times New Roman" w:hAnsi="Times New Roman"/>
      <w:kern w:val="2"/>
      <w:sz w:val="18"/>
      <w:szCs w:val="18"/>
    </w:rPr>
  </w:style>
  <w:style w:type="character" w:customStyle="1" w:styleId="40">
    <w:name w:val="页脚 字符"/>
    <w:basedOn w:val="24"/>
    <w:link w:val="2"/>
    <w:qFormat/>
    <w:uiPriority w:val="0"/>
    <w:rPr>
      <w:rFonts w:ascii="Times New Roman" w:hAnsi="Times New Roman"/>
      <w:kern w:val="2"/>
      <w:sz w:val="18"/>
      <w:szCs w:val="18"/>
    </w:rPr>
  </w:style>
  <w:style w:type="character" w:customStyle="1" w:styleId="41">
    <w:name w:val="页眉 字符"/>
    <w:basedOn w:val="24"/>
    <w:link w:val="15"/>
    <w:qFormat/>
    <w:uiPriority w:val="0"/>
    <w:rPr>
      <w:rFonts w:ascii="Times New Roman" w:hAnsi="Times New Roman"/>
      <w:kern w:val="2"/>
      <w:sz w:val="18"/>
      <w:szCs w:val="18"/>
    </w:rPr>
  </w:style>
  <w:style w:type="character" w:customStyle="1" w:styleId="42">
    <w:name w:val="正文文本 2 字符"/>
    <w:basedOn w:val="24"/>
    <w:link w:val="17"/>
    <w:qFormat/>
    <w:uiPriority w:val="0"/>
    <w:rPr>
      <w:rFonts w:ascii="Times New Roman" w:hAnsi="Times New Roman"/>
      <w:b/>
      <w:bCs/>
      <w:spacing w:val="20"/>
      <w:w w:val="90"/>
      <w:kern w:val="2"/>
      <w:sz w:val="28"/>
      <w:szCs w:val="28"/>
    </w:rPr>
  </w:style>
  <w:style w:type="character" w:customStyle="1" w:styleId="43">
    <w:name w:val="批注主题 字符"/>
    <w:basedOn w:val="35"/>
    <w:link w:val="19"/>
    <w:semiHidden/>
    <w:qFormat/>
    <w:uiPriority w:val="0"/>
    <w:rPr>
      <w:rFonts w:ascii="Times New Roman" w:hAnsi="Times New Roman"/>
      <w:b/>
      <w:bCs/>
      <w:szCs w:val="24"/>
    </w:rPr>
  </w:style>
  <w:style w:type="character" w:customStyle="1" w:styleId="44">
    <w:name w:val="正文文本首行缩进 字符"/>
    <w:basedOn w:val="32"/>
    <w:link w:val="20"/>
    <w:qFormat/>
    <w:uiPriority w:val="99"/>
    <w:rPr>
      <w:rFonts w:ascii="Times New Roman" w:hAnsi="Times New Roman" w:eastAsia="仿宋" w:cs="仿宋"/>
      <w:kern w:val="0"/>
      <w:sz w:val="18"/>
      <w:szCs w:val="18"/>
    </w:rPr>
  </w:style>
  <w:style w:type="character" w:customStyle="1" w:styleId="45">
    <w:name w:val="正文文本首行缩进 2 字符"/>
    <w:basedOn w:val="36"/>
    <w:link w:val="21"/>
    <w:qFormat/>
    <w:uiPriority w:val="0"/>
    <w:rPr>
      <w:rFonts w:ascii="Times New Roman" w:hAnsi="Times New Roman"/>
      <w:kern w:val="2"/>
      <w:sz w:val="21"/>
      <w:szCs w:val="24"/>
    </w:rPr>
  </w:style>
  <w:style w:type="paragraph" w:customStyle="1" w:styleId="46">
    <w:name w:val="正文（缩进）"/>
    <w:basedOn w:val="47"/>
    <w:next w:val="1"/>
    <w:qFormat/>
    <w:uiPriority w:val="99"/>
    <w:pPr>
      <w:ind w:firstLine="480"/>
    </w:pPr>
    <w:rPr>
      <w:szCs w:val="20"/>
    </w:rPr>
  </w:style>
  <w:style w:type="paragraph" w:customStyle="1" w:styleId="47">
    <w:name w:val="正文(首行缩进)"/>
    <w:basedOn w:val="1"/>
    <w:qFormat/>
    <w:uiPriority w:val="0"/>
    <w:pPr>
      <w:spacing w:line="360" w:lineRule="auto"/>
      <w:ind w:firstLine="200" w:firstLineChars="200"/>
      <w:jc w:val="left"/>
    </w:pPr>
    <w:rPr>
      <w:snapToGrid w:val="0"/>
      <w:color w:val="000000"/>
      <w:kern w:val="0"/>
      <w:sz w:val="24"/>
    </w:rPr>
  </w:style>
  <w:style w:type="paragraph" w:customStyle="1" w:styleId="4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9">
    <w:name w:val="Date1"/>
    <w:basedOn w:val="1"/>
    <w:next w:val="1"/>
    <w:qFormat/>
    <w:uiPriority w:val="0"/>
    <w:pPr>
      <w:adjustRightInd w:val="0"/>
      <w:jc w:val="left"/>
      <w:textAlignment w:val="baseline"/>
    </w:pPr>
    <w:rPr>
      <w:rFonts w:ascii="宋体" w:hAnsi="宋体"/>
      <w:sz w:val="28"/>
      <w:szCs w:val="20"/>
    </w:rPr>
  </w:style>
  <w:style w:type="paragraph" w:customStyle="1" w:styleId="50">
    <w:name w:val="报告表正文"/>
    <w:basedOn w:val="1"/>
    <w:link w:val="54"/>
    <w:qFormat/>
    <w:uiPriority w:val="0"/>
    <w:pPr>
      <w:autoSpaceDE w:val="0"/>
      <w:autoSpaceDN w:val="0"/>
      <w:adjustRightInd w:val="0"/>
      <w:spacing w:line="360" w:lineRule="auto"/>
      <w:ind w:firstLine="420" w:firstLineChars="200"/>
    </w:pPr>
    <w:rPr>
      <w:kern w:val="0"/>
      <w:sz w:val="24"/>
      <w:szCs w:val="21"/>
    </w:rPr>
  </w:style>
  <w:style w:type="character" w:customStyle="1" w:styleId="51">
    <w:name w:val="正文文本 字符"/>
    <w:qFormat/>
    <w:locked/>
    <w:uiPriority w:val="0"/>
    <w:rPr>
      <w:sz w:val="18"/>
    </w:rPr>
  </w:style>
  <w:style w:type="character" w:customStyle="1" w:styleId="52">
    <w:name w:val="日期 字符1"/>
    <w:link w:val="13"/>
    <w:qFormat/>
    <w:locked/>
    <w:uiPriority w:val="0"/>
    <w:rPr>
      <w:rFonts w:ascii="Times New Roman" w:hAnsi="Times New Roman"/>
      <w:szCs w:val="24"/>
    </w:rPr>
  </w:style>
  <w:style w:type="character" w:customStyle="1" w:styleId="53">
    <w:name w:val="普通(网站) 字符"/>
    <w:link w:val="18"/>
    <w:qFormat/>
    <w:locked/>
    <w:uiPriority w:val="0"/>
    <w:rPr>
      <w:rFonts w:ascii="宋体" w:hAnsi="宋体"/>
      <w:sz w:val="24"/>
      <w:szCs w:val="24"/>
    </w:rPr>
  </w:style>
  <w:style w:type="character" w:customStyle="1" w:styleId="54">
    <w:name w:val="报告表正文 Char"/>
    <w:link w:val="50"/>
    <w:qFormat/>
    <w:uiPriority w:val="0"/>
    <w:rPr>
      <w:rFonts w:ascii="Times New Roman" w:hAnsi="Times New Roman"/>
      <w:sz w:val="24"/>
      <w:szCs w:val="21"/>
    </w:rPr>
  </w:style>
  <w:style w:type="paragraph" w:customStyle="1" w:styleId="5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6">
    <w:name w:val="表格 Char"/>
    <w:link w:val="57"/>
    <w:qFormat/>
    <w:locked/>
    <w:uiPriority w:val="0"/>
    <w:rPr>
      <w:rFonts w:ascii="宋体"/>
      <w:sz w:val="21"/>
    </w:rPr>
  </w:style>
  <w:style w:type="paragraph" w:customStyle="1" w:styleId="57">
    <w:name w:val="表格"/>
    <w:basedOn w:val="7"/>
    <w:next w:val="1"/>
    <w:link w:val="56"/>
    <w:qFormat/>
    <w:uiPriority w:val="0"/>
    <w:pPr>
      <w:adjustRightInd w:val="0"/>
      <w:snapToGrid w:val="0"/>
      <w:spacing w:beforeLines="10" w:afterLines="10" w:line="259" w:lineRule="auto"/>
      <w:jc w:val="center"/>
    </w:pPr>
    <w:rPr>
      <w:rFonts w:ascii="宋体" w:hAnsi="Calibri"/>
      <w:kern w:val="0"/>
    </w:rPr>
  </w:style>
  <w:style w:type="character" w:customStyle="1" w:styleId="58">
    <w:name w:val="普通(网站) Char"/>
    <w:qFormat/>
    <w:locked/>
    <w:uiPriority w:val="0"/>
    <w:rPr>
      <w:rFonts w:ascii="宋体" w:hAnsi="宋体" w:eastAsia="宋体"/>
      <w:sz w:val="24"/>
    </w:rPr>
  </w:style>
  <w:style w:type="character" w:customStyle="1" w:styleId="59">
    <w:name w:val="批注文字 字符1"/>
    <w:semiHidden/>
    <w:qFormat/>
    <w:uiPriority w:val="0"/>
    <w:rPr>
      <w:rFonts w:ascii="Times New Roman" w:hAnsi="Times New Roman" w:eastAsia="宋体" w:cs="Times New Roman"/>
      <w:sz w:val="24"/>
      <w:szCs w:val="24"/>
    </w:rPr>
  </w:style>
  <w:style w:type="character" w:customStyle="1" w:styleId="60">
    <w:name w:val="正文文本 字符1"/>
    <w:semiHidden/>
    <w:qFormat/>
    <w:uiPriority w:val="0"/>
    <w:rPr>
      <w:rFonts w:ascii="Times New Roman" w:hAnsi="Times New Roman" w:eastAsia="宋体" w:cs="Times New Roman"/>
      <w:sz w:val="24"/>
      <w:szCs w:val="24"/>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表格文字"/>
    <w:basedOn w:val="1"/>
    <w:qFormat/>
    <w:uiPriority w:val="0"/>
    <w:pPr>
      <w:widowControl/>
      <w:jc w:val="center"/>
    </w:pPr>
    <w:rPr>
      <w:rFonts w:ascii="宋体" w:hAnsi="宋体" w:cs="宋体"/>
      <w:kern w:val="0"/>
    </w:rPr>
  </w:style>
  <w:style w:type="paragraph" w:customStyle="1" w:styleId="63">
    <w:name w:val="0正文"/>
    <w:basedOn w:val="18"/>
    <w:qFormat/>
    <w:uiPriority w:val="0"/>
    <w:pPr>
      <w:adjustRightInd w:val="0"/>
      <w:snapToGrid w:val="0"/>
      <w:spacing w:before="0" w:beforeAutospacing="0" w:after="0" w:afterAutospacing="0" w:line="440" w:lineRule="exact"/>
      <w:ind w:firstLine="200" w:firstLineChars="200"/>
      <w:jc w:val="both"/>
    </w:pPr>
    <w:rPr>
      <w:rFonts w:ascii="Times New Roman" w:hAnsi="Times New Roman"/>
      <w:kern w:val="2"/>
    </w:rPr>
  </w:style>
  <w:style w:type="paragraph" w:customStyle="1" w:styleId="64">
    <w:name w:val="【正文】"/>
    <w:basedOn w:val="1"/>
    <w:qFormat/>
    <w:uiPriority w:val="0"/>
    <w:pPr>
      <w:ind w:firstLine="200"/>
    </w:pPr>
    <w:rPr>
      <w:rFonts w:cs="宋体"/>
    </w:rPr>
  </w:style>
  <w:style w:type="paragraph" w:customStyle="1" w:styleId="65">
    <w:name w:val="表格正文"/>
    <w:basedOn w:val="1"/>
    <w:qFormat/>
    <w:uiPriority w:val="0"/>
    <w:pPr>
      <w:adjustRightInd w:val="0"/>
      <w:snapToGrid w:val="0"/>
      <w:spacing w:line="320" w:lineRule="atLeast"/>
      <w:jc w:val="center"/>
    </w:pPr>
    <w:rPr>
      <w:kern w:val="0"/>
      <w:szCs w:val="21"/>
    </w:rPr>
  </w:style>
  <w:style w:type="paragraph" w:styleId="66">
    <w:name w:val="No Spacing"/>
    <w:qFormat/>
    <w:uiPriority w:val="1"/>
    <w:pPr>
      <w:adjustRightInd w:val="0"/>
      <w:snapToGrid w:val="0"/>
      <w:spacing w:line="360" w:lineRule="auto"/>
      <w:ind w:firstLine="200" w:firstLineChars="200"/>
      <w:jc w:val="both"/>
    </w:pPr>
    <w:rPr>
      <w:rFonts w:ascii="Times New Roman" w:hAnsi="Times New Roman" w:eastAsia="宋体" w:cs="Times New Roman"/>
      <w:snapToGrid w:val="0"/>
      <w:sz w:val="24"/>
      <w:szCs w:val="28"/>
      <w:lang w:val="en-US" w:eastAsia="zh-CN" w:bidi="ar-SA"/>
    </w:rPr>
  </w:style>
  <w:style w:type="paragraph" w:customStyle="1" w:styleId="67">
    <w:name w:val="cjw标题4"/>
    <w:basedOn w:val="1"/>
    <w:next w:val="21"/>
    <w:qFormat/>
    <w:uiPriority w:val="0"/>
    <w:pPr>
      <w:adjustRightInd w:val="0"/>
      <w:snapToGrid w:val="0"/>
      <w:spacing w:line="360" w:lineRule="auto"/>
      <w:ind w:firstLine="200" w:firstLineChars="200"/>
      <w:outlineLvl w:val="3"/>
    </w:pPr>
  </w:style>
  <w:style w:type="paragraph" w:customStyle="1" w:styleId="68">
    <w:name w:val="标正"/>
    <w:basedOn w:val="1"/>
    <w:qFormat/>
    <w:uiPriority w:val="0"/>
    <w:pPr>
      <w:spacing w:before="50" w:beforeLines="50" w:line="360" w:lineRule="exact"/>
      <w:ind w:firstLine="200" w:firstLineChars="200"/>
    </w:pPr>
    <w:rPr>
      <w:rFonts w:ascii="宋体" w:hAnsi="宋体"/>
      <w:bCs/>
    </w:rPr>
  </w:style>
  <w:style w:type="paragraph" w:customStyle="1" w:styleId="69">
    <w:name w:val="表格字"/>
    <w:basedOn w:val="16"/>
    <w:qFormat/>
    <w:uiPriority w:val="0"/>
    <w:pPr>
      <w:adjustRightInd w:val="0"/>
      <w:ind w:left="0" w:firstLine="0" w:firstLineChars="0"/>
      <w:jc w:val="center"/>
    </w:pPr>
    <w:rPr>
      <w:rFonts w:ascii="Times New Roman" w:hAnsi="Times New Roman"/>
    </w:rPr>
  </w:style>
  <w:style w:type="paragraph" w:customStyle="1" w:styleId="70">
    <w:name w:val="附图样式"/>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1">
    <w:name w:val="正文文本格式"/>
    <w:basedOn w:val="1"/>
    <w:qFormat/>
    <w:uiPriority w:val="99"/>
    <w:pPr>
      <w:spacing w:line="480" w:lineRule="exact"/>
      <w:ind w:firstLine="567"/>
    </w:pPr>
    <w:rPr>
      <w:color w:val="000000"/>
      <w:kern w:val="0"/>
      <w:sz w:val="28"/>
      <w:szCs w:val="28"/>
    </w:rPr>
  </w:style>
  <w:style w:type="paragraph" w:customStyle="1" w:styleId="72">
    <w:name w:val="正文（w）"/>
    <w:basedOn w:val="1"/>
    <w:qFormat/>
    <w:uiPriority w:val="0"/>
    <w:pPr>
      <w:spacing w:line="360" w:lineRule="auto"/>
      <w:ind w:firstLine="720" w:firstLineChars="200"/>
    </w:pPr>
    <w:rPr>
      <w:sz w:val="24"/>
    </w:rPr>
  </w:style>
  <w:style w:type="paragraph" w:customStyle="1" w:styleId="73">
    <w:name w:val="【表头】"/>
    <w:basedOn w:val="1"/>
    <w:qFormat/>
    <w:uiPriority w:val="0"/>
    <w:pPr>
      <w:spacing w:line="460" w:lineRule="exact"/>
      <w:jc w:val="center"/>
    </w:pPr>
    <w:rPr>
      <w:rFonts w:eastAsia="黑体" w:cs="宋体"/>
      <w:sz w:val="24"/>
      <w:szCs w:val="20"/>
    </w:rPr>
  </w:style>
  <w:style w:type="paragraph" w:customStyle="1" w:styleId="74">
    <w:name w:val="CM101"/>
    <w:basedOn w:val="55"/>
    <w:next w:val="55"/>
    <w:qFormat/>
    <w:uiPriority w:val="0"/>
    <w:pPr>
      <w:spacing w:after="203"/>
    </w:pPr>
    <w:rPr>
      <w:rFonts w:ascii="Arial Unicode MS" w:hAnsi="Arial Unicode MS"/>
      <w:color w:val="auto"/>
    </w:rPr>
  </w:style>
  <w:style w:type="paragraph" w:customStyle="1" w:styleId="75">
    <w:name w:val="CM103"/>
    <w:basedOn w:val="55"/>
    <w:next w:val="55"/>
    <w:qFormat/>
    <w:uiPriority w:val="0"/>
    <w:pPr>
      <w:spacing w:after="145"/>
    </w:pPr>
  </w:style>
  <w:style w:type="paragraph" w:customStyle="1" w:styleId="76">
    <w:name w:val="CM3"/>
    <w:basedOn w:val="55"/>
    <w:next w:val="55"/>
    <w:qFormat/>
    <w:uiPriority w:val="0"/>
    <w:pPr>
      <w:spacing w:line="488" w:lineRule="atLeast"/>
    </w:pPr>
    <w:rPr>
      <w:rFonts w:ascii="黑体" w:hAnsi="黑体" w:eastAsia="黑体"/>
    </w:rPr>
  </w:style>
  <w:style w:type="paragraph" w:customStyle="1" w:styleId="77">
    <w:name w:val="CM20"/>
    <w:basedOn w:val="55"/>
    <w:next w:val="55"/>
    <w:qFormat/>
    <w:uiPriority w:val="0"/>
  </w:style>
  <w:style w:type="paragraph" w:customStyle="1" w:styleId="78">
    <w:name w:val="CM21"/>
    <w:basedOn w:val="55"/>
    <w:next w:val="55"/>
    <w:qFormat/>
    <w:uiPriority w:val="0"/>
  </w:style>
  <w:style w:type="paragraph" w:customStyle="1" w:styleId="79">
    <w:name w:val="表号题注"/>
    <w:basedOn w:val="1"/>
    <w:qFormat/>
    <w:uiPriority w:val="0"/>
    <w:pPr>
      <w:ind w:firstLine="454" w:firstLineChars="200"/>
      <w:jc w:val="center"/>
    </w:pPr>
    <w:rPr>
      <w:rFonts w:eastAsia="黑体"/>
    </w:rPr>
  </w:style>
  <w:style w:type="paragraph" w:customStyle="1" w:styleId="80">
    <w:name w:val="a正文"/>
    <w:basedOn w:val="1"/>
    <w:qFormat/>
    <w:uiPriority w:val="0"/>
    <w:pPr>
      <w:ind w:firstLine="200" w:firstLineChars="200"/>
    </w:pPr>
  </w:style>
  <w:style w:type="paragraph" w:customStyle="1" w:styleId="81">
    <w:name w:val="1正文"/>
    <w:basedOn w:val="1"/>
    <w:semiHidden/>
    <w:qFormat/>
    <w:uiPriority w:val="0"/>
    <w:pPr>
      <w:ind w:firstLine="198" w:firstLineChars="200"/>
    </w:pPr>
  </w:style>
  <w:style w:type="character" w:customStyle="1" w:styleId="82">
    <w:name w:val="表头 Char2"/>
    <w:semiHidden/>
    <w:qFormat/>
    <w:uiPriority w:val="0"/>
    <w:rPr>
      <w:rFonts w:ascii="Times New Roman" w:hAnsi="Times New Roman" w:eastAsia="宋体"/>
      <w:b/>
      <w:kern w:val="36"/>
      <w:sz w:val="28"/>
      <w:szCs w:val="24"/>
      <w:lang w:val="en-US" w:eastAsia="zh-CN" w:bidi="ar-SA"/>
    </w:rPr>
  </w:style>
  <w:style w:type="paragraph" w:customStyle="1" w:styleId="83">
    <w:name w:val="样式 表文字 + 字符缩放: 90%"/>
    <w:basedOn w:val="84"/>
    <w:semiHidden/>
    <w:qFormat/>
    <w:uiPriority w:val="0"/>
    <w:pPr>
      <w:ind w:left="-50" w:leftChars="-50" w:right="-50" w:rightChars="-50"/>
    </w:pPr>
    <w:rPr>
      <w:rFonts w:cs="宋体"/>
      <w:sz w:val="18"/>
      <w:szCs w:val="18"/>
    </w:rPr>
  </w:style>
  <w:style w:type="paragraph" w:customStyle="1" w:styleId="84">
    <w:name w:val="表文字"/>
    <w:semiHidden/>
    <w:qFormat/>
    <w:uiPriority w:val="0"/>
    <w:pPr>
      <w:keepNext/>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paragraph" w:customStyle="1" w:styleId="85">
    <w:name w:val="本文正文格式42"/>
    <w:basedOn w:val="1"/>
    <w:qFormat/>
    <w:uiPriority w:val="0"/>
    <w:pPr>
      <w:spacing w:line="480" w:lineRule="exact"/>
      <w:ind w:firstLine="200" w:firstLineChars="200"/>
      <w:jc w:val="left"/>
    </w:pPr>
    <w:rPr>
      <w:rFonts w:hint="eastAsia"/>
      <w:sz w:val="24"/>
    </w:rPr>
  </w:style>
  <w:style w:type="paragraph" w:customStyle="1" w:styleId="86">
    <w:name w:val="正文1"/>
    <w:qFormat/>
    <w:uiPriority w:val="0"/>
    <w:pPr>
      <w:jc w:val="both"/>
    </w:pPr>
    <w:rPr>
      <w:rFonts w:ascii="Calibri" w:hAnsi="Calibri" w:eastAsia="宋体" w:cs="宋体"/>
      <w:kern w:val="2"/>
      <w:sz w:val="21"/>
      <w:szCs w:val="21"/>
      <w:lang w:val="en-US" w:eastAsia="zh-CN" w:bidi="ar-SA"/>
    </w:rPr>
  </w:style>
  <w:style w:type="table" w:customStyle="1" w:styleId="87">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88">
    <w:name w:val="正文2"/>
    <w:qFormat/>
    <w:uiPriority w:val="0"/>
    <w:pPr>
      <w:jc w:val="both"/>
    </w:pPr>
    <w:rPr>
      <w:rFonts w:ascii="Calibri" w:hAnsi="Calibri" w:eastAsia="宋体" w:cs="宋体"/>
      <w:kern w:val="2"/>
      <w:sz w:val="21"/>
      <w:szCs w:val="21"/>
      <w:lang w:val="en-US" w:eastAsia="zh-CN" w:bidi="ar-SA"/>
    </w:rPr>
  </w:style>
  <w:style w:type="paragraph" w:customStyle="1" w:styleId="89">
    <w:name w:val="正文3"/>
    <w:qFormat/>
    <w:uiPriority w:val="0"/>
    <w:pPr>
      <w:jc w:val="both"/>
    </w:pPr>
    <w:rPr>
      <w:rFonts w:ascii="Calibri" w:hAnsi="Calibri" w:eastAsia="宋体" w:cs="宋体"/>
      <w:kern w:val="2"/>
      <w:sz w:val="21"/>
      <w:szCs w:val="21"/>
      <w:lang w:val="en-US" w:eastAsia="zh-CN" w:bidi="ar-SA"/>
    </w:rPr>
  </w:style>
  <w:style w:type="character" w:customStyle="1" w:styleId="90">
    <w:name w:val="font41"/>
    <w:qFormat/>
    <w:uiPriority w:val="0"/>
    <w:rPr>
      <w:rFonts w:hint="default" w:ascii="Times New Roman" w:hAnsi="Times New Roman" w:cs="Times New Roman"/>
      <w:color w:val="000000"/>
      <w:sz w:val="21"/>
      <w:szCs w:val="21"/>
      <w:u w:val="none"/>
    </w:rPr>
  </w:style>
  <w:style w:type="character" w:customStyle="1" w:styleId="91">
    <w:name w:val="font71"/>
    <w:qFormat/>
    <w:uiPriority w:val="0"/>
    <w:rPr>
      <w:rFonts w:hint="default" w:ascii="Times New Roman" w:hAnsi="Times New Roman" w:cs="Times New Roman"/>
      <w:color w:val="000000"/>
      <w:sz w:val="21"/>
      <w:szCs w:val="21"/>
      <w:u w:val="none"/>
      <w:vertAlign w:val="superscript"/>
    </w:rPr>
  </w:style>
  <w:style w:type="character" w:customStyle="1" w:styleId="92">
    <w:name w:val="font61"/>
    <w:qFormat/>
    <w:uiPriority w:val="0"/>
    <w:rPr>
      <w:rFonts w:hint="default" w:ascii="Times New Roman" w:hAnsi="Times New Roman" w:cs="Times New Roman"/>
      <w:b/>
      <w:bCs/>
      <w:color w:val="000000"/>
      <w:sz w:val="21"/>
      <w:szCs w:val="21"/>
      <w:u w:val="none"/>
    </w:rPr>
  </w:style>
  <w:style w:type="paragraph" w:customStyle="1" w:styleId="93">
    <w:name w:val="正文4"/>
    <w:qFormat/>
    <w:uiPriority w:val="0"/>
    <w:pPr>
      <w:jc w:val="both"/>
    </w:pPr>
    <w:rPr>
      <w:rFonts w:ascii="Calibri" w:hAnsi="Calibri" w:eastAsia="宋体" w:cs="宋体"/>
      <w:kern w:val="2"/>
      <w:sz w:val="21"/>
      <w:szCs w:val="21"/>
      <w:lang w:val="en-US" w:eastAsia="zh-CN" w:bidi="ar-SA"/>
    </w:rPr>
  </w:style>
  <w:style w:type="paragraph" w:customStyle="1" w:styleId="94">
    <w:name w:val="正文5"/>
    <w:qFormat/>
    <w:uiPriority w:val="0"/>
    <w:pPr>
      <w:jc w:val="both"/>
    </w:pPr>
    <w:rPr>
      <w:rFonts w:ascii="Calibri" w:hAnsi="Calibri" w:eastAsia="宋体" w:cs="宋体"/>
      <w:kern w:val="2"/>
      <w:sz w:val="21"/>
      <w:szCs w:val="21"/>
      <w:lang w:val="en-US" w:eastAsia="zh-CN" w:bidi="ar-SA"/>
    </w:rPr>
  </w:style>
  <w:style w:type="paragraph" w:styleId="95">
    <w:name w:val="List Paragraph"/>
    <w:basedOn w:val="1"/>
    <w:qFormat/>
    <w:uiPriority w:val="99"/>
    <w:pPr>
      <w:ind w:firstLine="420" w:firstLineChars="200"/>
    </w:pPr>
  </w:style>
  <w:style w:type="paragraph" w:customStyle="1" w:styleId="9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97">
    <w:name w:val="表内格式"/>
    <w:basedOn w:val="1"/>
    <w:next w:val="9"/>
    <w:qFormat/>
    <w:uiPriority w:val="0"/>
    <w:pPr>
      <w:widowControl/>
      <w:spacing w:line="360" w:lineRule="exact"/>
      <w:jc w:val="center"/>
    </w:pPr>
    <w:rPr>
      <w:kern w:val="0"/>
      <w:szCs w:val="21"/>
    </w:rPr>
  </w:style>
  <w:style w:type="character" w:customStyle="1" w:styleId="98">
    <w:name w:val="称呼 字符"/>
    <w:basedOn w:val="24"/>
    <w:link w:val="9"/>
    <w:semiHidden/>
    <w:qFormat/>
    <w:uiPriority w:val="99"/>
    <w:rPr>
      <w:kern w:val="2"/>
      <w:sz w:val="21"/>
      <w:szCs w:val="24"/>
    </w:rPr>
  </w:style>
  <w:style w:type="character" w:customStyle="1" w:styleId="99">
    <w:name w:val="15"/>
    <w:basedOn w:val="24"/>
    <w:qFormat/>
    <w:uiPriority w:val="0"/>
    <w:rPr>
      <w:rFonts w:hint="default" w:ascii="Times New Roman" w:hAnsi="Times New Roman"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oleObject" Target="embeddings/oleObject1.bin"/><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23425;&#22799;&#25253;&#21578;&#23457;&#26680;\&#32534;&#21046;&#39033;&#30446;\&#30333;&#20113;&#23721;&#39033;&#30446;\&#29615;&#35780;&#25253;&#21578;\&#29615;&#35780;&#25253;&#21578;&#23436;&#25972;&#29256;\&#25253;&#21578;&#34920;&#26684;&#24335;&#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071134-A756-46A0-AC21-9167F54A8AF7}">
  <ds:schemaRefs/>
</ds:datastoreItem>
</file>

<file path=docProps/app.xml><?xml version="1.0" encoding="utf-8"?>
<Properties xmlns="http://schemas.openxmlformats.org/officeDocument/2006/extended-properties" xmlns:vt="http://schemas.openxmlformats.org/officeDocument/2006/docPropsVTypes">
  <Template>报告表格式模板.dot</Template>
  <Pages>137</Pages>
  <Words>88788</Words>
  <Characters>101948</Characters>
  <Lines>790</Lines>
  <Paragraphs>222</Paragraphs>
  <TotalTime>8982</TotalTime>
  <ScaleCrop>false</ScaleCrop>
  <LinksUpToDate>false</LinksUpToDate>
  <CharactersWithSpaces>102435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2022-06-07T07:46:00Z</dcterms:created>
  <dc:creator>Administrator</dc:creator>
  <cp:lastModifiedBy>.</cp:lastModifiedBy>
  <cp:lastPrinted>2023-04-19T01:32:00Z</cp:lastPrinted>
  <dcterms:modified xsi:type="dcterms:W3CDTF">2023-09-15T08:15:11Z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1D2D3A14FBD54C1B909C1814C36A9B79_13</vt:lpwstr>
  </property>
</Properties>
</file>