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aps w:val="0"/>
          <w:smallCaps w:val="0"/>
          <w:snapToGrid w:val="0"/>
          <w:color w:val="auto"/>
          <w:spacing w:val="0"/>
          <w:w w:val="100"/>
          <w:kern w:val="0"/>
          <w:position w:val="0"/>
          <w:highlight w:val="none"/>
        </w:rPr>
      </w:pPr>
      <w:bookmarkStart w:id="0" w:name="_Toc31197"/>
      <w:bookmarkStart w:id="1" w:name="_Toc1918"/>
      <w:bookmarkStart w:id="2" w:name="_Toc26492"/>
      <w:bookmarkStart w:id="3" w:name="_Toc32686"/>
      <w:bookmarkStart w:id="4" w:name="_Toc2166"/>
      <w:bookmarkStart w:id="5" w:name="_Toc20992"/>
      <w:bookmarkStart w:id="6" w:name="_Toc19453"/>
      <w:bookmarkStart w:id="7" w:name="_Toc1211"/>
      <w:bookmarkStart w:id="8" w:name="_Toc20837"/>
      <w:bookmarkStart w:id="9" w:name="_Toc2686"/>
      <w:bookmarkStart w:id="10" w:name="_Toc14029"/>
      <w:bookmarkStart w:id="11" w:name="_Toc7548"/>
      <w:bookmarkStart w:id="12" w:name="_Toc20313"/>
    </w:p>
    <w:p>
      <w:pPr>
        <w:rPr>
          <w:rFonts w:hint="default" w:ascii="Times New Roman" w:hAnsi="Times New Roman" w:cs="Times New Roman"/>
          <w:caps w:val="0"/>
          <w:smallCaps w:val="0"/>
          <w:snapToGrid w:val="0"/>
          <w:color w:val="auto"/>
          <w:spacing w:val="0"/>
          <w:w w:val="100"/>
          <w:kern w:val="0"/>
          <w:position w:val="0"/>
          <w:highlight w:val="none"/>
        </w:rPr>
      </w:pPr>
    </w:p>
    <w:p>
      <w:pPr>
        <w:rPr>
          <w:rFonts w:hint="default" w:ascii="Times New Roman" w:hAnsi="Times New Roman" w:cs="Times New Roman"/>
          <w:caps w:val="0"/>
          <w:smallCaps w:val="0"/>
          <w:snapToGrid w:val="0"/>
          <w:color w:val="auto"/>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aps w:val="0"/>
          <w:smallCaps w:val="0"/>
          <w:snapToGrid w:val="0"/>
          <w:color w:val="auto"/>
          <w:spacing w:val="0"/>
          <w:w w:val="100"/>
          <w:kern w:val="0"/>
          <w:position w:val="0"/>
          <w:sz w:val="36"/>
          <w:szCs w:val="36"/>
          <w:highlight w:val="none"/>
        </w:rPr>
      </w:pPr>
    </w:p>
    <w:p>
      <w:pPr>
        <w:pStyle w:val="32"/>
        <w:rPr>
          <w:rFonts w:hint="default" w:ascii="Times New Roman" w:hAnsi="Times New Roman" w:cs="Times New Roman"/>
          <w:caps w:val="0"/>
          <w:smallCaps w:val="0"/>
          <w:snapToGrid w:val="0"/>
          <w:color w:val="auto"/>
          <w:spacing w:val="0"/>
          <w:w w:val="100"/>
          <w:kern w:val="0"/>
          <w:position w:val="0"/>
          <w:highlight w:val="none"/>
        </w:rPr>
      </w:pPr>
    </w:p>
    <w:p>
      <w:pPr>
        <w:pStyle w:val="32"/>
        <w:rPr>
          <w:rFonts w:hint="default" w:ascii="Times New Roman" w:hAnsi="Times New Roman" w:cs="Times New Roman"/>
          <w:caps w:val="0"/>
          <w:smallCaps w:val="0"/>
          <w:snapToGrid w:val="0"/>
          <w:color w:val="auto"/>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cs="Times New Roman"/>
          <w:b/>
          <w:bCs/>
          <w:caps w:val="0"/>
          <w:smallCaps w:val="0"/>
          <w:snapToGrid w:val="0"/>
          <w:color w:val="auto"/>
          <w:spacing w:val="0"/>
          <w:w w:val="100"/>
          <w:kern w:val="0"/>
          <w:position w:val="0"/>
          <w:sz w:val="36"/>
          <w:szCs w:val="36"/>
          <w:highlight w:val="none"/>
        </w:rPr>
      </w:pPr>
      <w:bookmarkStart w:id="13" w:name="_Toc21415"/>
      <w:r>
        <w:rPr>
          <w:rFonts w:hint="default" w:ascii="Times New Roman" w:hAnsi="Times New Roman" w:cs="Times New Roman"/>
          <w:b/>
          <w:bCs/>
          <w:caps w:val="0"/>
          <w:smallCaps w:val="0"/>
          <w:snapToGrid w:val="0"/>
          <w:color w:val="auto"/>
          <w:spacing w:val="0"/>
          <w:w w:val="100"/>
          <w:kern w:val="0"/>
          <w:position w:val="0"/>
          <w:sz w:val="36"/>
          <w:szCs w:val="36"/>
          <w:highlight w:val="none"/>
        </w:rPr>
        <w:t>宁夏垣盛越农牧综合开发有限公司</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cs="Times New Roman"/>
          <w:b/>
          <w:bCs/>
          <w:caps w:val="0"/>
          <w:smallCaps w:val="0"/>
          <w:snapToGrid w:val="0"/>
          <w:color w:val="auto"/>
          <w:spacing w:val="0"/>
          <w:w w:val="100"/>
          <w:kern w:val="0"/>
          <w:position w:val="0"/>
          <w:sz w:val="36"/>
          <w:szCs w:val="36"/>
          <w:highlight w:val="none"/>
        </w:rPr>
      </w:pPr>
      <w:r>
        <w:rPr>
          <w:rFonts w:hint="default" w:ascii="Times New Roman" w:hAnsi="Times New Roman" w:cs="Times New Roman"/>
          <w:b/>
          <w:bCs/>
          <w:caps w:val="0"/>
          <w:smallCaps w:val="0"/>
          <w:snapToGrid w:val="0"/>
          <w:color w:val="auto"/>
          <w:spacing w:val="0"/>
          <w:w w:val="100"/>
          <w:kern w:val="0"/>
          <w:position w:val="0"/>
          <w:sz w:val="36"/>
          <w:szCs w:val="36"/>
          <w:highlight w:val="none"/>
        </w:rPr>
        <w:t>5000头奶牛扶贫养殖基地</w:t>
      </w:r>
    </w:p>
    <w:bookmarkEnd w:id="13"/>
    <w:p>
      <w:pPr>
        <w:keepNext w:val="0"/>
        <w:keepLines w:val="0"/>
        <w:pageBreakBefore w:val="0"/>
        <w:widowControl w:val="0"/>
        <w:kinsoku/>
        <w:wordWrap/>
        <w:overflowPunct/>
        <w:topLinePunct w:val="0"/>
        <w:autoSpaceDE/>
        <w:autoSpaceDN/>
        <w:bidi w:val="0"/>
        <w:spacing w:before="312" w:beforeLines="100"/>
        <w:ind w:firstLine="0" w:firstLineChars="0"/>
        <w:jc w:val="center"/>
        <w:textAlignment w:val="auto"/>
        <w:outlineLvl w:val="0"/>
        <w:rPr>
          <w:rFonts w:hint="default" w:ascii="Times New Roman" w:hAnsi="Times New Roman" w:cs="Times New Roman"/>
          <w:b/>
          <w:caps w:val="0"/>
          <w:smallCaps w:val="0"/>
          <w:snapToGrid w:val="0"/>
          <w:color w:val="auto"/>
          <w:spacing w:val="0"/>
          <w:w w:val="100"/>
          <w:kern w:val="0"/>
          <w:position w:val="0"/>
          <w:sz w:val="84"/>
          <w:szCs w:val="84"/>
          <w:highlight w:val="none"/>
        </w:rPr>
      </w:pPr>
      <w:bookmarkStart w:id="14" w:name="_Toc7657"/>
      <w:r>
        <w:rPr>
          <w:rFonts w:hint="default" w:ascii="Times New Roman" w:hAnsi="Times New Roman" w:cs="Times New Roman"/>
          <w:b/>
          <w:caps w:val="0"/>
          <w:smallCaps w:val="0"/>
          <w:snapToGrid w:val="0"/>
          <w:color w:val="auto"/>
          <w:spacing w:val="0"/>
          <w:w w:val="100"/>
          <w:kern w:val="0"/>
          <w:position w:val="0"/>
          <w:sz w:val="84"/>
          <w:szCs w:val="84"/>
          <w:highlight w:val="none"/>
        </w:rPr>
        <w:t>环境影响报告书</w:t>
      </w:r>
      <w:bookmarkEnd w:id="14"/>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jc w:val="center"/>
        <w:rPr>
          <w:rFonts w:hint="default" w:ascii="Times New Roman" w:hAnsi="Times New Roman" w:cs="Times New Roman"/>
          <w:b/>
          <w:bCs/>
          <w:caps w:val="0"/>
          <w:smallCaps w:val="0"/>
          <w:snapToGrid w:val="0"/>
          <w:color w:val="auto"/>
          <w:spacing w:val="0"/>
          <w:w w:val="100"/>
          <w:kern w:val="0"/>
          <w:position w:val="0"/>
          <w:sz w:val="32"/>
          <w:highlight w:val="none"/>
        </w:rPr>
      </w:pPr>
    </w:p>
    <w:p>
      <w:pPr>
        <w:pStyle w:val="32"/>
        <w:rPr>
          <w:rFonts w:hint="default" w:ascii="Times New Roman" w:hAnsi="Times New Roman" w:cs="Times New Roman"/>
          <w:b/>
          <w:bCs/>
          <w:caps w:val="0"/>
          <w:smallCaps w:val="0"/>
          <w:snapToGrid w:val="0"/>
          <w:color w:val="auto"/>
          <w:spacing w:val="0"/>
          <w:w w:val="100"/>
          <w:kern w:val="0"/>
          <w:position w:val="0"/>
          <w:sz w:val="32"/>
          <w:highlight w:val="none"/>
        </w:rPr>
      </w:pPr>
    </w:p>
    <w:p>
      <w:pPr>
        <w:pStyle w:val="32"/>
        <w:rPr>
          <w:rFonts w:hint="default" w:ascii="Times New Roman" w:hAnsi="Times New Roman" w:cs="Times New Roman"/>
          <w:b/>
          <w:bCs/>
          <w:caps w:val="0"/>
          <w:smallCaps w:val="0"/>
          <w:snapToGrid w:val="0"/>
          <w:color w:val="auto"/>
          <w:spacing w:val="0"/>
          <w:w w:val="100"/>
          <w:kern w:val="0"/>
          <w:position w:val="0"/>
          <w:sz w:val="32"/>
          <w:highlight w:val="none"/>
        </w:rPr>
      </w:pPr>
    </w:p>
    <w:p>
      <w:pPr>
        <w:spacing w:line="360" w:lineRule="auto"/>
        <w:ind w:firstLine="1606" w:firstLineChars="500"/>
        <w:rPr>
          <w:rFonts w:hint="default" w:ascii="Times New Roman" w:hAnsi="Times New Roman" w:cs="Times New Roman"/>
          <w:b/>
          <w:caps w:val="0"/>
          <w:smallCaps w:val="0"/>
          <w:snapToGrid w:val="0"/>
          <w:color w:val="auto"/>
          <w:spacing w:val="0"/>
          <w:w w:val="100"/>
          <w:kern w:val="0"/>
          <w:position w:val="0"/>
          <w:sz w:val="32"/>
          <w:szCs w:val="32"/>
          <w:highlight w:val="none"/>
        </w:rPr>
      </w:pPr>
      <w:r>
        <w:rPr>
          <w:rFonts w:hint="default" w:ascii="Times New Roman" w:hAnsi="Times New Roman" w:cs="Times New Roman"/>
          <w:b/>
          <w:caps w:val="0"/>
          <w:smallCaps w:val="0"/>
          <w:snapToGrid w:val="0"/>
          <w:color w:val="auto"/>
          <w:spacing w:val="0"/>
          <w:w w:val="100"/>
          <w:kern w:val="0"/>
          <w:position w:val="0"/>
          <w:sz w:val="32"/>
          <w:szCs w:val="32"/>
          <w:highlight w:val="none"/>
        </w:rPr>
        <w:t>建设单位：宁夏垣盛越农牧综合开发有限公司</w:t>
      </w:r>
    </w:p>
    <w:p>
      <w:pPr>
        <w:spacing w:line="360" w:lineRule="auto"/>
        <w:ind w:firstLine="1606" w:firstLineChars="500"/>
        <w:rPr>
          <w:rFonts w:hint="default" w:ascii="Times New Roman" w:hAnsi="Times New Roman" w:cs="Times New Roman"/>
          <w:b/>
          <w:caps w:val="0"/>
          <w:smallCaps w:val="0"/>
          <w:snapToGrid w:val="0"/>
          <w:color w:val="auto"/>
          <w:spacing w:val="0"/>
          <w:w w:val="100"/>
          <w:kern w:val="0"/>
          <w:position w:val="0"/>
          <w:sz w:val="32"/>
          <w:highlight w:val="none"/>
        </w:rPr>
      </w:pPr>
      <w:r>
        <w:rPr>
          <w:rFonts w:hint="default" w:ascii="Times New Roman" w:hAnsi="Times New Roman" w:cs="Times New Roman"/>
          <w:b/>
          <w:caps w:val="0"/>
          <w:smallCaps w:val="0"/>
          <w:snapToGrid w:val="0"/>
          <w:color w:val="auto"/>
          <w:spacing w:val="0"/>
          <w:w w:val="100"/>
          <w:kern w:val="0"/>
          <w:position w:val="0"/>
          <w:sz w:val="32"/>
          <w:highlight w:val="none"/>
          <w:lang w:eastAsia="zh-CN"/>
        </w:rPr>
        <w:t>编制</w:t>
      </w:r>
      <w:r>
        <w:rPr>
          <w:rFonts w:hint="default" w:ascii="Times New Roman" w:hAnsi="Times New Roman" w:cs="Times New Roman"/>
          <w:b/>
          <w:caps w:val="0"/>
          <w:smallCaps w:val="0"/>
          <w:snapToGrid w:val="0"/>
          <w:color w:val="auto"/>
          <w:spacing w:val="0"/>
          <w:w w:val="100"/>
          <w:kern w:val="0"/>
          <w:position w:val="0"/>
          <w:sz w:val="32"/>
          <w:highlight w:val="none"/>
        </w:rPr>
        <w:t>单位：</w:t>
      </w:r>
      <w:r>
        <w:rPr>
          <w:rFonts w:hint="default" w:ascii="Times New Roman" w:hAnsi="Times New Roman" w:cs="Times New Roman"/>
          <w:b/>
          <w:caps w:val="0"/>
          <w:smallCaps w:val="0"/>
          <w:snapToGrid w:val="0"/>
          <w:color w:val="auto"/>
          <w:spacing w:val="0"/>
          <w:w w:val="100"/>
          <w:kern w:val="0"/>
          <w:position w:val="0"/>
          <w:sz w:val="32"/>
          <w:highlight w:val="none"/>
          <w:lang w:eastAsia="zh-CN"/>
        </w:rPr>
        <w:t>宁夏锦润万鑫环境科技</w:t>
      </w:r>
      <w:r>
        <w:rPr>
          <w:rFonts w:hint="default" w:ascii="Times New Roman" w:hAnsi="Times New Roman" w:cs="Times New Roman"/>
          <w:b/>
          <w:caps w:val="0"/>
          <w:smallCaps w:val="0"/>
          <w:snapToGrid w:val="0"/>
          <w:color w:val="auto"/>
          <w:spacing w:val="0"/>
          <w:w w:val="100"/>
          <w:kern w:val="0"/>
          <w:position w:val="0"/>
          <w:sz w:val="32"/>
          <w:highlight w:val="none"/>
        </w:rPr>
        <w:t>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b/>
          <w:bCs/>
          <w:caps w:val="0"/>
          <w:smallCaps w:val="0"/>
          <w:snapToGrid w:val="0"/>
          <w:color w:val="auto"/>
          <w:spacing w:val="0"/>
          <w:w w:val="100"/>
          <w:kern w:val="0"/>
          <w:position w:val="0"/>
          <w:sz w:val="32"/>
          <w:highlight w:val="none"/>
        </w:rPr>
      </w:pPr>
      <w:r>
        <w:rPr>
          <w:rFonts w:hint="default" w:ascii="Times New Roman" w:hAnsi="Times New Roman" w:cs="Times New Roman"/>
          <w:b/>
          <w:bCs/>
          <w:caps w:val="0"/>
          <w:smallCaps w:val="0"/>
          <w:snapToGrid w:val="0"/>
          <w:color w:val="auto"/>
          <w:spacing w:val="0"/>
          <w:w w:val="100"/>
          <w:kern w:val="0"/>
          <w:position w:val="0"/>
          <w:sz w:val="32"/>
          <w:highlight w:val="none"/>
        </w:rPr>
        <w:t>二</w:t>
      </w:r>
      <w:r>
        <w:rPr>
          <w:rFonts w:hint="eastAsia" w:ascii="宋体" w:hAnsi="宋体"/>
          <w:b/>
          <w:bCs/>
          <w:color w:val="auto"/>
          <w:sz w:val="32"/>
        </w:rPr>
        <w:t>○</w:t>
      </w:r>
      <w:r>
        <w:rPr>
          <w:rFonts w:hint="default" w:ascii="Times New Roman" w:hAnsi="Times New Roman" w:cs="Times New Roman"/>
          <w:b/>
          <w:bCs/>
          <w:caps w:val="0"/>
          <w:smallCaps w:val="0"/>
          <w:snapToGrid w:val="0"/>
          <w:color w:val="auto"/>
          <w:spacing w:val="0"/>
          <w:w w:val="100"/>
          <w:kern w:val="0"/>
          <w:position w:val="0"/>
          <w:sz w:val="32"/>
          <w:highlight w:val="none"/>
        </w:rPr>
        <w:t>二</w:t>
      </w:r>
      <w:r>
        <w:rPr>
          <w:rFonts w:hint="eastAsia" w:ascii="Times New Roman" w:hAnsi="Times New Roman" w:cs="Times New Roman"/>
          <w:b/>
          <w:bCs/>
          <w:caps w:val="0"/>
          <w:smallCaps w:val="0"/>
          <w:snapToGrid w:val="0"/>
          <w:color w:val="auto"/>
          <w:spacing w:val="0"/>
          <w:w w:val="100"/>
          <w:kern w:val="0"/>
          <w:position w:val="0"/>
          <w:sz w:val="32"/>
          <w:highlight w:val="none"/>
          <w:lang w:eastAsia="zh-CN"/>
        </w:rPr>
        <w:t>二</w:t>
      </w:r>
      <w:r>
        <w:rPr>
          <w:rFonts w:hint="default" w:ascii="Times New Roman" w:hAnsi="Times New Roman" w:cs="Times New Roman"/>
          <w:b/>
          <w:bCs/>
          <w:caps w:val="0"/>
          <w:smallCaps w:val="0"/>
          <w:snapToGrid w:val="0"/>
          <w:color w:val="auto"/>
          <w:spacing w:val="0"/>
          <w:w w:val="100"/>
          <w:kern w:val="0"/>
          <w:position w:val="0"/>
          <w:sz w:val="32"/>
          <w:highlight w:val="none"/>
        </w:rPr>
        <w:t>年</w:t>
      </w:r>
      <w:r>
        <w:rPr>
          <w:rFonts w:hint="eastAsia" w:ascii="Times New Roman" w:cs="Times New Roman"/>
          <w:b/>
          <w:bCs/>
          <w:caps w:val="0"/>
          <w:smallCaps w:val="0"/>
          <w:snapToGrid w:val="0"/>
          <w:color w:val="auto"/>
          <w:spacing w:val="0"/>
          <w:w w:val="100"/>
          <w:kern w:val="0"/>
          <w:position w:val="0"/>
          <w:sz w:val="32"/>
          <w:highlight w:val="none"/>
          <w:lang w:eastAsia="zh-CN"/>
        </w:rPr>
        <w:t>一</w:t>
      </w:r>
      <w:r>
        <w:rPr>
          <w:rFonts w:hint="default" w:ascii="Times New Roman" w:hAnsi="Times New Roman" w:cs="Times New Roman"/>
          <w:b/>
          <w:bCs/>
          <w:caps w:val="0"/>
          <w:smallCaps w:val="0"/>
          <w:snapToGrid w:val="0"/>
          <w:color w:val="auto"/>
          <w:spacing w:val="0"/>
          <w:w w:val="100"/>
          <w:kern w:val="0"/>
          <w:position w:val="0"/>
          <w:sz w:val="32"/>
          <w:highlight w:val="none"/>
        </w:rPr>
        <w:t>月</w:t>
      </w:r>
    </w:p>
    <w:p>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outlineLvl w:val="9"/>
        <w:rPr>
          <w:rFonts w:hint="default" w:ascii="Times New Roman" w:hAnsi="Times New Roman" w:eastAsia="宋体" w:cs="Times New Roman"/>
          <w:b/>
          <w:bCs/>
          <w:caps w:val="0"/>
          <w:smallCaps w:val="0"/>
          <w:snapToGrid w:val="0"/>
          <w:color w:val="auto"/>
          <w:spacing w:val="0"/>
          <w:w w:val="100"/>
          <w:kern w:val="0"/>
          <w:position w:val="0"/>
          <w:sz w:val="36"/>
          <w:szCs w:val="36"/>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1"/>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keepNext w:val="0"/>
        <w:keepLines w:val="0"/>
        <w:pageBreakBefore w:val="0"/>
        <w:widowControl w:val="0"/>
        <w:tabs>
          <w:tab w:val="right" w:leader="dot" w:pos="8732"/>
        </w:tabs>
        <w:kinsoku/>
        <w:wordWrap/>
        <w:overflowPunct/>
        <w:topLinePunct w:val="0"/>
        <w:autoSpaceDE/>
        <w:autoSpaceDN/>
        <w:bidi w:val="0"/>
        <w:adjustRightInd w:val="0"/>
        <w:snapToGrid w:val="0"/>
        <w:spacing w:before="313" w:beforeLines="100" w:line="360" w:lineRule="auto"/>
        <w:jc w:val="center"/>
        <w:textAlignment w:val="auto"/>
        <w:rPr>
          <w:rFonts w:hint="default" w:ascii="Times New Roman" w:hAnsi="Times New Roman" w:eastAsia="宋体" w:cs="Times New Roman"/>
          <w:b/>
          <w:bCs/>
          <w:color w:val="auto"/>
          <w:spacing w:val="0"/>
          <w:w w:val="100"/>
          <w:kern w:val="0"/>
          <w:position w:val="0"/>
          <w:sz w:val="24"/>
          <w:szCs w:val="24"/>
          <w:highlight w:val="none"/>
          <w:lang w:eastAsia="zh-CN"/>
        </w:rPr>
      </w:pPr>
      <w:r>
        <w:rPr>
          <w:rFonts w:hint="default" w:ascii="Times New Roman" w:hAnsi="Times New Roman" w:eastAsia="宋体" w:cs="Times New Roman"/>
          <w:b/>
          <w:bCs/>
          <w:color w:val="auto"/>
          <w:spacing w:val="0"/>
          <w:w w:val="100"/>
          <w:kern w:val="0"/>
          <w:position w:val="0"/>
          <w:sz w:val="24"/>
          <w:szCs w:val="24"/>
          <w:highlight w:val="none"/>
          <w:lang w:eastAsia="zh-CN"/>
        </w:rPr>
        <w:t>目录</w:t>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TOC \o "1-2" \h \u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_Toc25657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概述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_Toc25657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_Toc32622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1</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项目实施背景</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_Toc32622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_Toc31081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2.环境影响评价工作过程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_Toc31081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_Toc24342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3</w:t>
      </w:r>
      <w:r>
        <w:rPr>
          <w:rFonts w:hint="default" w:ascii="Times New Roman" w:hAnsi="Times New Roman" w:eastAsia="宋体"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4"/>
          <w:highlight w:val="none"/>
        </w:rPr>
        <w:t>项目特点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_Toc24342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_Toc20450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4.分析判定相关情况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_Toc20450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_Toc504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5</w:t>
      </w:r>
      <w:r>
        <w:rPr>
          <w:rFonts w:hint="default" w:ascii="Times New Roman" w:hAnsi="Times New Roman" w:eastAsia="宋体" w:cs="Times New Roman"/>
          <w:color w:val="auto"/>
          <w:spacing w:val="0"/>
          <w:w w:val="100"/>
          <w:kern w:val="0"/>
          <w:position w:val="0"/>
          <w:sz w:val="24"/>
          <w:szCs w:val="24"/>
          <w:highlight w:val="none"/>
        </w:rPr>
        <w:t>.关注的主要环境问题</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_Toc504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_Toc24695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6.</w:t>
      </w:r>
      <w:r>
        <w:rPr>
          <w:rFonts w:hint="default" w:ascii="Times New Roman" w:hAnsi="Times New Roman" w:eastAsia="宋体" w:cs="Times New Roman"/>
          <w:color w:val="auto"/>
          <w:spacing w:val="0"/>
          <w:w w:val="100"/>
          <w:kern w:val="0"/>
          <w:position w:val="0"/>
          <w:sz w:val="24"/>
          <w:szCs w:val="24"/>
          <w:highlight w:val="none"/>
        </w:rPr>
        <w:t>环境影响报告主要结论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_Toc24695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_Toc8235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bCs/>
          <w:snapToGrid w:val="0"/>
          <w:color w:val="auto"/>
          <w:spacing w:val="0"/>
          <w:w w:val="100"/>
          <w:kern w:val="0"/>
          <w:position w:val="0"/>
          <w:sz w:val="24"/>
          <w:szCs w:val="24"/>
          <w:highlight w:val="none"/>
        </w:rPr>
        <w:t>总则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_Toc8235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_Toc25386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.1编制依据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_Toc25386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_Toc6344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.2环境影响因素识别和评价因子筛选</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_Toc6344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_Toc11599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.3评价原则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_Toc11599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_Toc31753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.4评价标准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_Toc31753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_Toc9631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.5评价工作等级及评价范围</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_Toc9631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_Toc30595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.6控制污染目标与环境保护目标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_Toc30595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_Toc9747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.7产业政策及规划符合性分析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_Toc9747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_Toc15643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2建设项目概况及工程分析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_Toc15643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_Toc8584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2.1项目概况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_Toc8584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_Toc671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2.2工艺流程分析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_Toc671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_Toc21360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2.3施工期污染因素分析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_Toc21360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_Toc26412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2.4运营期污染因素分析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_Toc26412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_Toc12830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3环境概况及环境质量现状评价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_Toc12830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84</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_Toc13513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3.1区域环境概况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_Toc13513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84</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_Toc24692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3.2环境质量现状监测与评价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_Toc24692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_Toc26593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4施工期环境影响预测与评价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_Toc26593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_Toc505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4.1施工期环境空气影响分析与防护措施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_Toc505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_Toc29571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4.2施工期声环境影响分析与防护措施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_Toc29571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100</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_Toc11424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4.3施工期水环境影响分析及防控措施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_Toc11424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_Toc12423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4.4施工期固体废物影响分析及防控措施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_Toc12423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_Toc19913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4.5施工期生态环境影响分析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_Toc19913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_Toc5906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5运营期环境影响预测与评价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_Toc5906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_Toc17471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5.1环境空气影响分析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_Toc17471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_Toc7439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5.2地表水环境影响分析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_Toc7439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_Toc16198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5.3地下水环境影响分析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_Toc16198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_Toc10647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5.4声环境影响分析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_Toc10647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_Toc13046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5.5固体废物影响分析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_Toc13046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_Toc19543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5.6土壤环境影响分析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_Toc19543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130</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_Toc8572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5.7生态环境影响分析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_Toc8572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_Toc25755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6环境保护措施及其技术经济论证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_Toc25755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_Toc19884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6.1施工期环境保护措施及其技术经济论证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_Toc19884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_Toc1757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6.2运营期环境保护措施及其技术经济论证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_Toc1757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_Toc6929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7环境风险分析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_Toc6929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_Toc2122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7.1环境风险评价依据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_Toc2122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_Toc18316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7.2环境敏感目标调查</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_Toc18316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_Toc10161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7.3环境风险识别</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_Toc10161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_Toc21879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7.4环境风险防范措施及应急要求</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_Toc21879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_Toc10678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7.5风险事故应急预案</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_Toc10678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_Toc31664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7.6风险评价小结</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_Toc31664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_Toc9039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8环境影响经济损益分析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_Toc9039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_Toc30398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8.1环境保护措施投资</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_Toc30398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_Toc29886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8.2环境经济损失</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_Toc29886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_Toc19530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8.3社会效益分析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_Toc19530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159</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_Toc25009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8.4经济效益</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_Toc25009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160</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_Toc22337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8.5环境效益分析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_Toc22337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160</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_Toc9867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8.6环境经济效益综合评述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_Toc9867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_Toc14034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9环境管理与监测计划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_Toc14034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_Toc29819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9.1环境管理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_Toc29819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_Toc30002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9.2监测计划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_Toc30002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_Toc30312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9.3污染物总量控</w:t>
      </w:r>
      <w:r>
        <w:rPr>
          <w:rFonts w:hint="default" w:ascii="Times New Roman" w:hAnsi="Times New Roman" w:eastAsia="宋体" w:cs="Times New Roman"/>
          <w:color w:val="auto"/>
          <w:spacing w:val="0"/>
          <w:w w:val="100"/>
          <w:kern w:val="0"/>
          <w:position w:val="0"/>
          <w:sz w:val="24"/>
          <w:szCs w:val="24"/>
          <w:highlight w:val="none"/>
        </w:rPr>
        <w:t>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_Toc30312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_Toc5987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9</w:t>
      </w:r>
      <w:r>
        <w:rPr>
          <w:rFonts w:hint="default" w:ascii="Times New Roman" w:hAnsi="Times New Roman" w:eastAsia="宋体" w:cs="Times New Roman"/>
          <w:color w:val="auto"/>
          <w:spacing w:val="0"/>
          <w:w w:val="100"/>
          <w:kern w:val="0"/>
          <w:position w:val="0"/>
          <w:sz w:val="24"/>
          <w:szCs w:val="24"/>
          <w:highlight w:val="none"/>
        </w:rPr>
        <w:t>.4排污口规范化管理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_Toc5987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_Toc31373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9</w:t>
      </w:r>
      <w:r>
        <w:rPr>
          <w:rFonts w:hint="default" w:ascii="Times New Roman" w:hAnsi="Times New Roman" w:eastAsia="宋体" w:cs="Times New Roman"/>
          <w:color w:val="auto"/>
          <w:spacing w:val="0"/>
          <w:w w:val="100"/>
          <w:kern w:val="0"/>
          <w:position w:val="0"/>
          <w:sz w:val="24"/>
          <w:szCs w:val="24"/>
          <w:highlight w:val="none"/>
        </w:rPr>
        <w:t>.5环境保护措施竣工验收管理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_Toc31373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_Toc8943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9.6</w:t>
      </w:r>
      <w:r>
        <w:rPr>
          <w:rFonts w:hint="default" w:ascii="Times New Roman" w:hAnsi="Times New Roman" w:eastAsia="宋体" w:cs="Times New Roman"/>
          <w:color w:val="auto"/>
          <w:spacing w:val="0"/>
          <w:w w:val="100"/>
          <w:kern w:val="0"/>
          <w:position w:val="0"/>
          <w:sz w:val="24"/>
          <w:szCs w:val="24"/>
          <w:highlight w:val="none"/>
        </w:rPr>
        <w:t>污染源排放清单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_Toc8943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170</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_Toc1950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bCs/>
          <w:snapToGrid w:val="0"/>
          <w:color w:val="auto"/>
          <w:spacing w:val="0"/>
          <w:w w:val="100"/>
          <w:kern w:val="0"/>
          <w:position w:val="0"/>
          <w:sz w:val="24"/>
          <w:szCs w:val="24"/>
          <w:highlight w:val="none"/>
          <w:lang w:val="en-US" w:eastAsia="zh-CN"/>
        </w:rPr>
        <w:t>10结论与建议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_Toc1950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_Toc30140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10.1项目基本情况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_Toc30140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_Toc22990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10.2产业政策及规划符合性分析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_Toc22990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_Toc30707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10.3选址合理性分析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_Toc30707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_Toc19234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10.4平面布置合理性分析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_Toc19234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174</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_Toc25260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10.5环境质量现状评价结论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_Toc25260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175</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_Toc23289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10.6污染防治与达标排放可行性</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_Toc23289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_Toc7871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10.7公众参与</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_Toc7871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_Toc20758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10.8结论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_Toc20758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pStyle w:val="21"/>
        <w:tabs>
          <w:tab w:val="right" w:leader="dot" w:pos="8732"/>
        </w:tabs>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HYPERLINK \l _Toc30217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10.9建议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_Toc30217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178</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pacing w:val="0"/>
          <w:w w:val="100"/>
          <w:kern w:val="0"/>
          <w:position w:val="0"/>
          <w:sz w:val="24"/>
          <w:szCs w:val="24"/>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Cs w:val="36"/>
          <w:highlight w:val="none"/>
        </w:rPr>
      </w:pPr>
      <w:r>
        <w:rPr>
          <w:rFonts w:hint="default" w:ascii="Times New Roman" w:hAnsi="Times New Roman" w:eastAsia="宋体" w:cs="Times New Roman"/>
          <w:color w:val="auto"/>
          <w:spacing w:val="0"/>
          <w:w w:val="100"/>
          <w:kern w:val="0"/>
          <w:position w:val="0"/>
          <w:sz w:val="24"/>
          <w:szCs w:val="24"/>
          <w:highlight w:val="none"/>
        </w:rPr>
        <w:fldChar w:fldCharType="end"/>
      </w: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rPr>
          <w:rFonts w:hint="default" w:ascii="Times New Roman" w:hAnsi="Times New Roman" w:eastAsia="宋体" w:cs="Times New Roman"/>
          <w:color w:val="auto"/>
          <w:spacing w:val="0"/>
          <w:w w:val="100"/>
          <w:kern w:val="0"/>
          <w:position w:val="0"/>
          <w:szCs w:val="36"/>
          <w:highlight w:val="none"/>
        </w:rPr>
      </w:pPr>
    </w:p>
    <w:p>
      <w:pPr>
        <w:pStyle w:val="32"/>
        <w:rPr>
          <w:rFonts w:hint="default" w:ascii="Times New Roman" w:hAnsi="Times New Roman" w:eastAsia="宋体" w:cs="Times New Roman"/>
          <w:color w:val="auto"/>
          <w:spacing w:val="0"/>
          <w:w w:val="100"/>
          <w:kern w:val="0"/>
          <w:position w:val="0"/>
          <w:szCs w:val="36"/>
          <w:highlight w:val="none"/>
        </w:rPr>
      </w:pPr>
    </w:p>
    <w:p>
      <w:pPr>
        <w:adjustRightInd w:val="0"/>
        <w:snapToGrid w:val="0"/>
        <w:spacing w:line="360" w:lineRule="auto"/>
        <w:ind w:firstLine="482" w:firstLineChars="200"/>
        <w:jc w:val="both"/>
        <w:rPr>
          <w:rFonts w:hint="default" w:ascii="Times New Roman" w:hAnsi="Times New Roman" w:eastAsia="宋体" w:cs="Times New Roman"/>
          <w:b/>
          <w:bCs/>
          <w:color w:val="auto"/>
          <w:spacing w:val="0"/>
          <w:w w:val="100"/>
          <w:kern w:val="0"/>
          <w:position w:val="0"/>
          <w:sz w:val="24"/>
          <w:highlight w:val="none"/>
          <w:lang w:eastAsia="zh-CN"/>
        </w:rPr>
      </w:pPr>
      <w:r>
        <w:rPr>
          <w:rFonts w:hint="default" w:ascii="Times New Roman" w:hAnsi="Times New Roman" w:eastAsia="宋体" w:cs="Times New Roman"/>
          <w:b/>
          <w:bCs/>
          <w:color w:val="auto"/>
          <w:spacing w:val="0"/>
          <w:w w:val="100"/>
          <w:kern w:val="0"/>
          <w:position w:val="0"/>
          <w:sz w:val="24"/>
          <w:highlight w:val="none"/>
          <w:lang w:eastAsia="zh-CN"/>
        </w:rPr>
        <w:t>附件：</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eastAsia="zh-CN"/>
        </w:rPr>
        <w:t>《5000头奶牛扶贫养殖基地环境影响评价委托书》（2021年10月9日）；</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eastAsia="宋体" w:cs="Times New Roman"/>
          <w:color w:val="auto"/>
          <w:spacing w:val="0"/>
          <w:w w:val="100"/>
          <w:kern w:val="0"/>
          <w:position w:val="0"/>
          <w:sz w:val="24"/>
          <w:highlight w:val="none"/>
          <w:lang w:eastAsia="zh-CN"/>
        </w:rPr>
        <w:t>2</w:t>
      </w:r>
      <w:r>
        <w:rPr>
          <w:rFonts w:hint="default"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eastAsia="zh-CN"/>
        </w:rPr>
        <w:t>同心县发展和改革局，《宁夏回族自治区企业投资项目备案证》（项目代码：2019-640324-03-03-007209）（2019年8月2）；</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eastAsia="宋体" w:cs="Times New Roman"/>
          <w:color w:val="auto"/>
          <w:spacing w:val="0"/>
          <w:w w:val="100"/>
          <w:kern w:val="0"/>
          <w:position w:val="0"/>
          <w:sz w:val="24"/>
          <w:highlight w:val="none"/>
          <w:lang w:eastAsia="zh-CN"/>
        </w:rPr>
        <w:t>3</w:t>
      </w:r>
      <w:r>
        <w:rPr>
          <w:rFonts w:hint="default"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eastAsia="zh-CN"/>
        </w:rPr>
        <w:t>建设单位营业执照；</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eastAsia="宋体" w:cs="Times New Roman"/>
          <w:color w:val="auto"/>
          <w:spacing w:val="0"/>
          <w:w w:val="100"/>
          <w:kern w:val="0"/>
          <w:position w:val="0"/>
          <w:sz w:val="24"/>
          <w:highlight w:val="none"/>
          <w:lang w:eastAsia="zh-CN"/>
        </w:rPr>
        <w:t>4</w:t>
      </w:r>
      <w:r>
        <w:rPr>
          <w:rFonts w:hint="default"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eastAsia="zh-CN"/>
        </w:rPr>
        <w:t>农村土地承包经营权出租合同；</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eastAsia="宋体" w:cs="Times New Roman"/>
          <w:color w:val="auto"/>
          <w:spacing w:val="0"/>
          <w:w w:val="100"/>
          <w:kern w:val="0"/>
          <w:position w:val="0"/>
          <w:sz w:val="24"/>
          <w:highlight w:val="none"/>
          <w:lang w:eastAsia="zh-CN"/>
        </w:rPr>
        <w:t>5</w:t>
      </w:r>
      <w:r>
        <w:rPr>
          <w:rFonts w:hint="default"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eastAsia="zh-CN"/>
        </w:rPr>
        <w:t>宁夏罗山国家级自然保护区管理局，《宁夏罗山管理局关于宁夏垣盛越农牧综合开发有限公司养殖基地距保护区之外的复函》（2019年8月2）；</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eastAsia="zh-CN"/>
        </w:rPr>
        <w:sectPr>
          <w:headerReference r:id="rId3" w:type="default"/>
          <w:footerReference r:id="rId4" w:type="default"/>
          <w:pgSz w:w="11906" w:h="16838"/>
          <w:pgMar w:top="1701" w:right="1587" w:bottom="1587" w:left="1587" w:header="1304" w:footer="1020"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cs="Times New Roman"/>
          <w:color w:val="auto"/>
          <w:spacing w:val="0"/>
          <w:w w:val="100"/>
          <w:kern w:val="0"/>
          <w:position w:val="0"/>
          <w:sz w:val="24"/>
          <w:highlight w:val="none"/>
          <w:lang w:eastAsia="zh-CN"/>
        </w:rPr>
        <w:t>附件</w:t>
      </w:r>
      <w:r>
        <w:rPr>
          <w:rFonts w:hint="default" w:ascii="Times New Roman" w:hAnsi="Times New Roman" w:eastAsia="宋体" w:cs="Times New Roman"/>
          <w:color w:val="auto"/>
          <w:spacing w:val="0"/>
          <w:w w:val="100"/>
          <w:kern w:val="0"/>
          <w:position w:val="0"/>
          <w:sz w:val="24"/>
          <w:highlight w:val="none"/>
          <w:lang w:eastAsia="zh-CN"/>
        </w:rPr>
        <w:t>6</w:t>
      </w:r>
      <w:r>
        <w:rPr>
          <w:rFonts w:hint="default"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eastAsia="zh-CN"/>
        </w:rPr>
        <w:t>《宁夏垣盛越农牧综合开发有限公司5000头奶牛扶贫养殖基地环境检测报告》。</w:t>
      </w:r>
    </w:p>
    <w:p>
      <w:pPr>
        <w:pStyle w:val="3"/>
        <w:spacing w:before="156" w:after="156"/>
        <w:jc w:val="center"/>
        <w:rPr>
          <w:rFonts w:hint="default" w:ascii="Times New Roman" w:hAnsi="Times New Roman" w:eastAsia="宋体" w:cs="Times New Roman"/>
          <w:color w:val="auto"/>
          <w:spacing w:val="0"/>
          <w:w w:val="100"/>
          <w:kern w:val="0"/>
          <w:position w:val="0"/>
          <w:highlight w:val="none"/>
        </w:rPr>
      </w:pPr>
      <w:bookmarkStart w:id="15" w:name="_Toc25657"/>
      <w:r>
        <w:rPr>
          <w:rFonts w:hint="default" w:ascii="Times New Roman" w:hAnsi="Times New Roman" w:eastAsia="宋体" w:cs="Times New Roman"/>
          <w:color w:val="auto"/>
          <w:spacing w:val="0"/>
          <w:w w:val="100"/>
          <w:kern w:val="0"/>
          <w:position w:val="0"/>
          <w:sz w:val="36"/>
          <w:szCs w:val="36"/>
          <w:highlight w:val="none"/>
        </w:rPr>
        <w:t>概述</w:t>
      </w:r>
      <w:bookmarkEnd w:id="0"/>
      <w:bookmarkEnd w:id="1"/>
      <w:bookmarkEnd w:id="2"/>
      <w:bookmarkEnd w:id="3"/>
      <w:bookmarkEnd w:id="4"/>
      <w:bookmarkEnd w:id="5"/>
      <w:bookmarkEnd w:id="6"/>
      <w:bookmarkEnd w:id="7"/>
      <w:bookmarkEnd w:id="8"/>
      <w:bookmarkEnd w:id="9"/>
      <w:bookmarkEnd w:id="10"/>
      <w:bookmarkEnd w:id="11"/>
      <w:bookmarkEnd w:id="12"/>
      <w:bookmarkEnd w:id="15"/>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16" w:name="_Toc450657181"/>
      <w:bookmarkStart w:id="17" w:name="_Toc22855"/>
      <w:bookmarkStart w:id="18" w:name="_Toc11936"/>
      <w:bookmarkStart w:id="19" w:name="_Toc2601"/>
      <w:bookmarkStart w:id="20" w:name="_Toc28157"/>
      <w:bookmarkStart w:id="21" w:name="_Toc25478"/>
      <w:bookmarkStart w:id="22" w:name="_Toc30119"/>
      <w:bookmarkStart w:id="23" w:name="_Toc32622"/>
      <w:bookmarkStart w:id="24" w:name="_Toc30956"/>
      <w:bookmarkStart w:id="25" w:name="_Toc464"/>
      <w:bookmarkStart w:id="26" w:name="_Toc13868"/>
      <w:bookmarkStart w:id="27" w:name="_Toc19787"/>
      <w:bookmarkStart w:id="28" w:name="_Toc8601"/>
      <w:bookmarkStart w:id="29" w:name="_Toc6547"/>
      <w:bookmarkStart w:id="30" w:name="_Toc8155"/>
      <w:bookmarkStart w:id="31" w:name="_Toc19954"/>
      <w:r>
        <w:rPr>
          <w:rFonts w:hint="default" w:ascii="Times New Roman" w:hAnsi="Times New Roman" w:eastAsia="宋体" w:cs="Times New Roman"/>
          <w:b/>
          <w:color w:val="auto"/>
          <w:spacing w:val="0"/>
          <w:w w:val="100"/>
          <w:kern w:val="0"/>
          <w:position w:val="0"/>
          <w:sz w:val="24"/>
          <w:szCs w:val="28"/>
          <w:highlight w:val="none"/>
        </w:rPr>
        <w:t>1</w:t>
      </w:r>
      <w:r>
        <w:rPr>
          <w:rFonts w:hint="default" w:ascii="Times New Roman" w:hAnsi="Times New Roman" w:eastAsia="宋体" w:cs="Times New Roman"/>
          <w:b/>
          <w:color w:val="auto"/>
          <w:spacing w:val="0"/>
          <w:w w:val="100"/>
          <w:kern w:val="0"/>
          <w:position w:val="0"/>
          <w:sz w:val="24"/>
          <w:szCs w:val="28"/>
          <w:highlight w:val="none"/>
          <w:lang w:eastAsia="zh-CN"/>
        </w:rPr>
        <w:t>.</w:t>
      </w:r>
      <w:r>
        <w:rPr>
          <w:rFonts w:hint="default" w:ascii="Times New Roman" w:hAnsi="Times New Roman" w:eastAsia="宋体" w:cs="Times New Roman"/>
          <w:b/>
          <w:color w:val="auto"/>
          <w:spacing w:val="0"/>
          <w:w w:val="100"/>
          <w:kern w:val="0"/>
          <w:position w:val="0"/>
          <w:sz w:val="24"/>
          <w:szCs w:val="28"/>
          <w:highlight w:val="none"/>
        </w:rPr>
        <w:t>项目实施背景</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rPr>
        <w:t>我国改革开放四十几年来，各行各业发展突飞猛进，奶牛业同样成绩斐然，牛奶产量逐年增加，与此同时应当看到当前我们牛奶人均占有量与世界尚有很大差距，2019年我国人均牛奶占有量23公斤，同期世界人均水平的100公斤、欧美发达国家的300公斤。随着我国人们生活水平不断提高，消费者对奶类产品的需求量势必逐步增加，牛奶消费市场潜力巨大，奶牛业发展前景广阔。</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发展奶业</w:t>
      </w:r>
      <w:r>
        <w:rPr>
          <w:rFonts w:hint="default" w:ascii="Times New Roman" w:hAnsi="Times New Roman" w:eastAsia="宋体" w:cs="Times New Roman"/>
          <w:color w:val="auto"/>
          <w:spacing w:val="0"/>
          <w:w w:val="100"/>
          <w:kern w:val="0"/>
          <w:position w:val="0"/>
          <w:sz w:val="24"/>
          <w:highlight w:val="none"/>
          <w:lang w:eastAsia="zh-CN"/>
        </w:rPr>
        <w:t>及</w:t>
      </w:r>
      <w:r>
        <w:rPr>
          <w:rFonts w:hint="default" w:ascii="Times New Roman" w:hAnsi="Times New Roman" w:cs="Times New Roman"/>
          <w:color w:val="auto"/>
          <w:spacing w:val="0"/>
          <w:w w:val="100"/>
          <w:kern w:val="0"/>
          <w:position w:val="0"/>
          <w:sz w:val="24"/>
          <w:highlight w:val="none"/>
          <w:lang w:eastAsia="zh-CN"/>
        </w:rPr>
        <w:t>奶</w:t>
      </w:r>
      <w:r>
        <w:rPr>
          <w:rFonts w:hint="default" w:ascii="Times New Roman" w:hAnsi="Times New Roman" w:eastAsia="宋体" w:cs="Times New Roman"/>
          <w:color w:val="auto"/>
          <w:spacing w:val="0"/>
          <w:w w:val="100"/>
          <w:kern w:val="0"/>
          <w:position w:val="0"/>
          <w:sz w:val="24"/>
          <w:highlight w:val="none"/>
          <w:lang w:eastAsia="zh-CN"/>
        </w:rPr>
        <w:t>牛养殖业</w:t>
      </w:r>
      <w:r>
        <w:rPr>
          <w:rFonts w:hint="default" w:ascii="Times New Roman" w:hAnsi="Times New Roman" w:eastAsia="宋体" w:cs="Times New Roman"/>
          <w:color w:val="auto"/>
          <w:spacing w:val="0"/>
          <w:w w:val="100"/>
          <w:kern w:val="0"/>
          <w:position w:val="0"/>
          <w:sz w:val="24"/>
          <w:highlight w:val="none"/>
        </w:rPr>
        <w:t>对于农村牧区产业结构调整，增加农牧民经济收入具有重大的战略意义。国务院办公厅与农业部《关于加快畜牧业发展的意见》中明确指出：尽快把畜牧业发展成一个大产业，要把研究开发和推广畜禽优良品种、提高畜产品质量作为调整畜牧业结构的重点，加快发展肉羊、牛羊和肉禽生产。</w:t>
      </w:r>
    </w:p>
    <w:p>
      <w:pPr>
        <w:pStyle w:val="1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2021年农业农村部办公厅国家乡村振兴局综合司联合印发的《社会资本投资农业农村指引（2021年）》的通知中指出“积极发展牛羊产业，增加基础母畜存栏；稳步推进禽肉等产业发展，增加肉类市场总体供应。鼓励社会资本建设优质奶源基地，升级改造中小奶牛养殖场，做大做强民族奶业。”在这一前提下，自治区人民政府办公厅为鼓励社会资本进入养殖业出台了《自治区支持九大重点产业加快发展若干财政措施（暂行）》的通知，通知中指出“全力推进黄河流域生态保护和高质量发展先行区建设，加快推动枸杞、葡萄酒、奶产业、肉牛和滩羊、电子信息、新型材料、绿色食品、清洁能源、文化旅游等重点产业发展。”</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eastAsia="zh-CN"/>
        </w:rPr>
        <w:t>在此背景下，结合国家和自治区养殖业扶植政策和市场需求，宁夏垣盛越农牧综合开发有限公司</w:t>
      </w:r>
      <w:r>
        <w:rPr>
          <w:rFonts w:hint="default" w:ascii="Times New Roman" w:hAnsi="Times New Roman" w:eastAsia="宋体" w:cs="Times New Roman"/>
          <w:color w:val="auto"/>
          <w:spacing w:val="0"/>
          <w:w w:val="100"/>
          <w:kern w:val="0"/>
          <w:position w:val="0"/>
          <w:sz w:val="24"/>
          <w:highlight w:val="none"/>
        </w:rPr>
        <w:t>（以下简称</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建设单位</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）拟</w:t>
      </w:r>
      <w:r>
        <w:rPr>
          <w:rFonts w:hint="default" w:ascii="Times New Roman" w:hAnsi="Times New Roman" w:eastAsia="宋体" w:cs="Times New Roman"/>
          <w:color w:val="auto"/>
          <w:spacing w:val="0"/>
          <w:w w:val="100"/>
          <w:kern w:val="0"/>
          <w:position w:val="0"/>
          <w:sz w:val="24"/>
          <w:highlight w:val="none"/>
          <w:lang w:eastAsia="zh-CN"/>
        </w:rPr>
        <w:t>投资</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lang w:eastAsia="zh-CN"/>
        </w:rPr>
        <w:t>，在吴忠市同心县下马关镇上垣村建设</w:t>
      </w:r>
      <w:r>
        <w:rPr>
          <w:rFonts w:hint="default" w:ascii="Times New Roman" w:hAnsi="Times New Roman" w:eastAsia="宋体" w:cs="Times New Roman"/>
          <w:color w:val="auto"/>
          <w:spacing w:val="0"/>
          <w:w w:val="100"/>
          <w:kern w:val="0"/>
          <w:position w:val="0"/>
          <w:sz w:val="24"/>
          <w:highlight w:val="none"/>
          <w:lang w:val="en-US" w:eastAsia="zh-CN"/>
        </w:rPr>
        <w:t>“</w:t>
      </w:r>
      <w:r>
        <w:rPr>
          <w:rFonts w:hint="default" w:ascii="Times New Roman" w:hAnsi="Times New Roman" w:cs="Times New Roman"/>
          <w:color w:val="auto"/>
          <w:spacing w:val="0"/>
          <w:w w:val="100"/>
          <w:kern w:val="0"/>
          <w:position w:val="0"/>
          <w:sz w:val="24"/>
          <w:highlight w:val="none"/>
          <w:lang w:eastAsia="zh-CN"/>
        </w:rPr>
        <w:t>5000头奶牛扶贫养殖基地</w:t>
      </w:r>
      <w:r>
        <w:rPr>
          <w:rFonts w:hint="default" w:ascii="Times New Roman" w:hAnsi="Times New Roman" w:eastAsia="宋体"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（以下简称</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本项目</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cs="Times New Roman"/>
          <w:color w:val="auto"/>
          <w:spacing w:val="0"/>
          <w:w w:val="100"/>
          <w:kern w:val="0"/>
          <w:position w:val="0"/>
          <w:sz w:val="24"/>
          <w:highlight w:val="none"/>
          <w:lang w:eastAsia="zh-CN"/>
        </w:rPr>
        <w:t>本</w:t>
      </w:r>
      <w:r>
        <w:rPr>
          <w:rFonts w:hint="default" w:ascii="Times New Roman" w:hAnsi="Times New Roman" w:cs="Times New Roman"/>
          <w:color w:val="auto"/>
          <w:sz w:val="24"/>
          <w:szCs w:val="24"/>
          <w:lang w:eastAsia="zh-CN"/>
        </w:rPr>
        <w:t>项目总占地面积</w:t>
      </w:r>
      <w:r>
        <w:rPr>
          <w:rFonts w:hint="default" w:ascii="Times New Roman" w:hAnsi="Times New Roman" w:cs="Times New Roman"/>
          <w:color w:val="auto"/>
          <w:sz w:val="24"/>
          <w:szCs w:val="24"/>
          <w:lang w:val="en-US" w:eastAsia="zh-CN"/>
        </w:rPr>
        <w:t>414亩，</w:t>
      </w:r>
      <w:r>
        <w:rPr>
          <w:rFonts w:hint="default" w:ascii="Times New Roman" w:hAnsi="Times New Roman" w:eastAsia="宋体" w:cs="Times New Roman"/>
          <w:color w:val="auto"/>
          <w:sz w:val="24"/>
          <w:szCs w:val="32"/>
          <w:lang w:eastAsia="zh-CN"/>
        </w:rPr>
        <w:t>新建奶牛舍</w:t>
      </w:r>
      <w:r>
        <w:rPr>
          <w:rFonts w:hint="default" w:ascii="Times New Roman" w:hAnsi="Times New Roman" w:eastAsia="宋体" w:cs="Times New Roman"/>
          <w:color w:val="auto"/>
          <w:sz w:val="24"/>
          <w:szCs w:val="32"/>
          <w:lang w:val="en-US" w:eastAsia="zh-CN"/>
        </w:rPr>
        <w:t>4</w:t>
      </w:r>
      <w:r>
        <w:rPr>
          <w:rFonts w:hint="default" w:ascii="Times New Roman" w:hAnsi="Times New Roman" w:eastAsia="宋体" w:cs="Times New Roman"/>
          <w:color w:val="auto"/>
          <w:sz w:val="24"/>
          <w:szCs w:val="32"/>
          <w:lang w:eastAsia="zh-CN"/>
        </w:rPr>
        <w:t>栋、青年牛舍</w:t>
      </w:r>
      <w:r>
        <w:rPr>
          <w:rFonts w:hint="default" w:ascii="Times New Roman" w:hAnsi="Times New Roman" w:eastAsia="宋体" w:cs="Times New Roman"/>
          <w:color w:val="auto"/>
          <w:sz w:val="24"/>
          <w:szCs w:val="32"/>
          <w:lang w:val="en-US" w:eastAsia="zh-CN"/>
        </w:rPr>
        <w:t>2栋、</w:t>
      </w:r>
      <w:r>
        <w:rPr>
          <w:rFonts w:hint="default" w:ascii="Times New Roman" w:hAnsi="Times New Roman" w:eastAsia="宋体" w:cs="Times New Roman"/>
          <w:color w:val="auto"/>
          <w:sz w:val="24"/>
          <w:szCs w:val="32"/>
          <w:lang w:eastAsia="zh-CN"/>
        </w:rPr>
        <w:t>产牛舍1栋、犊牛舍2栋、怀犊牛舍</w:t>
      </w:r>
      <w:r>
        <w:rPr>
          <w:rFonts w:hint="default" w:ascii="Times New Roman" w:hAnsi="Times New Roman" w:eastAsia="宋体" w:cs="Times New Roman"/>
          <w:color w:val="auto"/>
          <w:sz w:val="24"/>
          <w:szCs w:val="32"/>
          <w:lang w:val="en-US" w:eastAsia="zh-CN"/>
        </w:rPr>
        <w:t>3栋、</w:t>
      </w:r>
      <w:r>
        <w:rPr>
          <w:rFonts w:hint="default" w:ascii="Times New Roman" w:hAnsi="Times New Roman" w:eastAsia="宋体" w:cs="Times New Roman"/>
          <w:color w:val="auto"/>
          <w:sz w:val="24"/>
          <w:szCs w:val="32"/>
          <w:lang w:eastAsia="zh-CN"/>
        </w:rPr>
        <w:t>挤奶厅、干草棚、青贮池、堆粪棚、</w:t>
      </w:r>
      <w:r>
        <w:rPr>
          <w:rFonts w:hint="default" w:ascii="Times New Roman" w:hAnsi="Times New Roman" w:cs="Times New Roman"/>
          <w:color w:val="auto"/>
          <w:sz w:val="24"/>
          <w:szCs w:val="24"/>
          <w:lang w:val="en-US" w:eastAsia="zh-CN"/>
        </w:rPr>
        <w:t>污水处理设施、宿舍办公区</w:t>
      </w:r>
      <w:r>
        <w:rPr>
          <w:rFonts w:hint="default" w:ascii="Times New Roman" w:hAnsi="Times New Roman" w:cs="Times New Roman"/>
          <w:color w:val="auto"/>
          <w:sz w:val="24"/>
          <w:szCs w:val="24"/>
          <w:lang w:eastAsia="zh-CN"/>
        </w:rPr>
        <w:t>及相关配套设施。项目奶牛存栏</w:t>
      </w:r>
      <w:r>
        <w:rPr>
          <w:rFonts w:hint="default"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lang w:eastAsia="zh-CN"/>
        </w:rPr>
        <w:t>0头，年生产原奶</w:t>
      </w:r>
      <w:r>
        <w:rPr>
          <w:rFonts w:hint="default" w:ascii="Times New Roman" w:hAnsi="Times New Roman" w:cs="Times New Roman"/>
          <w:color w:val="auto"/>
          <w:sz w:val="24"/>
          <w:szCs w:val="24"/>
          <w:lang w:val="en-US" w:eastAsia="zh-CN"/>
        </w:rPr>
        <w:t>23000吨</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pacing w:val="0"/>
          <w:w w:val="100"/>
          <w:kern w:val="0"/>
          <w:position w:val="0"/>
          <w:sz w:val="24"/>
          <w:highlight w:val="none"/>
          <w:lang w:eastAsia="zh-CN"/>
        </w:rPr>
        <w:t>建设</w:t>
      </w:r>
      <w:r>
        <w:rPr>
          <w:rFonts w:hint="default" w:ascii="Times New Roman" w:hAnsi="Times New Roman" w:eastAsia="宋体" w:cs="Times New Roman"/>
          <w:color w:val="auto"/>
          <w:spacing w:val="0"/>
          <w:w w:val="100"/>
          <w:kern w:val="0"/>
          <w:position w:val="0"/>
          <w:sz w:val="24"/>
          <w:highlight w:val="none"/>
        </w:rPr>
        <w:t>利用</w:t>
      </w:r>
      <w:r>
        <w:rPr>
          <w:rFonts w:hint="default" w:ascii="Times New Roman" w:hAnsi="Times New Roman" w:eastAsia="宋体" w:cs="Times New Roman"/>
          <w:color w:val="auto"/>
          <w:spacing w:val="0"/>
          <w:w w:val="100"/>
          <w:kern w:val="0"/>
          <w:position w:val="0"/>
          <w:sz w:val="24"/>
          <w:highlight w:val="none"/>
          <w:lang w:eastAsia="zh-CN"/>
        </w:rPr>
        <w:t>同心县下马关镇上垣村</w:t>
      </w:r>
      <w:r>
        <w:rPr>
          <w:rFonts w:hint="default" w:ascii="Times New Roman" w:hAnsi="Times New Roman" w:eastAsia="宋体" w:cs="Times New Roman"/>
          <w:color w:val="auto"/>
          <w:spacing w:val="0"/>
          <w:w w:val="100"/>
          <w:kern w:val="0"/>
          <w:position w:val="0"/>
          <w:sz w:val="24"/>
          <w:highlight w:val="none"/>
        </w:rPr>
        <w:t>适宜的自然环境，采用集中规模化饲养奶牛，以拓宽农民增收渠道、带动农户增收及促进</w:t>
      </w:r>
      <w:r>
        <w:rPr>
          <w:rFonts w:hint="default" w:ascii="Times New Roman" w:hAnsi="Times New Roman" w:eastAsia="宋体" w:cs="Times New Roman"/>
          <w:color w:val="auto"/>
          <w:spacing w:val="0"/>
          <w:w w:val="100"/>
          <w:kern w:val="0"/>
          <w:position w:val="0"/>
          <w:sz w:val="24"/>
          <w:highlight w:val="none"/>
          <w:lang w:eastAsia="zh-CN"/>
        </w:rPr>
        <w:t>当地</w:t>
      </w:r>
      <w:r>
        <w:rPr>
          <w:rFonts w:hint="default" w:ascii="Times New Roman" w:hAnsi="Times New Roman" w:eastAsia="宋体" w:cs="Times New Roman"/>
          <w:color w:val="auto"/>
          <w:spacing w:val="0"/>
          <w:w w:val="100"/>
          <w:kern w:val="0"/>
          <w:position w:val="0"/>
          <w:sz w:val="24"/>
          <w:highlight w:val="none"/>
        </w:rPr>
        <w:t>农业产业结构调整优化为目标，提高当地农业现代化发展水平，大力推进奶牛生产的区域化、规模化、优质化，加快</w:t>
      </w:r>
      <w:r>
        <w:rPr>
          <w:rFonts w:hint="default" w:ascii="Times New Roman" w:hAnsi="Times New Roman" w:eastAsia="宋体" w:cs="Times New Roman"/>
          <w:color w:val="auto"/>
          <w:spacing w:val="0"/>
          <w:w w:val="100"/>
          <w:kern w:val="0"/>
          <w:position w:val="0"/>
          <w:sz w:val="24"/>
          <w:highlight w:val="none"/>
          <w:lang w:eastAsia="zh-CN"/>
        </w:rPr>
        <w:t>当地</w:t>
      </w:r>
      <w:r>
        <w:rPr>
          <w:rFonts w:hint="default" w:ascii="Times New Roman" w:hAnsi="Times New Roman" w:eastAsia="宋体" w:cs="Times New Roman"/>
          <w:color w:val="auto"/>
          <w:spacing w:val="0"/>
          <w:w w:val="100"/>
          <w:kern w:val="0"/>
          <w:position w:val="0"/>
          <w:sz w:val="24"/>
          <w:highlight w:val="none"/>
        </w:rPr>
        <w:t>奶牛养殖产业化发展进</w:t>
      </w:r>
      <w:r>
        <w:rPr>
          <w:rFonts w:hint="default" w:ascii="Times New Roman" w:hAnsi="Times New Roman" w:eastAsia="宋体" w:cs="Times New Roman"/>
          <w:color w:val="auto"/>
          <w:spacing w:val="0"/>
          <w:w w:val="100"/>
          <w:kern w:val="0"/>
          <w:position w:val="0"/>
          <w:sz w:val="24"/>
          <w:highlight w:val="none"/>
          <w:lang w:eastAsia="zh-CN"/>
        </w:rPr>
        <w:t>程，</w:t>
      </w:r>
      <w:r>
        <w:rPr>
          <w:rFonts w:hint="default" w:ascii="Times New Roman" w:hAnsi="Times New Roman" w:eastAsia="宋体" w:cs="Times New Roman"/>
          <w:color w:val="auto"/>
          <w:spacing w:val="0"/>
          <w:w w:val="100"/>
          <w:kern w:val="0"/>
          <w:position w:val="0"/>
          <w:sz w:val="24"/>
          <w:highlight w:val="none"/>
        </w:rPr>
        <w:t>对整合周边发展畜牧产业具有良好的引领示范作用，无论是提高畜牧养殖的经济效益还是提升生态效益，都具有重要意义</w:t>
      </w:r>
      <w:r>
        <w:rPr>
          <w:rFonts w:hint="default" w:ascii="Times New Roman" w:hAnsi="Times New Roman" w:eastAsia="宋体" w:cs="Times New Roman"/>
          <w:color w:val="auto"/>
          <w:spacing w:val="0"/>
          <w:w w:val="100"/>
          <w:kern w:val="0"/>
          <w:position w:val="0"/>
          <w:sz w:val="24"/>
          <w:highlight w:val="none"/>
          <w:lang w:eastAsia="zh-CN"/>
        </w:rPr>
        <w:t>。</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根据《中华人民共和国环境保护法》、《中华人民共和国环境影响评价法》及国务院第682号令《建设项目环境保护管理条例》等有关规定，</w:t>
      </w:r>
      <w:r>
        <w:rPr>
          <w:rFonts w:hint="default" w:ascii="Times New Roman" w:hAnsi="Times New Roman" w:eastAsia="宋体" w:cs="Times New Roman"/>
          <w:color w:val="auto"/>
          <w:spacing w:val="0"/>
          <w:w w:val="100"/>
          <w:kern w:val="0"/>
          <w:position w:val="0"/>
          <w:sz w:val="24"/>
          <w:highlight w:val="none"/>
          <w:lang w:eastAsia="zh-CN"/>
        </w:rPr>
        <w:t>宁夏垣盛越农牧综合开发有限公司</w:t>
      </w:r>
      <w:r>
        <w:rPr>
          <w:rFonts w:hint="default" w:ascii="Times New Roman" w:hAnsi="Times New Roman" w:eastAsia="宋体" w:cs="Times New Roman"/>
          <w:color w:val="auto"/>
          <w:spacing w:val="0"/>
          <w:w w:val="100"/>
          <w:kern w:val="0"/>
          <w:position w:val="0"/>
          <w:sz w:val="24"/>
          <w:highlight w:val="none"/>
        </w:rPr>
        <w:t>以书面委托的方式，委托宁夏锦润万鑫环境科技有限公司（以下简称</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编制单位</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，对其组织实施的</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cs="Times New Roman"/>
          <w:color w:val="auto"/>
          <w:spacing w:val="0"/>
          <w:w w:val="100"/>
          <w:kern w:val="0"/>
          <w:position w:val="0"/>
          <w:sz w:val="24"/>
          <w:highlight w:val="none"/>
          <w:lang w:eastAsia="zh-CN"/>
        </w:rPr>
        <w:t>5000头奶牛扶贫养殖基地</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（以下简称</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本项目</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）进行环境影响评价工作；根据《建设项目环境影响评价分类管理名录》，本项目为畜禽养殖行业，属于《建设项目环境影响评价分类管理名录》</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2021年版</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中</w:t>
      </w:r>
      <w:r>
        <w:rPr>
          <w:rFonts w:hint="default" w:ascii="Times New Roman" w:hAnsi="Times New Roman" w:eastAsia="宋体" w:cs="Times New Roman"/>
          <w:color w:val="auto"/>
          <w:spacing w:val="0"/>
          <w:w w:val="100"/>
          <w:kern w:val="0"/>
          <w:position w:val="0"/>
          <w:sz w:val="24"/>
          <w:highlight w:val="none"/>
          <w:lang w:eastAsia="zh-CN"/>
        </w:rPr>
        <w:t>“二</w:t>
      </w:r>
      <w:r>
        <w:rPr>
          <w:rFonts w:hint="default" w:ascii="Times New Roman" w:hAnsi="Times New Roman" w:eastAsia="宋体" w:cs="Times New Roman"/>
          <w:color w:val="auto"/>
          <w:spacing w:val="0"/>
          <w:w w:val="100"/>
          <w:kern w:val="0"/>
          <w:position w:val="0"/>
          <w:sz w:val="24"/>
          <w:highlight w:val="none"/>
        </w:rPr>
        <w:t>、畜牧业</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中</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031</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eastAsia="zh-CN"/>
        </w:rPr>
        <w:t>牲畜饲养</w:t>
      </w:r>
      <w:r>
        <w:rPr>
          <w:rFonts w:hint="default" w:ascii="Times New Roman" w:hAnsi="Times New Roman" w:eastAsia="宋体" w:cs="Times New Roman"/>
          <w:color w:val="auto"/>
          <w:spacing w:val="0"/>
          <w:w w:val="100"/>
          <w:kern w:val="0"/>
          <w:position w:val="0"/>
          <w:sz w:val="24"/>
          <w:highlight w:val="none"/>
        </w:rPr>
        <w:t>，年出栏生猪5000头（其他畜禽种类折合猪的养殖规模）及以上</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，本项目年存栏奶牛</w:t>
      </w:r>
      <w:r>
        <w:rPr>
          <w:rFonts w:hint="default" w:ascii="Times New Roman" w:hAnsi="Times New Roman" w:cs="Times New Roman"/>
          <w:color w:val="auto"/>
          <w:spacing w:val="0"/>
          <w:w w:val="100"/>
          <w:kern w:val="0"/>
          <w:position w:val="0"/>
          <w:sz w:val="24"/>
          <w:highlight w:val="none"/>
          <w:lang w:val="en-US" w:eastAsia="zh-CN"/>
        </w:rPr>
        <w:t>5</w:t>
      </w:r>
      <w:r>
        <w:rPr>
          <w:rFonts w:hint="default" w:ascii="Times New Roman" w:hAnsi="Times New Roman" w:eastAsia="宋体" w:cs="Times New Roman"/>
          <w:color w:val="auto"/>
          <w:spacing w:val="0"/>
          <w:w w:val="100"/>
          <w:kern w:val="0"/>
          <w:position w:val="0"/>
          <w:sz w:val="24"/>
          <w:highlight w:val="none"/>
          <w:lang w:val="en-US" w:eastAsia="zh-CN"/>
        </w:rPr>
        <w:t>000头</w:t>
      </w:r>
      <w:r>
        <w:rPr>
          <w:rFonts w:hint="default" w:ascii="Times New Roman" w:hAnsi="Times New Roman" w:eastAsia="宋体" w:cs="Times New Roman"/>
          <w:color w:val="auto"/>
          <w:spacing w:val="0"/>
          <w:w w:val="100"/>
          <w:kern w:val="0"/>
          <w:position w:val="0"/>
          <w:sz w:val="24"/>
          <w:highlight w:val="none"/>
        </w:rPr>
        <w:t>，根据集约化畜禽养殖区的适用规模（以存栏量计），1头奶牛折算为</w:t>
      </w:r>
      <w:r>
        <w:rPr>
          <w:rFonts w:hint="default" w:ascii="Times New Roman" w:hAnsi="Times New Roman" w:eastAsia="宋体" w:cs="Times New Roman"/>
          <w:color w:val="auto"/>
          <w:spacing w:val="0"/>
          <w:w w:val="100"/>
          <w:kern w:val="0"/>
          <w:position w:val="0"/>
          <w:sz w:val="24"/>
          <w:highlight w:val="none"/>
          <w:lang w:val="en-US" w:eastAsia="zh-CN"/>
        </w:rPr>
        <w:t>10</w:t>
      </w:r>
      <w:r>
        <w:rPr>
          <w:rFonts w:hint="default" w:ascii="Times New Roman" w:hAnsi="Times New Roman" w:eastAsia="宋体" w:cs="Times New Roman"/>
          <w:color w:val="auto"/>
          <w:spacing w:val="0"/>
          <w:w w:val="100"/>
          <w:kern w:val="0"/>
          <w:position w:val="0"/>
          <w:sz w:val="24"/>
          <w:highlight w:val="none"/>
        </w:rPr>
        <w:t>头猪，本项目折成猪是</w:t>
      </w:r>
      <w:r>
        <w:rPr>
          <w:rFonts w:hint="default" w:ascii="Times New Roman" w:hAnsi="Times New Roman" w:cs="Times New Roman"/>
          <w:color w:val="auto"/>
          <w:spacing w:val="0"/>
          <w:w w:val="100"/>
          <w:kern w:val="0"/>
          <w:position w:val="0"/>
          <w:sz w:val="24"/>
          <w:highlight w:val="none"/>
          <w:lang w:val="en-US" w:eastAsia="zh-CN"/>
        </w:rPr>
        <w:t>5</w:t>
      </w:r>
      <w:r>
        <w:rPr>
          <w:rFonts w:hint="default" w:ascii="Times New Roman" w:hAnsi="Times New Roman" w:eastAsia="宋体" w:cs="Times New Roman"/>
          <w:color w:val="auto"/>
          <w:spacing w:val="0"/>
          <w:w w:val="100"/>
          <w:kern w:val="0"/>
          <w:position w:val="0"/>
          <w:sz w:val="24"/>
          <w:highlight w:val="none"/>
          <w:lang w:val="en-US" w:eastAsia="zh-CN"/>
        </w:rPr>
        <w:t>0</w:t>
      </w:r>
      <w:r>
        <w:rPr>
          <w:rFonts w:hint="default" w:ascii="Times New Roman" w:hAnsi="Times New Roman" w:eastAsia="宋体" w:cs="Times New Roman"/>
          <w:color w:val="auto"/>
          <w:spacing w:val="0"/>
          <w:w w:val="100"/>
          <w:kern w:val="0"/>
          <w:position w:val="0"/>
          <w:sz w:val="24"/>
          <w:highlight w:val="none"/>
        </w:rPr>
        <w:t>000头，应编制环境影响报告书。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highlight w:val="none"/>
        </w:rPr>
        <w:t>接受委托后，我公司严格按照国家的有关法规及</w:t>
      </w:r>
      <w:r>
        <w:rPr>
          <w:rFonts w:hint="default" w:ascii="Times New Roman" w:hAnsi="Times New Roman" w:cs="Times New Roman"/>
          <w:color w:val="auto"/>
          <w:spacing w:val="0"/>
          <w:w w:val="100"/>
          <w:kern w:val="0"/>
          <w:position w:val="0"/>
          <w:sz w:val="24"/>
          <w:highlight w:val="none"/>
          <w:lang w:eastAsia="zh-CN"/>
        </w:rPr>
        <w:t>地方</w:t>
      </w:r>
      <w:r>
        <w:rPr>
          <w:rFonts w:hint="default" w:ascii="Times New Roman" w:hAnsi="Times New Roman" w:eastAsia="宋体" w:cs="Times New Roman"/>
          <w:color w:val="auto"/>
          <w:spacing w:val="0"/>
          <w:w w:val="100"/>
          <w:kern w:val="0"/>
          <w:position w:val="0"/>
          <w:sz w:val="24"/>
          <w:highlight w:val="none"/>
        </w:rPr>
        <w:t>相关要求，工程技术人员认真研究本项目的有关文件，并进行实地踏勘和调研，收集和核实了有关材料，根据有关工程资料，在现场调查、调查环境现状资料、预测计算分析等环节工作的基础上，编制完成了《</w:t>
      </w:r>
      <w:r>
        <w:rPr>
          <w:rFonts w:hint="default" w:ascii="Times New Roman" w:hAnsi="Times New Roman" w:cs="Times New Roman"/>
          <w:color w:val="auto"/>
          <w:spacing w:val="0"/>
          <w:w w:val="100"/>
          <w:kern w:val="0"/>
          <w:position w:val="0"/>
          <w:sz w:val="24"/>
          <w:szCs w:val="24"/>
          <w:lang w:eastAsia="zh-CN"/>
        </w:rPr>
        <w:t>5000头奶牛扶贫养殖基地</w:t>
      </w:r>
      <w:r>
        <w:rPr>
          <w:rFonts w:hint="default" w:ascii="Times New Roman" w:hAnsi="Times New Roman" w:eastAsia="宋体" w:cs="Times New Roman"/>
          <w:color w:val="auto"/>
          <w:spacing w:val="0"/>
          <w:w w:val="100"/>
          <w:kern w:val="0"/>
          <w:position w:val="0"/>
          <w:sz w:val="24"/>
          <w:highlight w:val="none"/>
        </w:rPr>
        <w:t>环境影响报告书》。</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32" w:name="_Toc31081"/>
      <w:bookmarkStart w:id="33" w:name="_Toc28077"/>
      <w:bookmarkStart w:id="34" w:name="_Toc24226"/>
      <w:bookmarkStart w:id="35" w:name="_Toc21609"/>
      <w:bookmarkStart w:id="36" w:name="_Toc2103"/>
      <w:bookmarkStart w:id="37" w:name="_Toc10937"/>
      <w:r>
        <w:rPr>
          <w:rFonts w:hint="default" w:ascii="Times New Roman" w:hAnsi="Times New Roman" w:eastAsia="宋体" w:cs="Times New Roman"/>
          <w:b/>
          <w:color w:val="auto"/>
          <w:spacing w:val="0"/>
          <w:w w:val="100"/>
          <w:kern w:val="0"/>
          <w:position w:val="0"/>
          <w:sz w:val="24"/>
          <w:szCs w:val="28"/>
          <w:highlight w:val="none"/>
        </w:rPr>
        <w:t>2.环境影响评价工作过程</w:t>
      </w:r>
      <w:bookmarkEnd w:id="32"/>
      <w:bookmarkEnd w:id="33"/>
      <w:bookmarkEnd w:id="34"/>
      <w:bookmarkEnd w:id="35"/>
      <w:bookmarkEnd w:id="36"/>
      <w:bookmarkEnd w:id="37"/>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评价机构接收委托后，组织环评项目组开展工作。首先进入项目所在地进行现场勘查，之后进行资料收集，确定环境问题及环境因子，明确环境保护目标；通过工程分析和污染影响分析，进行环境影响因子的筛选，确定源强；通过现状调查、监测，进行大气、水、声、生态环境等的现状评价；按照国家和自治区关于环境保护的要求，提出技术可行、经济合理的污染防治措施，预测和评价本项目建成后污染物排放对环境产生影响的范围和程度，做出项目是否可行的结论，最后将上述内容编制成环境影响报告书，报送</w:t>
      </w:r>
      <w:r>
        <w:rPr>
          <w:rFonts w:hint="default" w:ascii="Times New Roman" w:hAnsi="Times New Roman" w:eastAsia="宋体" w:cs="Times New Roman"/>
          <w:bCs/>
          <w:color w:val="auto"/>
          <w:spacing w:val="0"/>
          <w:w w:val="100"/>
          <w:kern w:val="0"/>
          <w:position w:val="0"/>
          <w:sz w:val="24"/>
          <w:highlight w:val="none"/>
          <w:lang w:eastAsia="zh-CN"/>
        </w:rPr>
        <w:t>生态环境主管</w:t>
      </w:r>
      <w:r>
        <w:rPr>
          <w:rFonts w:hint="default" w:ascii="Times New Roman" w:hAnsi="Times New Roman" w:eastAsia="宋体" w:cs="Times New Roman"/>
          <w:bCs/>
          <w:color w:val="auto"/>
          <w:spacing w:val="0"/>
          <w:w w:val="100"/>
          <w:kern w:val="0"/>
          <w:position w:val="0"/>
          <w:sz w:val="24"/>
          <w:highlight w:val="none"/>
        </w:rPr>
        <w:t>部门审批。</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lang w:eastAsia="zh-CN"/>
        </w:rPr>
        <w:t>编制</w:t>
      </w:r>
      <w:r>
        <w:rPr>
          <w:rFonts w:hint="default" w:ascii="Times New Roman" w:hAnsi="Times New Roman" w:eastAsia="宋体" w:cs="Times New Roman"/>
          <w:bCs/>
          <w:color w:val="auto"/>
          <w:spacing w:val="0"/>
          <w:w w:val="100"/>
          <w:kern w:val="0"/>
          <w:position w:val="0"/>
          <w:sz w:val="24"/>
          <w:highlight w:val="none"/>
        </w:rPr>
        <w:t>单位根据项目特点及区域环境特征，确定本次环境影响评价工作的主要内容如下：</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1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⑴</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结合本项目建设内容开展工程分析。</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2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⑵</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调查区域自然环境简况，开展环境质量现状调查与评价，确定保护的环境目标。</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3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⑶</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贯彻节能减排和循环经济原则，落实污染源治理达标排放和总量控制原则，从经济合理、技术可行的角度论证并优化、完善各项污染防治措施。</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4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⑷</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预测和评价项目建设期及运营期各类污染物排放对评价区内环境质量影响的范围和程度，从环境保护的角度论证项目在该场址建设的可行性及项目总图布置的合理性。</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5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⑸</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关注项目环境风险是否在可</w:t>
      </w:r>
      <w:r>
        <w:rPr>
          <w:rFonts w:hint="default" w:ascii="Times New Roman" w:hAnsi="Times New Roman" w:eastAsia="宋体" w:cs="Times New Roman"/>
          <w:bCs/>
          <w:color w:val="auto"/>
          <w:spacing w:val="0"/>
          <w:w w:val="100"/>
          <w:kern w:val="0"/>
          <w:position w:val="0"/>
          <w:sz w:val="24"/>
          <w:highlight w:val="none"/>
          <w:lang w:eastAsia="zh-CN"/>
        </w:rPr>
        <w:t>防可控</w:t>
      </w:r>
      <w:r>
        <w:rPr>
          <w:rFonts w:hint="default" w:ascii="Times New Roman" w:hAnsi="Times New Roman" w:eastAsia="宋体" w:cs="Times New Roman"/>
          <w:bCs/>
          <w:color w:val="auto"/>
          <w:spacing w:val="0"/>
          <w:w w:val="100"/>
          <w:kern w:val="0"/>
          <w:position w:val="0"/>
          <w:sz w:val="24"/>
          <w:highlight w:val="none"/>
        </w:rPr>
        <w:t>的范围内。</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6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⑹</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开展环境经济损益分析。</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7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⑺</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制定项目环境管理计划和环境监测计划，提出项目竣工环境保护验收重点。本项目环境影响评价工作分三个阶段，即前期准备、调研和工作方案阶段，分析论证和预测评价阶段，环境影响评价文件编制阶段，具体流程图见图1。</w:t>
      </w:r>
    </w:p>
    <w:p>
      <w:pPr>
        <w:pStyle w:val="8"/>
        <w:spacing w:line="360" w:lineRule="auto"/>
        <w:ind w:left="0" w:leftChars="0" w:firstLine="0" w:firstLineChars="0"/>
        <w:rPr>
          <w:rFonts w:hint="default" w:ascii="Times New Roman" w:hAnsi="Times New Roman" w:eastAsia="宋体" w:cs="Times New Roman"/>
          <w:b/>
          <w:bCs/>
          <w:color w:val="auto"/>
          <w:spacing w:val="0"/>
          <w:w w:val="100"/>
          <w:kern w:val="0"/>
          <w:position w:val="0"/>
          <w:sz w:val="24"/>
          <w:szCs w:val="24"/>
          <w:highlight w:val="none"/>
        </w:rPr>
      </w:pPr>
      <w:r>
        <w:rPr>
          <w:rFonts w:hint="default" w:ascii="Times New Roman" w:hAnsi="Times New Roman" w:cs="Times New Roman"/>
          <w:caps w:val="0"/>
          <w:smallCaps w:val="0"/>
          <w:snapToGrid w:val="0"/>
          <w:color w:val="auto"/>
          <w:spacing w:val="0"/>
          <w:w w:val="100"/>
          <w:kern w:val="0"/>
          <w:position w:val="0"/>
          <w:highlight w:val="none"/>
        </w:rPr>
        <w:object>
          <v:shape id="_x0000_i1025" o:spt="75" type="#_x0000_t75" style="height:480pt;width:421.5pt;" o:ole="t" filled="f" o:preferrelative="t" stroked="f" coordsize="21600,21600">
            <v:path/>
            <v:fill on="f" focussize="0,0"/>
            <v:stroke on="f" joinstyle="miter"/>
            <v:imagedata r:id="rId21" o:title=""/>
            <o:lock v:ext="edit" aspectratio="t"/>
            <w10:wrap type="none"/>
            <w10:anchorlock/>
          </v:shape>
          <o:OLEObject Type="Embed" ProgID="Visio.Drawing.11" ShapeID="_x0000_i1025" DrawAspect="Content" ObjectID="_1468075725" r:id="rId20">
            <o:LockedField>false</o:LockedField>
          </o:OLEObject>
        </w:object>
      </w:r>
    </w:p>
    <w:p>
      <w:pPr>
        <w:pStyle w:val="16"/>
        <w:spacing w:line="360" w:lineRule="auto"/>
        <w:jc w:val="center"/>
        <w:rPr>
          <w:rFonts w:hint="default" w:ascii="Times New Roman" w:hAnsi="Times New Roman" w:eastAsia="宋体" w:cs="Times New Roman"/>
          <w:b/>
          <w:bCs/>
          <w:color w:val="auto"/>
          <w:spacing w:val="0"/>
          <w:w w:val="100"/>
          <w:kern w:val="0"/>
          <w:position w:val="0"/>
          <w:sz w:val="24"/>
          <w:szCs w:val="24"/>
          <w:highlight w:val="none"/>
        </w:rPr>
      </w:pPr>
      <w:r>
        <w:rPr>
          <w:rFonts w:hint="default" w:ascii="Times New Roman" w:hAnsi="Times New Roman" w:eastAsia="宋体" w:cs="Times New Roman"/>
          <w:b/>
          <w:bCs/>
          <w:color w:val="auto"/>
          <w:spacing w:val="0"/>
          <w:w w:val="100"/>
          <w:kern w:val="0"/>
          <w:position w:val="0"/>
          <w:sz w:val="24"/>
          <w:szCs w:val="24"/>
          <w:highlight w:val="none"/>
        </w:rPr>
        <w:t>图1   环境影响评价工作程序图</w:t>
      </w:r>
    </w:p>
    <w:p>
      <w:pPr>
        <w:keepNext w:val="0"/>
        <w:keepLines w:val="0"/>
        <w:pageBreakBefore w:val="0"/>
        <w:widowControl w:val="0"/>
        <w:kinsoku/>
        <w:wordWrap/>
        <w:overflowPunct/>
        <w:topLinePunct w:val="0"/>
        <w:autoSpaceDE/>
        <w:autoSpaceDN/>
        <w:bidi w:val="0"/>
        <w:adjustRightInd/>
        <w:snapToGrid w:val="0"/>
        <w:spacing w:line="48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38" w:name="_Toc24595_WPSOffice_Level1"/>
      <w:bookmarkStart w:id="39" w:name="_Toc24342"/>
      <w:bookmarkStart w:id="40" w:name="_Toc25492"/>
      <w:bookmarkStart w:id="41" w:name="_Toc24479_WPSOffice_Level1"/>
      <w:bookmarkStart w:id="42" w:name="_Toc11294"/>
      <w:bookmarkStart w:id="43" w:name="_Toc26040"/>
      <w:bookmarkStart w:id="44" w:name="_Toc10135"/>
      <w:bookmarkStart w:id="45" w:name="_Toc991"/>
      <w:bookmarkStart w:id="46" w:name="_Toc477253504"/>
      <w:bookmarkStart w:id="47" w:name="_Toc501696407"/>
      <w:bookmarkStart w:id="48" w:name="_Toc30815"/>
      <w:bookmarkStart w:id="49" w:name="_Toc16090"/>
      <w:bookmarkStart w:id="50" w:name="_Toc3950"/>
      <w:bookmarkStart w:id="51" w:name="_Toc9486"/>
      <w:r>
        <w:rPr>
          <w:rFonts w:hint="default" w:ascii="Times New Roman" w:hAnsi="Times New Roman" w:eastAsia="宋体" w:cs="Times New Roman"/>
          <w:b/>
          <w:color w:val="auto"/>
          <w:spacing w:val="0"/>
          <w:w w:val="100"/>
          <w:kern w:val="0"/>
          <w:position w:val="0"/>
          <w:sz w:val="24"/>
          <w:szCs w:val="28"/>
          <w:highlight w:val="none"/>
        </w:rPr>
        <w:t>3</w:t>
      </w:r>
      <w:r>
        <w:rPr>
          <w:rFonts w:hint="default" w:ascii="Times New Roman" w:hAnsi="Times New Roman" w:eastAsia="宋体" w:cs="Times New Roman"/>
          <w:b/>
          <w:color w:val="auto"/>
          <w:spacing w:val="0"/>
          <w:w w:val="100"/>
          <w:kern w:val="0"/>
          <w:position w:val="0"/>
          <w:sz w:val="24"/>
          <w:szCs w:val="28"/>
          <w:highlight w:val="none"/>
          <w:lang w:val="en-US" w:eastAsia="zh-CN"/>
        </w:rPr>
        <w:t>.</w:t>
      </w:r>
      <w:r>
        <w:rPr>
          <w:rFonts w:hint="default" w:ascii="Times New Roman" w:hAnsi="Times New Roman" w:eastAsia="宋体" w:cs="Times New Roman"/>
          <w:b/>
          <w:color w:val="auto"/>
          <w:spacing w:val="0"/>
          <w:w w:val="100"/>
          <w:kern w:val="0"/>
          <w:position w:val="0"/>
          <w:sz w:val="24"/>
          <w:szCs w:val="28"/>
          <w:highlight w:val="none"/>
        </w:rPr>
        <w:t>项目特点</w:t>
      </w:r>
      <w:bookmarkEnd w:id="38"/>
      <w:bookmarkEnd w:id="39"/>
      <w:bookmarkEnd w:id="40"/>
      <w:bookmarkEnd w:id="41"/>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pacing w:val="0"/>
          <w:w w:val="100"/>
          <w:kern w:val="0"/>
          <w:position w:val="0"/>
          <w:sz w:val="24"/>
          <w:szCs w:val="28"/>
          <w:highlight w:val="none"/>
        </w:rPr>
      </w:pPr>
      <w:bookmarkStart w:id="52" w:name="_Toc31691"/>
      <w:bookmarkStart w:id="53" w:name="_Toc4817"/>
      <w:r>
        <w:rPr>
          <w:rFonts w:hint="default" w:ascii="Times New Roman" w:hAnsi="Times New Roman" w:eastAsia="宋体" w:cs="Times New Roman"/>
          <w:b w:val="0"/>
          <w:bCs/>
          <w:color w:val="auto"/>
          <w:spacing w:val="0"/>
          <w:w w:val="100"/>
          <w:kern w:val="0"/>
          <w:position w:val="0"/>
          <w:sz w:val="24"/>
          <w:szCs w:val="28"/>
          <w:highlight w:val="none"/>
          <w:lang w:val="en-US" w:eastAsia="zh-CN"/>
        </w:rPr>
        <w:t>(1)</w:t>
      </w:r>
      <w:r>
        <w:rPr>
          <w:rFonts w:hint="default" w:ascii="Times New Roman" w:hAnsi="Times New Roman" w:eastAsia="宋体" w:cs="Times New Roman"/>
          <w:b w:val="0"/>
          <w:bCs/>
          <w:color w:val="auto"/>
          <w:spacing w:val="0"/>
          <w:w w:val="100"/>
          <w:kern w:val="0"/>
          <w:position w:val="0"/>
          <w:sz w:val="24"/>
          <w:szCs w:val="28"/>
          <w:highlight w:val="none"/>
        </w:rPr>
        <w:t>本项目属于新建项目，位于</w:t>
      </w:r>
      <w:r>
        <w:rPr>
          <w:rFonts w:hint="default" w:ascii="Times New Roman" w:hAnsi="Times New Roman" w:eastAsia="宋体" w:cs="Times New Roman"/>
          <w:b w:val="0"/>
          <w:bCs/>
          <w:color w:val="auto"/>
          <w:spacing w:val="0"/>
          <w:w w:val="100"/>
          <w:kern w:val="0"/>
          <w:position w:val="0"/>
          <w:sz w:val="24"/>
          <w:szCs w:val="28"/>
          <w:highlight w:val="none"/>
          <w:lang w:eastAsia="zh-CN"/>
        </w:rPr>
        <w:t>吴忠市同心县下马关镇上垣村</w:t>
      </w:r>
      <w:r>
        <w:rPr>
          <w:rFonts w:hint="default" w:ascii="Times New Roman" w:hAnsi="Times New Roman" w:eastAsia="宋体" w:cs="Times New Roman"/>
          <w:b w:val="0"/>
          <w:bCs/>
          <w:color w:val="auto"/>
          <w:spacing w:val="0"/>
          <w:w w:val="100"/>
          <w:kern w:val="0"/>
          <w:position w:val="0"/>
          <w:sz w:val="24"/>
          <w:szCs w:val="28"/>
          <w:highlight w:val="none"/>
        </w:rPr>
        <w:t>，根据</w:t>
      </w:r>
      <w:r>
        <w:rPr>
          <w:rFonts w:hint="default" w:ascii="Times New Roman" w:hAnsi="Times New Roman" w:eastAsia="宋体" w:cs="Times New Roman"/>
          <w:b w:val="0"/>
          <w:bCs/>
          <w:color w:val="auto"/>
          <w:spacing w:val="0"/>
          <w:w w:val="100"/>
          <w:kern w:val="0"/>
          <w:position w:val="0"/>
          <w:sz w:val="24"/>
          <w:szCs w:val="28"/>
          <w:highlight w:val="none"/>
          <w:lang w:eastAsia="zh-CN"/>
        </w:rPr>
        <w:t>吴忠市同心县</w:t>
      </w:r>
      <w:r>
        <w:rPr>
          <w:rFonts w:hint="default" w:ascii="Times New Roman" w:hAnsi="Times New Roman" w:eastAsia="宋体" w:cs="Times New Roman"/>
          <w:b w:val="0"/>
          <w:bCs/>
          <w:color w:val="auto"/>
          <w:spacing w:val="0"/>
          <w:w w:val="100"/>
          <w:kern w:val="0"/>
          <w:position w:val="0"/>
          <w:sz w:val="24"/>
          <w:szCs w:val="28"/>
          <w:highlight w:val="none"/>
        </w:rPr>
        <w:t>长期气象资料统计，全年以</w:t>
      </w:r>
      <w:r>
        <w:rPr>
          <w:rFonts w:hint="default" w:ascii="Times New Roman" w:hAnsi="Times New Roman" w:eastAsia="宋体" w:cs="Times New Roman"/>
          <w:b w:val="0"/>
          <w:bCs/>
          <w:color w:val="auto"/>
          <w:spacing w:val="0"/>
          <w:w w:val="100"/>
          <w:kern w:val="0"/>
          <w:position w:val="0"/>
          <w:sz w:val="24"/>
          <w:szCs w:val="28"/>
          <w:highlight w:val="none"/>
          <w:lang w:val="en-US" w:eastAsia="zh-CN"/>
        </w:rPr>
        <w:t>S</w:t>
      </w:r>
      <w:r>
        <w:rPr>
          <w:rFonts w:hint="default" w:ascii="Times New Roman" w:hAnsi="Times New Roman" w:eastAsia="宋体" w:cs="Times New Roman"/>
          <w:b w:val="0"/>
          <w:bCs/>
          <w:color w:val="auto"/>
          <w:spacing w:val="0"/>
          <w:w w:val="100"/>
          <w:kern w:val="0"/>
          <w:position w:val="0"/>
          <w:sz w:val="24"/>
          <w:szCs w:val="28"/>
          <w:highlight w:val="none"/>
        </w:rPr>
        <w:t>风向出现的频率最高，</w:t>
      </w:r>
      <w:r>
        <w:rPr>
          <w:rFonts w:hint="default" w:ascii="Times New Roman" w:hAnsi="Times New Roman" w:eastAsia="宋体" w:cs="Times New Roman"/>
          <w:b w:val="0"/>
          <w:bCs/>
          <w:color w:val="auto"/>
          <w:spacing w:val="0"/>
          <w:w w:val="100"/>
          <w:kern w:val="0"/>
          <w:position w:val="0"/>
          <w:sz w:val="24"/>
          <w:szCs w:val="28"/>
          <w:highlight w:val="none"/>
          <w:lang w:eastAsia="zh-CN"/>
        </w:rPr>
        <w:t>本项目</w:t>
      </w:r>
      <w:r>
        <w:rPr>
          <w:rFonts w:hint="default" w:ascii="Times New Roman" w:hAnsi="Times New Roman" w:cs="Times New Roman"/>
          <w:b w:val="0"/>
          <w:bCs/>
          <w:color w:val="auto"/>
          <w:spacing w:val="0"/>
          <w:w w:val="100"/>
          <w:kern w:val="0"/>
          <w:position w:val="0"/>
          <w:sz w:val="24"/>
          <w:szCs w:val="28"/>
          <w:highlight w:val="none"/>
          <w:lang w:eastAsia="zh-CN"/>
        </w:rPr>
        <w:t>周边村镇均在本项目</w:t>
      </w:r>
      <w:r>
        <w:rPr>
          <w:rFonts w:hint="eastAsia" w:ascii="Times New Roman" w:hAnsi="Times New Roman" w:cs="Times New Roman"/>
          <w:b w:val="0"/>
          <w:bCs/>
          <w:color w:val="auto"/>
          <w:spacing w:val="0"/>
          <w:w w:val="100"/>
          <w:kern w:val="0"/>
          <w:position w:val="0"/>
          <w:sz w:val="24"/>
          <w:szCs w:val="28"/>
          <w:highlight w:val="none"/>
          <w:lang w:val="en-US" w:eastAsia="zh-CN"/>
        </w:rPr>
        <w:t>南</w:t>
      </w:r>
      <w:r>
        <w:rPr>
          <w:rFonts w:hint="default" w:ascii="Times New Roman" w:hAnsi="Times New Roman" w:cs="Times New Roman"/>
          <w:b w:val="0"/>
          <w:bCs/>
          <w:color w:val="auto"/>
          <w:spacing w:val="0"/>
          <w:w w:val="100"/>
          <w:kern w:val="0"/>
          <w:position w:val="0"/>
          <w:sz w:val="24"/>
          <w:szCs w:val="28"/>
          <w:highlight w:val="none"/>
          <w:lang w:eastAsia="zh-CN"/>
        </w:rPr>
        <w:t>侧和东侧，</w:t>
      </w:r>
      <w:r>
        <w:rPr>
          <w:rFonts w:hint="default" w:ascii="Times New Roman" w:hAnsi="Times New Roman" w:eastAsia="宋体" w:cs="Times New Roman"/>
          <w:b w:val="0"/>
          <w:bCs/>
          <w:color w:val="auto"/>
          <w:spacing w:val="0"/>
          <w:w w:val="100"/>
          <w:kern w:val="0"/>
          <w:position w:val="0"/>
          <w:sz w:val="24"/>
          <w:szCs w:val="28"/>
          <w:highlight w:val="none"/>
          <w:lang w:eastAsia="zh-CN"/>
        </w:rPr>
        <w:t>距离</w:t>
      </w:r>
      <w:r>
        <w:rPr>
          <w:rFonts w:hint="default" w:ascii="Times New Roman" w:hAnsi="Times New Roman" w:cs="Times New Roman"/>
          <w:b w:val="0"/>
          <w:bCs/>
          <w:color w:val="auto"/>
          <w:spacing w:val="0"/>
          <w:w w:val="100"/>
          <w:kern w:val="0"/>
          <w:position w:val="0"/>
          <w:sz w:val="24"/>
          <w:szCs w:val="28"/>
          <w:highlight w:val="none"/>
          <w:lang w:eastAsia="zh-CN"/>
        </w:rPr>
        <w:t>本项目</w:t>
      </w:r>
      <w:r>
        <w:rPr>
          <w:rFonts w:hint="default" w:ascii="Times New Roman" w:hAnsi="Times New Roman" w:eastAsia="宋体" w:cs="Times New Roman"/>
          <w:b w:val="0"/>
          <w:bCs/>
          <w:color w:val="auto"/>
          <w:spacing w:val="0"/>
          <w:w w:val="100"/>
          <w:kern w:val="0"/>
          <w:position w:val="0"/>
          <w:sz w:val="24"/>
          <w:szCs w:val="28"/>
          <w:highlight w:val="none"/>
          <w:lang w:eastAsia="zh-CN"/>
        </w:rPr>
        <w:t>最近村庄居民点为</w:t>
      </w:r>
      <w:r>
        <w:rPr>
          <w:rFonts w:hint="eastAsia" w:ascii="Times New Roman" w:hAnsi="Times New Roman" w:cs="Times New Roman"/>
          <w:b w:val="0"/>
          <w:bCs/>
          <w:color w:val="auto"/>
          <w:spacing w:val="0"/>
          <w:w w:val="100"/>
          <w:kern w:val="0"/>
          <w:position w:val="0"/>
          <w:sz w:val="24"/>
          <w:szCs w:val="28"/>
          <w:highlight w:val="none"/>
          <w:lang w:eastAsia="zh-CN"/>
        </w:rPr>
        <w:t>东</w:t>
      </w:r>
      <w:r>
        <w:rPr>
          <w:rFonts w:hint="default" w:ascii="Times New Roman" w:hAnsi="Times New Roman" w:eastAsia="宋体" w:cs="Times New Roman"/>
          <w:b w:val="0"/>
          <w:bCs/>
          <w:color w:val="auto"/>
          <w:spacing w:val="0"/>
          <w:w w:val="100"/>
          <w:kern w:val="0"/>
          <w:position w:val="0"/>
          <w:sz w:val="24"/>
          <w:szCs w:val="28"/>
          <w:highlight w:val="none"/>
          <w:lang w:eastAsia="zh-CN"/>
        </w:rPr>
        <w:t>北侧</w:t>
      </w:r>
      <w:r>
        <w:rPr>
          <w:rFonts w:hint="default" w:ascii="Times New Roman" w:hAnsi="Times New Roman" w:eastAsia="宋体" w:cs="Times New Roman"/>
          <w:b w:val="0"/>
          <w:bCs/>
          <w:color w:val="auto"/>
          <w:spacing w:val="0"/>
          <w:w w:val="100"/>
          <w:kern w:val="0"/>
          <w:position w:val="0"/>
          <w:sz w:val="24"/>
          <w:szCs w:val="28"/>
          <w:highlight w:val="none"/>
          <w:lang w:val="en-US" w:eastAsia="zh-CN"/>
        </w:rPr>
        <w:t>2.8km的解放新庄子，</w:t>
      </w:r>
      <w:r>
        <w:rPr>
          <w:rFonts w:hint="default" w:ascii="Times New Roman" w:hAnsi="Times New Roman" w:eastAsia="宋体" w:cs="Times New Roman"/>
          <w:b w:val="0"/>
          <w:bCs/>
          <w:color w:val="auto"/>
          <w:spacing w:val="0"/>
          <w:w w:val="100"/>
          <w:kern w:val="0"/>
          <w:position w:val="0"/>
          <w:sz w:val="24"/>
          <w:szCs w:val="28"/>
          <w:highlight w:val="none"/>
        </w:rPr>
        <w:t>本项目位置不在城</w:t>
      </w:r>
      <w:r>
        <w:rPr>
          <w:rFonts w:hint="default" w:ascii="Times New Roman" w:hAnsi="Times New Roman" w:eastAsia="宋体" w:cs="Times New Roman"/>
          <w:b w:val="0"/>
          <w:bCs/>
          <w:color w:val="auto"/>
          <w:spacing w:val="0"/>
          <w:w w:val="100"/>
          <w:kern w:val="0"/>
          <w:position w:val="0"/>
          <w:sz w:val="24"/>
          <w:szCs w:val="28"/>
          <w:highlight w:val="none"/>
          <w:lang w:eastAsia="zh-CN"/>
        </w:rPr>
        <w:t>镇</w:t>
      </w:r>
      <w:r>
        <w:rPr>
          <w:rFonts w:hint="default" w:ascii="Times New Roman" w:hAnsi="Times New Roman" w:eastAsia="宋体" w:cs="Times New Roman"/>
          <w:b w:val="0"/>
          <w:bCs/>
          <w:color w:val="auto"/>
          <w:spacing w:val="0"/>
          <w:w w:val="100"/>
          <w:kern w:val="0"/>
          <w:position w:val="0"/>
          <w:sz w:val="24"/>
          <w:szCs w:val="28"/>
          <w:highlight w:val="none"/>
        </w:rPr>
        <w:t>主导风向上风向。</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pacing w:val="0"/>
          <w:w w:val="100"/>
          <w:kern w:val="0"/>
          <w:position w:val="0"/>
          <w:sz w:val="24"/>
          <w:szCs w:val="28"/>
          <w:highlight w:val="none"/>
        </w:rPr>
      </w:pPr>
      <w:r>
        <w:rPr>
          <w:rFonts w:hint="default" w:ascii="Times New Roman" w:hAnsi="Times New Roman" w:eastAsia="宋体" w:cs="Times New Roman"/>
          <w:b w:val="0"/>
          <w:bCs/>
          <w:color w:val="auto"/>
          <w:spacing w:val="0"/>
          <w:w w:val="100"/>
          <w:kern w:val="0"/>
          <w:position w:val="0"/>
          <w:sz w:val="24"/>
          <w:szCs w:val="28"/>
          <w:highlight w:val="none"/>
          <w:lang w:val="en-US" w:eastAsia="zh-CN"/>
        </w:rPr>
        <w:t>(2)</w:t>
      </w:r>
      <w:r>
        <w:rPr>
          <w:rFonts w:hint="default" w:ascii="Times New Roman" w:hAnsi="Times New Roman" w:eastAsia="宋体" w:cs="Times New Roman"/>
          <w:b w:val="0"/>
          <w:bCs/>
          <w:color w:val="auto"/>
          <w:spacing w:val="0"/>
          <w:w w:val="100"/>
          <w:kern w:val="0"/>
          <w:position w:val="0"/>
          <w:sz w:val="24"/>
          <w:szCs w:val="28"/>
          <w:highlight w:val="none"/>
        </w:rPr>
        <w:t>项目通过组建奶牛核心群，采取人工授精的繁育技术，进行良种奶牛的选育提高和扩大繁殖，提高其后代的生产水平，然后向</w:t>
      </w:r>
      <w:r>
        <w:rPr>
          <w:rFonts w:hint="default" w:ascii="Times New Roman" w:hAnsi="Times New Roman" w:cs="Times New Roman"/>
          <w:b w:val="0"/>
          <w:bCs/>
          <w:color w:val="auto"/>
          <w:spacing w:val="0"/>
          <w:w w:val="100"/>
          <w:kern w:val="0"/>
          <w:position w:val="0"/>
          <w:sz w:val="24"/>
          <w:szCs w:val="28"/>
          <w:highlight w:val="none"/>
          <w:lang w:eastAsia="zh-CN"/>
        </w:rPr>
        <w:t>同心县及周边</w:t>
      </w:r>
      <w:r>
        <w:rPr>
          <w:rFonts w:hint="default" w:ascii="Times New Roman" w:hAnsi="Times New Roman" w:eastAsia="宋体" w:cs="Times New Roman"/>
          <w:b w:val="0"/>
          <w:bCs/>
          <w:color w:val="auto"/>
          <w:spacing w:val="0"/>
          <w:w w:val="100"/>
          <w:kern w:val="0"/>
          <w:position w:val="0"/>
          <w:sz w:val="24"/>
          <w:szCs w:val="28"/>
          <w:highlight w:val="none"/>
        </w:rPr>
        <w:t>的奶牛养殖场和养殖户销售优质后备种牛；对于淘汰奶牛直接出售给当地奶牛育肥场育肥或直接出售给当地的具有资质的屠宰厂直接进行屠宰；牛粪统一收集运往</w:t>
      </w:r>
      <w:r>
        <w:rPr>
          <w:rFonts w:hint="default" w:ascii="Times New Roman" w:hAnsi="Times New Roman" w:cs="Times New Roman"/>
          <w:b w:val="0"/>
          <w:bCs/>
          <w:color w:val="auto"/>
          <w:spacing w:val="0"/>
          <w:w w:val="100"/>
          <w:kern w:val="0"/>
          <w:position w:val="0"/>
          <w:sz w:val="24"/>
          <w:szCs w:val="28"/>
          <w:highlight w:val="none"/>
          <w:lang w:eastAsia="zh-CN"/>
        </w:rPr>
        <w:t>堆粪棚</w:t>
      </w:r>
      <w:r>
        <w:rPr>
          <w:rFonts w:hint="default" w:ascii="Times New Roman" w:hAnsi="Times New Roman" w:eastAsia="宋体" w:cs="Times New Roman"/>
          <w:b w:val="0"/>
          <w:bCs/>
          <w:color w:val="auto"/>
          <w:spacing w:val="0"/>
          <w:w w:val="100"/>
          <w:kern w:val="0"/>
          <w:position w:val="0"/>
          <w:sz w:val="24"/>
          <w:szCs w:val="28"/>
          <w:highlight w:val="none"/>
        </w:rPr>
        <w:t>进行</w:t>
      </w:r>
      <w:r>
        <w:rPr>
          <w:rFonts w:hint="eastAsia" w:ascii="Times New Roman" w:hAnsi="Times New Roman" w:cs="Times New Roman"/>
          <w:b w:val="0"/>
          <w:bCs/>
          <w:color w:val="auto"/>
          <w:spacing w:val="0"/>
          <w:w w:val="100"/>
          <w:kern w:val="0"/>
          <w:position w:val="0"/>
          <w:sz w:val="24"/>
          <w:szCs w:val="28"/>
          <w:highlight w:val="none"/>
          <w:lang w:eastAsia="zh-CN"/>
        </w:rPr>
        <w:t>暂存</w:t>
      </w:r>
      <w:r>
        <w:rPr>
          <w:rFonts w:hint="default" w:ascii="Times New Roman" w:hAnsi="Times New Roman" w:eastAsia="宋体" w:cs="Times New Roman"/>
          <w:b w:val="0"/>
          <w:bCs/>
          <w:color w:val="auto"/>
          <w:spacing w:val="0"/>
          <w:w w:val="100"/>
          <w:kern w:val="0"/>
          <w:position w:val="0"/>
          <w:sz w:val="24"/>
          <w:szCs w:val="28"/>
          <w:highlight w:val="none"/>
        </w:rPr>
        <w:t>，</w:t>
      </w:r>
      <w:r>
        <w:rPr>
          <w:rFonts w:hint="eastAsia" w:ascii="Times New Roman" w:hAnsi="Times New Roman" w:cs="Times New Roman"/>
          <w:b w:val="0"/>
          <w:bCs/>
          <w:color w:val="auto"/>
          <w:spacing w:val="0"/>
          <w:w w:val="100"/>
          <w:kern w:val="0"/>
          <w:position w:val="0"/>
          <w:sz w:val="24"/>
          <w:szCs w:val="28"/>
          <w:highlight w:val="none"/>
          <w:lang w:eastAsia="zh-CN"/>
        </w:rPr>
        <w:t>直接出售给周边农户，还田利用</w:t>
      </w:r>
      <w:r>
        <w:rPr>
          <w:rFonts w:hint="default" w:ascii="Times New Roman" w:hAnsi="Times New Roman" w:eastAsia="宋体" w:cs="Times New Roman"/>
          <w:b w:val="0"/>
          <w:bCs/>
          <w:color w:val="auto"/>
          <w:spacing w:val="0"/>
          <w:w w:val="100"/>
          <w:kern w:val="0"/>
          <w:position w:val="0"/>
          <w:sz w:val="24"/>
          <w:szCs w:val="28"/>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pacing w:val="0"/>
          <w:w w:val="100"/>
          <w:kern w:val="0"/>
          <w:position w:val="0"/>
          <w:sz w:val="24"/>
          <w:szCs w:val="28"/>
          <w:highlight w:val="none"/>
        </w:rPr>
      </w:pPr>
      <w:r>
        <w:rPr>
          <w:rFonts w:hint="default" w:ascii="Times New Roman" w:hAnsi="Times New Roman" w:eastAsia="宋体" w:cs="Times New Roman"/>
          <w:b w:val="0"/>
          <w:bCs/>
          <w:color w:val="auto"/>
          <w:spacing w:val="0"/>
          <w:w w:val="100"/>
          <w:kern w:val="0"/>
          <w:position w:val="0"/>
          <w:sz w:val="24"/>
          <w:szCs w:val="28"/>
          <w:highlight w:val="none"/>
          <w:lang w:val="en-US" w:eastAsia="zh-CN"/>
        </w:rPr>
        <w:t>(3)</w:t>
      </w:r>
      <w:r>
        <w:rPr>
          <w:rFonts w:hint="default" w:ascii="Times New Roman" w:hAnsi="Times New Roman" w:eastAsia="宋体" w:cs="Times New Roman"/>
          <w:b w:val="0"/>
          <w:bCs/>
          <w:color w:val="auto"/>
          <w:spacing w:val="0"/>
          <w:w w:val="100"/>
          <w:kern w:val="0"/>
          <w:position w:val="0"/>
          <w:sz w:val="24"/>
          <w:szCs w:val="28"/>
          <w:highlight w:val="none"/>
        </w:rPr>
        <w:t>项目运营期产生的污染物主要为废水、牛粪及恶臭污染物等。本项目产生的废水主要包括生活污水和生产废水，其中生产废水包括挤奶</w:t>
      </w:r>
      <w:r>
        <w:rPr>
          <w:rFonts w:hint="default" w:ascii="Times New Roman" w:hAnsi="Times New Roman" w:eastAsia="宋体" w:cs="Times New Roman"/>
          <w:b w:val="0"/>
          <w:bCs/>
          <w:color w:val="auto"/>
          <w:spacing w:val="0"/>
          <w:w w:val="100"/>
          <w:kern w:val="0"/>
          <w:position w:val="0"/>
          <w:sz w:val="24"/>
          <w:szCs w:val="28"/>
          <w:highlight w:val="none"/>
          <w:lang w:val="zh-CN"/>
        </w:rPr>
        <w:t>厅</w:t>
      </w:r>
      <w:r>
        <w:rPr>
          <w:rFonts w:hint="default" w:ascii="Times New Roman" w:hAnsi="Times New Roman" w:eastAsia="宋体" w:cs="Times New Roman"/>
          <w:b w:val="0"/>
          <w:bCs/>
          <w:color w:val="auto"/>
          <w:spacing w:val="0"/>
          <w:w w:val="100"/>
          <w:kern w:val="0"/>
          <w:position w:val="0"/>
          <w:sz w:val="24"/>
          <w:szCs w:val="28"/>
          <w:highlight w:val="none"/>
        </w:rPr>
        <w:t>、奶缸等设施清洗废水、挤奶厅地面冲洗</w:t>
      </w:r>
      <w:r>
        <w:rPr>
          <w:rFonts w:hint="default" w:ascii="Times New Roman" w:hAnsi="Times New Roman" w:eastAsia="宋体" w:cs="Times New Roman"/>
          <w:b w:val="0"/>
          <w:bCs/>
          <w:color w:val="auto"/>
          <w:spacing w:val="0"/>
          <w:w w:val="100"/>
          <w:kern w:val="0"/>
          <w:position w:val="0"/>
          <w:sz w:val="24"/>
          <w:szCs w:val="28"/>
          <w:highlight w:val="none"/>
          <w:lang w:eastAsia="zh-CN"/>
        </w:rPr>
        <w:t>废水、</w:t>
      </w:r>
      <w:r>
        <w:rPr>
          <w:rFonts w:hint="default" w:ascii="Times New Roman" w:hAnsi="Times New Roman" w:eastAsia="宋体" w:cs="Times New Roman"/>
          <w:b w:val="0"/>
          <w:bCs/>
          <w:color w:val="auto"/>
          <w:spacing w:val="0"/>
          <w:w w:val="100"/>
          <w:kern w:val="0"/>
          <w:position w:val="0"/>
          <w:sz w:val="24"/>
          <w:szCs w:val="28"/>
          <w:highlight w:val="none"/>
        </w:rPr>
        <w:t>牛槽清洗废水等废水。生活污水经化粪池处理后与生产废水进入厂区污水处理站处理后用于</w:t>
      </w:r>
      <w:r>
        <w:rPr>
          <w:rFonts w:hint="eastAsia" w:ascii="Times New Roman" w:hAnsi="Times New Roman" w:cs="Times New Roman"/>
          <w:b w:val="0"/>
          <w:bCs/>
          <w:color w:val="auto"/>
          <w:spacing w:val="0"/>
          <w:w w:val="100"/>
          <w:kern w:val="0"/>
          <w:position w:val="0"/>
          <w:sz w:val="24"/>
          <w:szCs w:val="28"/>
          <w:highlight w:val="none"/>
          <w:lang w:eastAsia="zh-CN"/>
        </w:rPr>
        <w:t>周边农田灌溉</w:t>
      </w:r>
      <w:r>
        <w:rPr>
          <w:rFonts w:hint="default" w:ascii="Times New Roman" w:hAnsi="Times New Roman" w:eastAsia="宋体" w:cs="Times New Roman"/>
          <w:b w:val="0"/>
          <w:bCs/>
          <w:color w:val="auto"/>
          <w:spacing w:val="0"/>
          <w:w w:val="100"/>
          <w:kern w:val="0"/>
          <w:position w:val="0"/>
          <w:sz w:val="24"/>
          <w:szCs w:val="28"/>
          <w:highlight w:val="none"/>
        </w:rPr>
        <w:t>；固废主要为养殖区产生的牛粪、病死牛尸体及胎盘、污水处理站污泥</w:t>
      </w:r>
      <w:r>
        <w:rPr>
          <w:rFonts w:hint="default" w:ascii="Times New Roman" w:hAnsi="Times New Roman" w:eastAsia="宋体" w:cs="Times New Roman"/>
          <w:b w:val="0"/>
          <w:bCs/>
          <w:color w:val="auto"/>
          <w:spacing w:val="0"/>
          <w:w w:val="100"/>
          <w:kern w:val="0"/>
          <w:position w:val="0"/>
          <w:sz w:val="24"/>
          <w:szCs w:val="28"/>
          <w:highlight w:val="none"/>
          <w:lang w:eastAsia="zh-CN"/>
        </w:rPr>
        <w:t>、</w:t>
      </w:r>
      <w:r>
        <w:rPr>
          <w:rFonts w:hint="default" w:ascii="Times New Roman" w:hAnsi="Times New Roman" w:eastAsia="宋体" w:cs="Times New Roman"/>
          <w:b w:val="0"/>
          <w:bCs/>
          <w:color w:val="auto"/>
          <w:spacing w:val="0"/>
          <w:w w:val="100"/>
          <w:kern w:val="0"/>
          <w:position w:val="0"/>
          <w:sz w:val="24"/>
          <w:szCs w:val="28"/>
          <w:highlight w:val="none"/>
        </w:rPr>
        <w:t>兽医站少量医疗废物、</w:t>
      </w:r>
      <w:r>
        <w:rPr>
          <w:rFonts w:hint="default" w:ascii="Times New Roman" w:hAnsi="Times New Roman" w:eastAsia="宋体" w:cs="Times New Roman"/>
          <w:b w:val="0"/>
          <w:bCs/>
          <w:color w:val="auto"/>
          <w:spacing w:val="0"/>
          <w:w w:val="100"/>
          <w:kern w:val="0"/>
          <w:position w:val="0"/>
          <w:sz w:val="24"/>
          <w:szCs w:val="28"/>
          <w:highlight w:val="none"/>
          <w:lang w:eastAsia="zh-CN"/>
        </w:rPr>
        <w:t>除尘器收尘灰</w:t>
      </w:r>
      <w:r>
        <w:rPr>
          <w:rFonts w:hint="default" w:ascii="Times New Roman" w:hAnsi="Times New Roman" w:eastAsia="宋体" w:cs="Times New Roman"/>
          <w:b w:val="0"/>
          <w:bCs/>
          <w:color w:val="auto"/>
          <w:spacing w:val="0"/>
          <w:w w:val="100"/>
          <w:kern w:val="0"/>
          <w:position w:val="0"/>
          <w:sz w:val="24"/>
          <w:szCs w:val="28"/>
          <w:highlight w:val="none"/>
        </w:rPr>
        <w:t>及生活垃圾等，牛粪经厂区</w:t>
      </w:r>
      <w:r>
        <w:rPr>
          <w:rFonts w:hint="default" w:ascii="Times New Roman" w:hAnsi="Times New Roman" w:cs="Times New Roman"/>
          <w:b w:val="0"/>
          <w:bCs/>
          <w:color w:val="auto"/>
          <w:spacing w:val="0"/>
          <w:w w:val="100"/>
          <w:kern w:val="0"/>
          <w:position w:val="0"/>
          <w:sz w:val="24"/>
          <w:szCs w:val="28"/>
          <w:highlight w:val="none"/>
          <w:lang w:eastAsia="zh-CN"/>
        </w:rPr>
        <w:t>堆粪棚</w:t>
      </w:r>
      <w:r>
        <w:rPr>
          <w:rFonts w:hint="default" w:ascii="Times New Roman" w:hAnsi="Times New Roman" w:eastAsia="宋体" w:cs="Times New Roman"/>
          <w:b w:val="0"/>
          <w:bCs/>
          <w:color w:val="auto"/>
          <w:spacing w:val="0"/>
          <w:w w:val="100"/>
          <w:kern w:val="0"/>
          <w:position w:val="0"/>
          <w:sz w:val="24"/>
          <w:szCs w:val="28"/>
          <w:highlight w:val="none"/>
          <w:lang w:eastAsia="zh-CN"/>
        </w:rPr>
        <w:t>临时堆存</w:t>
      </w:r>
      <w:r>
        <w:rPr>
          <w:rFonts w:hint="default" w:ascii="Times New Roman" w:hAnsi="Times New Roman" w:eastAsia="宋体" w:cs="Times New Roman"/>
          <w:b w:val="0"/>
          <w:bCs/>
          <w:color w:val="auto"/>
          <w:spacing w:val="0"/>
          <w:w w:val="100"/>
          <w:kern w:val="0"/>
          <w:position w:val="0"/>
          <w:sz w:val="24"/>
          <w:szCs w:val="28"/>
          <w:highlight w:val="none"/>
        </w:rPr>
        <w:t>后</w:t>
      </w:r>
      <w:r>
        <w:rPr>
          <w:rFonts w:hint="default" w:ascii="Times New Roman" w:hAnsi="Times New Roman" w:eastAsia="宋体" w:cs="Times New Roman"/>
          <w:b w:val="0"/>
          <w:bCs/>
          <w:color w:val="auto"/>
          <w:spacing w:val="0"/>
          <w:w w:val="100"/>
          <w:kern w:val="0"/>
          <w:position w:val="0"/>
          <w:sz w:val="24"/>
          <w:szCs w:val="28"/>
          <w:highlight w:val="none"/>
          <w:lang w:eastAsia="zh-CN"/>
        </w:rPr>
        <w:t>出售</w:t>
      </w:r>
      <w:r>
        <w:rPr>
          <w:rFonts w:hint="eastAsia" w:ascii="Times New Roman" w:hAnsi="Times New Roman" w:cs="Times New Roman"/>
          <w:b w:val="0"/>
          <w:bCs/>
          <w:color w:val="auto"/>
          <w:spacing w:val="0"/>
          <w:w w:val="100"/>
          <w:kern w:val="0"/>
          <w:position w:val="0"/>
          <w:sz w:val="24"/>
          <w:szCs w:val="28"/>
          <w:highlight w:val="none"/>
          <w:lang w:eastAsia="zh-CN"/>
        </w:rPr>
        <w:t>给周边农户，还田利用，</w:t>
      </w:r>
      <w:r>
        <w:rPr>
          <w:rFonts w:hint="default" w:ascii="Times New Roman" w:hAnsi="Times New Roman" w:eastAsia="宋体" w:cs="Times New Roman"/>
          <w:b w:val="0"/>
          <w:bCs/>
          <w:color w:val="auto"/>
          <w:spacing w:val="0"/>
          <w:w w:val="100"/>
          <w:kern w:val="0"/>
          <w:position w:val="0"/>
          <w:sz w:val="24"/>
          <w:szCs w:val="28"/>
          <w:highlight w:val="none"/>
        </w:rPr>
        <w:t>病死牛尸体及胎盘由</w:t>
      </w:r>
      <w:r>
        <w:rPr>
          <w:rFonts w:hint="default" w:ascii="Times New Roman" w:hAnsi="Times New Roman" w:eastAsia="宋体" w:cs="Times New Roman"/>
          <w:b w:val="0"/>
          <w:bCs/>
          <w:color w:val="auto"/>
          <w:spacing w:val="0"/>
          <w:w w:val="100"/>
          <w:kern w:val="0"/>
          <w:position w:val="0"/>
          <w:sz w:val="24"/>
          <w:szCs w:val="28"/>
          <w:highlight w:val="none"/>
          <w:lang w:eastAsia="zh-CN"/>
        </w:rPr>
        <w:t>防疫部门专用车辆</w:t>
      </w:r>
      <w:r>
        <w:rPr>
          <w:rFonts w:hint="default" w:ascii="Times New Roman" w:hAnsi="Times New Roman" w:eastAsia="宋体" w:cs="Times New Roman"/>
          <w:b w:val="0"/>
          <w:bCs/>
          <w:color w:val="auto"/>
          <w:spacing w:val="0"/>
          <w:w w:val="100"/>
          <w:kern w:val="0"/>
          <w:position w:val="0"/>
          <w:sz w:val="24"/>
          <w:szCs w:val="28"/>
          <w:highlight w:val="none"/>
        </w:rPr>
        <w:t>集中</w:t>
      </w:r>
      <w:r>
        <w:rPr>
          <w:rFonts w:hint="default" w:ascii="Times New Roman" w:hAnsi="Times New Roman" w:eastAsia="宋体" w:cs="Times New Roman"/>
          <w:b w:val="0"/>
          <w:bCs/>
          <w:color w:val="auto"/>
          <w:spacing w:val="0"/>
          <w:w w:val="100"/>
          <w:kern w:val="0"/>
          <w:position w:val="0"/>
          <w:sz w:val="24"/>
          <w:szCs w:val="28"/>
          <w:highlight w:val="none"/>
          <w:lang w:eastAsia="zh-CN"/>
        </w:rPr>
        <w:t>运输至</w:t>
      </w:r>
      <w:r>
        <w:rPr>
          <w:rFonts w:hint="default" w:ascii="Times New Roman" w:hAnsi="Times New Roman" w:eastAsia="宋体" w:cs="Times New Roman"/>
          <w:b w:val="0"/>
          <w:bCs/>
          <w:color w:val="auto"/>
          <w:spacing w:val="0"/>
          <w:w w:val="100"/>
          <w:kern w:val="0"/>
          <w:position w:val="0"/>
          <w:sz w:val="24"/>
          <w:szCs w:val="28"/>
          <w:highlight w:val="none"/>
        </w:rPr>
        <w:t>无害化填埋场处置</w:t>
      </w:r>
      <w:r>
        <w:rPr>
          <w:rFonts w:hint="default" w:ascii="Times New Roman" w:hAnsi="Times New Roman" w:eastAsia="宋体" w:cs="Times New Roman"/>
          <w:b w:val="0"/>
          <w:bCs/>
          <w:color w:val="auto"/>
          <w:spacing w:val="0"/>
          <w:w w:val="100"/>
          <w:kern w:val="0"/>
          <w:position w:val="0"/>
          <w:sz w:val="24"/>
          <w:szCs w:val="28"/>
          <w:highlight w:val="none"/>
          <w:lang w:eastAsia="zh-CN"/>
        </w:rPr>
        <w:t>，污水处理站污泥，</w:t>
      </w:r>
      <w:r>
        <w:rPr>
          <w:rFonts w:hint="default" w:ascii="Times New Roman" w:hAnsi="Times New Roman" w:eastAsia="宋体" w:cs="Times New Roman"/>
          <w:b w:val="0"/>
          <w:bCs/>
          <w:color w:val="auto"/>
          <w:spacing w:val="0"/>
          <w:w w:val="100"/>
          <w:kern w:val="0"/>
          <w:position w:val="0"/>
          <w:sz w:val="24"/>
          <w:szCs w:val="28"/>
          <w:highlight w:val="none"/>
        </w:rPr>
        <w:t>将其进行脱水处理后，运至</w:t>
      </w:r>
      <w:r>
        <w:rPr>
          <w:rFonts w:hint="default" w:ascii="Times New Roman" w:hAnsi="Times New Roman" w:cs="Times New Roman"/>
          <w:b w:val="0"/>
          <w:bCs/>
          <w:color w:val="auto"/>
          <w:spacing w:val="0"/>
          <w:w w:val="100"/>
          <w:kern w:val="0"/>
          <w:position w:val="0"/>
          <w:sz w:val="24"/>
          <w:szCs w:val="28"/>
          <w:highlight w:val="none"/>
          <w:lang w:eastAsia="zh-CN"/>
        </w:rPr>
        <w:t>堆粪棚</w:t>
      </w:r>
      <w:r>
        <w:rPr>
          <w:rFonts w:hint="default" w:ascii="Times New Roman" w:hAnsi="Times New Roman" w:eastAsia="宋体" w:cs="Times New Roman"/>
          <w:b w:val="0"/>
          <w:bCs/>
          <w:color w:val="auto"/>
          <w:spacing w:val="0"/>
          <w:w w:val="100"/>
          <w:kern w:val="0"/>
          <w:position w:val="0"/>
          <w:sz w:val="24"/>
          <w:szCs w:val="28"/>
          <w:highlight w:val="none"/>
        </w:rPr>
        <w:t>储存，与牛粪一同</w:t>
      </w:r>
      <w:r>
        <w:rPr>
          <w:rFonts w:hint="default" w:ascii="Times New Roman" w:hAnsi="Times New Roman" w:eastAsia="宋体" w:cs="Times New Roman"/>
          <w:b w:val="0"/>
          <w:bCs/>
          <w:color w:val="auto"/>
          <w:spacing w:val="0"/>
          <w:w w:val="100"/>
          <w:kern w:val="0"/>
          <w:position w:val="0"/>
          <w:sz w:val="24"/>
          <w:szCs w:val="28"/>
          <w:highlight w:val="none"/>
          <w:lang w:eastAsia="zh-CN"/>
        </w:rPr>
        <w:t>临时堆存</w:t>
      </w:r>
      <w:r>
        <w:rPr>
          <w:rFonts w:hint="default" w:ascii="Times New Roman" w:hAnsi="Times New Roman" w:eastAsia="宋体" w:cs="Times New Roman"/>
          <w:b w:val="0"/>
          <w:bCs/>
          <w:color w:val="auto"/>
          <w:spacing w:val="0"/>
          <w:w w:val="100"/>
          <w:kern w:val="0"/>
          <w:position w:val="0"/>
          <w:sz w:val="24"/>
          <w:szCs w:val="28"/>
          <w:highlight w:val="none"/>
        </w:rPr>
        <w:t>后</w:t>
      </w:r>
      <w:r>
        <w:rPr>
          <w:rFonts w:hint="default" w:ascii="Times New Roman" w:hAnsi="Times New Roman" w:eastAsia="宋体" w:cs="Times New Roman"/>
          <w:b w:val="0"/>
          <w:bCs/>
          <w:color w:val="auto"/>
          <w:spacing w:val="0"/>
          <w:w w:val="100"/>
          <w:kern w:val="0"/>
          <w:position w:val="0"/>
          <w:sz w:val="24"/>
          <w:szCs w:val="28"/>
          <w:highlight w:val="none"/>
          <w:lang w:eastAsia="zh-CN"/>
        </w:rPr>
        <w:t>出售</w:t>
      </w:r>
      <w:r>
        <w:rPr>
          <w:rFonts w:hint="eastAsia" w:ascii="Times New Roman" w:hAnsi="Times New Roman" w:cs="Times New Roman"/>
          <w:b w:val="0"/>
          <w:bCs/>
          <w:color w:val="auto"/>
          <w:spacing w:val="0"/>
          <w:w w:val="100"/>
          <w:kern w:val="0"/>
          <w:position w:val="0"/>
          <w:sz w:val="24"/>
          <w:szCs w:val="28"/>
          <w:highlight w:val="none"/>
          <w:lang w:eastAsia="zh-CN"/>
        </w:rPr>
        <w:t>给周边农户，还田利用</w:t>
      </w:r>
      <w:r>
        <w:rPr>
          <w:rFonts w:hint="default" w:ascii="Times New Roman" w:hAnsi="Times New Roman" w:eastAsia="宋体" w:cs="Times New Roman"/>
          <w:b w:val="0"/>
          <w:bCs/>
          <w:color w:val="auto"/>
          <w:spacing w:val="0"/>
          <w:w w:val="100"/>
          <w:kern w:val="0"/>
          <w:position w:val="0"/>
          <w:sz w:val="24"/>
          <w:szCs w:val="28"/>
          <w:highlight w:val="none"/>
          <w:lang w:eastAsia="zh-CN"/>
        </w:rPr>
        <w:t>，</w:t>
      </w:r>
      <w:r>
        <w:rPr>
          <w:rFonts w:hint="default" w:ascii="Times New Roman" w:hAnsi="Times New Roman" w:eastAsia="宋体" w:cs="Times New Roman"/>
          <w:b w:val="0"/>
          <w:bCs/>
          <w:color w:val="auto"/>
          <w:spacing w:val="0"/>
          <w:w w:val="100"/>
          <w:kern w:val="0"/>
          <w:position w:val="0"/>
          <w:sz w:val="24"/>
          <w:szCs w:val="28"/>
          <w:highlight w:val="none"/>
        </w:rPr>
        <w:t>医疗废物经分类收集后暂存于危废暂存间（</w:t>
      </w:r>
      <w:r>
        <w:rPr>
          <w:rFonts w:hint="default" w:ascii="Times New Roman" w:hAnsi="Times New Roman" w:eastAsia="宋体" w:cs="Times New Roman"/>
          <w:b w:val="0"/>
          <w:bCs/>
          <w:color w:val="auto"/>
          <w:spacing w:val="0"/>
          <w:w w:val="100"/>
          <w:kern w:val="0"/>
          <w:position w:val="0"/>
          <w:sz w:val="24"/>
          <w:szCs w:val="28"/>
          <w:highlight w:val="none"/>
          <w:lang w:val="en-US" w:eastAsia="zh-CN"/>
        </w:rPr>
        <w:t>10</w:t>
      </w:r>
      <w:r>
        <w:rPr>
          <w:rFonts w:hint="default" w:ascii="Times New Roman" w:hAnsi="Times New Roman" w:eastAsia="宋体" w:cs="Times New Roman"/>
          <w:b w:val="0"/>
          <w:bCs/>
          <w:color w:val="auto"/>
          <w:spacing w:val="0"/>
          <w:w w:val="100"/>
          <w:kern w:val="0"/>
          <w:position w:val="0"/>
          <w:sz w:val="24"/>
          <w:szCs w:val="28"/>
          <w:highlight w:val="none"/>
        </w:rPr>
        <w:t>m</w:t>
      </w:r>
      <w:r>
        <w:rPr>
          <w:rFonts w:hint="default" w:ascii="Times New Roman" w:hAnsi="Times New Roman" w:eastAsia="宋体" w:cs="Times New Roman"/>
          <w:b w:val="0"/>
          <w:bCs/>
          <w:color w:val="auto"/>
          <w:spacing w:val="0"/>
          <w:w w:val="100"/>
          <w:kern w:val="0"/>
          <w:position w:val="0"/>
          <w:sz w:val="24"/>
          <w:szCs w:val="28"/>
          <w:highlight w:val="none"/>
          <w:vertAlign w:val="superscript"/>
        </w:rPr>
        <w:t>2</w:t>
      </w:r>
      <w:r>
        <w:rPr>
          <w:rFonts w:hint="default" w:ascii="Times New Roman" w:hAnsi="Times New Roman" w:eastAsia="宋体" w:cs="Times New Roman"/>
          <w:b w:val="0"/>
          <w:bCs/>
          <w:color w:val="auto"/>
          <w:spacing w:val="0"/>
          <w:w w:val="100"/>
          <w:kern w:val="0"/>
          <w:position w:val="0"/>
          <w:sz w:val="24"/>
          <w:szCs w:val="28"/>
          <w:highlight w:val="none"/>
        </w:rPr>
        <w:t>）内，定期委托有资质的单位进行处理，</w:t>
      </w:r>
      <w:r>
        <w:rPr>
          <w:rFonts w:hint="default" w:ascii="Times New Roman" w:hAnsi="Times New Roman" w:eastAsia="宋体" w:cs="Times New Roman"/>
          <w:b w:val="0"/>
          <w:bCs/>
          <w:color w:val="auto"/>
          <w:spacing w:val="0"/>
          <w:w w:val="100"/>
          <w:kern w:val="0"/>
          <w:position w:val="0"/>
          <w:sz w:val="24"/>
          <w:szCs w:val="28"/>
          <w:highlight w:val="none"/>
          <w:lang w:eastAsia="zh-CN"/>
        </w:rPr>
        <w:t>除尘器收尘灰收集后回用于饲料生产工序，</w:t>
      </w:r>
      <w:r>
        <w:rPr>
          <w:rFonts w:hint="default" w:ascii="Times New Roman" w:hAnsi="Times New Roman" w:eastAsia="宋体" w:cs="Times New Roman"/>
          <w:b w:val="0"/>
          <w:bCs/>
          <w:color w:val="auto"/>
          <w:spacing w:val="0"/>
          <w:w w:val="100"/>
          <w:kern w:val="0"/>
          <w:position w:val="0"/>
          <w:sz w:val="24"/>
          <w:szCs w:val="28"/>
          <w:highlight w:val="none"/>
        </w:rPr>
        <w:t>生活垃圾经垃圾收集设施收集后送至附近生活垃圾填埋场处理</w:t>
      </w:r>
      <w:r>
        <w:rPr>
          <w:rFonts w:hint="default" w:ascii="Times New Roman" w:hAnsi="Times New Roman" w:eastAsia="宋体" w:cs="Times New Roman"/>
          <w:b w:val="0"/>
          <w:bCs/>
          <w:color w:val="auto"/>
          <w:spacing w:val="0"/>
          <w:w w:val="100"/>
          <w:kern w:val="0"/>
          <w:position w:val="0"/>
          <w:sz w:val="24"/>
          <w:szCs w:val="28"/>
          <w:highlight w:val="none"/>
          <w:lang w:eastAsia="zh-CN"/>
        </w:rPr>
        <w:t>；</w:t>
      </w:r>
      <w:r>
        <w:rPr>
          <w:rFonts w:hint="default" w:ascii="Times New Roman" w:hAnsi="Times New Roman" w:eastAsia="宋体" w:cs="Times New Roman"/>
          <w:b w:val="0"/>
          <w:bCs/>
          <w:color w:val="auto"/>
          <w:spacing w:val="0"/>
          <w:w w:val="100"/>
          <w:kern w:val="0"/>
          <w:position w:val="0"/>
          <w:sz w:val="24"/>
          <w:szCs w:val="28"/>
          <w:highlight w:val="none"/>
        </w:rPr>
        <w:t>恶臭污染物产生量较小，均为无组织排放，项目采取加强舍内通风、及时清粪、采用除臭剂、污水处理构筑物加盖密封、加强绿化等措施，可最大程度降低恶臭污染物影响，噪声主要是牛叫声、风机、水泵、饲料搅拌车、铡草机等设备运行产生的噪声，通过对设备采取隔声、减振措施，通过距离衰减、绿化降噪、墙体隔声等，厂界噪声可以满足《工业企业厂界环境噪声排放标准》（GB12348-2008）中的</w:t>
      </w:r>
      <w:r>
        <w:rPr>
          <w:rFonts w:hint="default" w:ascii="Times New Roman" w:hAnsi="Times New Roman" w:eastAsia="宋体" w:cs="Times New Roman"/>
          <w:b w:val="0"/>
          <w:bCs/>
          <w:color w:val="auto"/>
          <w:spacing w:val="0"/>
          <w:w w:val="100"/>
          <w:kern w:val="0"/>
          <w:position w:val="0"/>
          <w:sz w:val="24"/>
          <w:szCs w:val="28"/>
          <w:highlight w:val="none"/>
          <w:lang w:val="en-US" w:eastAsia="zh-CN"/>
        </w:rPr>
        <w:t>1</w:t>
      </w:r>
      <w:r>
        <w:rPr>
          <w:rFonts w:hint="default" w:ascii="Times New Roman" w:hAnsi="Times New Roman" w:eastAsia="宋体" w:cs="Times New Roman"/>
          <w:b w:val="0"/>
          <w:bCs/>
          <w:color w:val="auto"/>
          <w:spacing w:val="0"/>
          <w:w w:val="100"/>
          <w:kern w:val="0"/>
          <w:position w:val="0"/>
          <w:sz w:val="24"/>
          <w:szCs w:val="28"/>
          <w:highlight w:val="none"/>
        </w:rPr>
        <w:t>类标准；项目产生的污染物经妥善处理后均可实现资源化合理综合利用和达标排放，对环境影响较小。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pacing w:val="0"/>
          <w:w w:val="100"/>
          <w:kern w:val="0"/>
          <w:position w:val="0"/>
          <w:sz w:val="24"/>
          <w:szCs w:val="28"/>
          <w:highlight w:val="none"/>
        </w:rPr>
      </w:pPr>
      <w:r>
        <w:rPr>
          <w:rFonts w:hint="default" w:ascii="Times New Roman" w:hAnsi="Times New Roman" w:eastAsia="宋体" w:cs="Times New Roman"/>
          <w:b w:val="0"/>
          <w:bCs/>
          <w:color w:val="auto"/>
          <w:spacing w:val="0"/>
          <w:w w:val="100"/>
          <w:kern w:val="0"/>
          <w:position w:val="0"/>
          <w:sz w:val="24"/>
          <w:szCs w:val="28"/>
          <w:highlight w:val="none"/>
          <w:lang w:val="en-US" w:eastAsia="zh-CN"/>
        </w:rPr>
        <w:t>(4)</w:t>
      </w:r>
      <w:r>
        <w:rPr>
          <w:rFonts w:hint="default" w:ascii="Times New Roman" w:hAnsi="Times New Roman" w:eastAsia="宋体" w:cs="Times New Roman"/>
          <w:b w:val="0"/>
          <w:bCs/>
          <w:color w:val="auto"/>
          <w:spacing w:val="0"/>
          <w:w w:val="100"/>
          <w:kern w:val="0"/>
          <w:position w:val="0"/>
          <w:sz w:val="24"/>
          <w:szCs w:val="28"/>
          <w:highlight w:val="none"/>
        </w:rPr>
        <w:t>本项目为畜牧业养殖项目，项目的建设可带动当地农业生产，对带动</w:t>
      </w:r>
      <w:r>
        <w:rPr>
          <w:rFonts w:hint="default" w:ascii="Times New Roman" w:hAnsi="Times New Roman" w:eastAsia="宋体" w:cs="Times New Roman"/>
          <w:b w:val="0"/>
          <w:bCs/>
          <w:color w:val="auto"/>
          <w:spacing w:val="0"/>
          <w:w w:val="100"/>
          <w:kern w:val="0"/>
          <w:position w:val="0"/>
          <w:sz w:val="24"/>
          <w:szCs w:val="28"/>
          <w:highlight w:val="none"/>
          <w:lang w:eastAsia="zh-CN"/>
        </w:rPr>
        <w:t>同心县</w:t>
      </w:r>
      <w:r>
        <w:rPr>
          <w:rFonts w:hint="default" w:ascii="Times New Roman" w:hAnsi="Times New Roman" w:eastAsia="宋体" w:cs="Times New Roman"/>
          <w:b w:val="0"/>
          <w:bCs/>
          <w:color w:val="auto"/>
          <w:spacing w:val="0"/>
          <w:w w:val="100"/>
          <w:kern w:val="0"/>
          <w:position w:val="0"/>
          <w:sz w:val="24"/>
          <w:szCs w:val="28"/>
          <w:highlight w:val="none"/>
        </w:rPr>
        <w:t>奶牛产业向规模化、优质化、专业化方向发展，进一步推进产业结构的调整，实现畜牧业增产、农民增收具有重要意义。项目在施工期及运营期不可避免的产生废气、废水、噪声及固体废物对周围环境产生一定的影响，但建设单位在严格执行</w:t>
      </w:r>
      <w:r>
        <w:rPr>
          <w:rFonts w:hint="default" w:ascii="Times New Roman" w:hAnsi="Times New Roman" w:eastAsia="宋体" w:cs="Times New Roman"/>
          <w:b w:val="0"/>
          <w:bCs/>
          <w:color w:val="auto"/>
          <w:spacing w:val="0"/>
          <w:w w:val="100"/>
          <w:kern w:val="0"/>
          <w:position w:val="0"/>
          <w:sz w:val="24"/>
          <w:szCs w:val="28"/>
          <w:highlight w:val="none"/>
          <w:lang w:eastAsia="zh-CN"/>
        </w:rPr>
        <w:t>“</w:t>
      </w:r>
      <w:r>
        <w:rPr>
          <w:rFonts w:hint="default" w:ascii="Times New Roman" w:hAnsi="Times New Roman" w:eastAsia="宋体" w:cs="Times New Roman"/>
          <w:b w:val="0"/>
          <w:bCs/>
          <w:color w:val="auto"/>
          <w:spacing w:val="0"/>
          <w:w w:val="100"/>
          <w:kern w:val="0"/>
          <w:position w:val="0"/>
          <w:sz w:val="24"/>
          <w:szCs w:val="28"/>
          <w:highlight w:val="none"/>
        </w:rPr>
        <w:t>三同时</w:t>
      </w:r>
      <w:r>
        <w:rPr>
          <w:rFonts w:hint="default" w:ascii="Times New Roman" w:hAnsi="Times New Roman" w:eastAsia="宋体" w:cs="Times New Roman"/>
          <w:b w:val="0"/>
          <w:bCs/>
          <w:color w:val="auto"/>
          <w:spacing w:val="0"/>
          <w:w w:val="100"/>
          <w:kern w:val="0"/>
          <w:position w:val="0"/>
          <w:sz w:val="24"/>
          <w:szCs w:val="28"/>
          <w:highlight w:val="none"/>
          <w:lang w:eastAsia="zh-CN"/>
        </w:rPr>
        <w:t>”</w:t>
      </w:r>
      <w:r>
        <w:rPr>
          <w:rFonts w:hint="default" w:ascii="Times New Roman" w:hAnsi="Times New Roman" w:eastAsia="宋体" w:cs="Times New Roman"/>
          <w:b w:val="0"/>
          <w:bCs/>
          <w:color w:val="auto"/>
          <w:spacing w:val="0"/>
          <w:w w:val="100"/>
          <w:kern w:val="0"/>
          <w:position w:val="0"/>
          <w:sz w:val="24"/>
          <w:szCs w:val="28"/>
          <w:highlight w:val="none"/>
        </w:rPr>
        <w:t>制度，落实各项污染防治措施和风险防治措施的前提下，项目的建设对环境影响较小。</w:t>
      </w:r>
    </w:p>
    <w:p>
      <w:pPr>
        <w:keepNext w:val="0"/>
        <w:keepLines w:val="0"/>
        <w:pageBreakBefore w:val="0"/>
        <w:widowControl w:val="0"/>
        <w:kinsoku/>
        <w:wordWrap/>
        <w:overflowPunct/>
        <w:topLinePunct w:val="0"/>
        <w:autoSpaceDE/>
        <w:autoSpaceDN/>
        <w:bidi w:val="0"/>
        <w:adjustRightInd/>
        <w:snapToGrid w:val="0"/>
        <w:spacing w:line="48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54" w:name="_Toc4613"/>
      <w:bookmarkStart w:id="55" w:name="_Toc5995"/>
      <w:bookmarkStart w:id="56" w:name="_Toc20450"/>
      <w:r>
        <w:rPr>
          <w:rFonts w:hint="default" w:ascii="Times New Roman" w:hAnsi="Times New Roman" w:eastAsia="宋体" w:cs="Times New Roman"/>
          <w:b/>
          <w:color w:val="auto"/>
          <w:spacing w:val="0"/>
          <w:w w:val="100"/>
          <w:kern w:val="0"/>
          <w:position w:val="0"/>
          <w:sz w:val="24"/>
          <w:szCs w:val="28"/>
          <w:highlight w:val="none"/>
        </w:rPr>
        <w:t>4.分析判定相关情况</w:t>
      </w:r>
      <w:bookmarkEnd w:id="52"/>
      <w:bookmarkEnd w:id="53"/>
      <w:bookmarkEnd w:id="54"/>
      <w:bookmarkEnd w:id="55"/>
      <w:bookmarkEnd w:id="56"/>
    </w:p>
    <w:p>
      <w:pPr>
        <w:pStyle w:val="3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spacing w:val="0"/>
          <w:w w:val="100"/>
          <w:kern w:val="0"/>
          <w:position w:val="0"/>
          <w:highlight w:val="none"/>
        </w:rPr>
      </w:pPr>
      <w:bookmarkStart w:id="57" w:name="_Toc22521"/>
      <w:bookmarkStart w:id="58" w:name="_Toc24087_WPSOffice_Level1"/>
      <w:bookmarkStart w:id="59" w:name="_Toc18056"/>
      <w:bookmarkStart w:id="60" w:name="_Toc18800_WPSOffice_Level1"/>
      <w:r>
        <w:rPr>
          <w:rFonts w:hint="default" w:ascii="Times New Roman" w:hAnsi="Times New Roman" w:eastAsia="宋体" w:cs="Times New Roman"/>
          <w:color w:val="auto"/>
          <w:spacing w:val="0"/>
          <w:w w:val="100"/>
          <w:kern w:val="0"/>
          <w:position w:val="0"/>
          <w:highlight w:val="none"/>
        </w:rPr>
        <w:t>本项目环境影响评价工作的指导思想是在充分调查和摸清本项目厂址地区环境特点和环境现状，深入分析本项目污染源状况的基础上，运用国家环境保护行业标准和《环境影响评价技术导则》中的有关模型，预测本工程所排污染物对周边区域环境质量的影响程度，分析建设项目污染物排放及影响是否符合当地环境功能及环境质量标准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fldChar w:fldCharType="begin"/>
      </w:r>
      <w:r>
        <w:rPr>
          <w:rFonts w:hint="default" w:ascii="Times New Roman" w:hAnsi="Times New Roman" w:eastAsia="宋体" w:cs="Times New Roman"/>
          <w:color w:val="auto"/>
          <w:spacing w:val="0"/>
          <w:w w:val="100"/>
          <w:kern w:val="0"/>
          <w:position w:val="0"/>
          <w:sz w:val="24"/>
          <w:highlight w:val="none"/>
          <w:lang w:val="zh-CN"/>
        </w:rPr>
        <w:instrText xml:space="preserve"> = 1 \* GB2 \* MERGEFORMAT </w:instrText>
      </w:r>
      <w:r>
        <w:rPr>
          <w:rFonts w:hint="default" w:ascii="Times New Roman" w:hAnsi="Times New Roman" w:eastAsia="宋体" w:cs="Times New Roman"/>
          <w:color w:val="auto"/>
          <w:spacing w:val="0"/>
          <w:w w:val="100"/>
          <w:kern w:val="0"/>
          <w:position w:val="0"/>
          <w:sz w:val="24"/>
          <w:highlight w:val="none"/>
          <w:lang w:val="zh-CN"/>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lang w:val="zh-CN"/>
        </w:rPr>
        <w:fldChar w:fldCharType="end"/>
      </w:r>
      <w:r>
        <w:rPr>
          <w:rFonts w:hint="default" w:ascii="Times New Roman" w:hAnsi="Times New Roman" w:eastAsia="宋体" w:cs="Times New Roman"/>
          <w:color w:val="auto"/>
          <w:spacing w:val="0"/>
          <w:w w:val="100"/>
          <w:kern w:val="0"/>
          <w:position w:val="0"/>
          <w:sz w:val="24"/>
          <w:highlight w:val="none"/>
          <w:lang w:val="zh-CN"/>
        </w:rPr>
        <w:t>产业政策相符性分析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本项目属于《产业结构调整指导目录（2019年本）》中鼓励类中第一项农林业 4</w:t>
      </w:r>
      <w:r>
        <w:rPr>
          <w:rFonts w:hint="default" w:ascii="Times New Roman" w:hAnsi="Times New Roman" w:eastAsia="宋体" w:cs="Times New Roman"/>
          <w:color w:val="auto"/>
          <w:spacing w:val="0"/>
          <w:w w:val="100"/>
          <w:kern w:val="0"/>
          <w:position w:val="0"/>
          <w:sz w:val="24"/>
          <w:highlight w:val="none"/>
        </w:rPr>
        <w:t>畜禽标准化规模养殖技术开发与应用</w:t>
      </w:r>
      <w:r>
        <w:rPr>
          <w:rFonts w:hint="default" w:ascii="Times New Roman" w:hAnsi="Times New Roman" w:eastAsia="宋体" w:cs="Times New Roman"/>
          <w:color w:val="auto"/>
          <w:spacing w:val="0"/>
          <w:w w:val="100"/>
          <w:kern w:val="0"/>
          <w:position w:val="0"/>
          <w:sz w:val="24"/>
          <w:highlight w:val="none"/>
          <w:lang w:val="zh-CN"/>
        </w:rPr>
        <w:t>，符合《产业结构调整指导目录（2019年本）》。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szCs w:val="24"/>
          <w:lang w:eastAsia="zh-CN"/>
        </w:rPr>
        <w:t>宁夏垣盛越农牧综合开发有限公司发展规模高效养殖，</w:t>
      </w:r>
      <w:r>
        <w:rPr>
          <w:rFonts w:hint="default" w:ascii="Times New Roman" w:hAnsi="Times New Roman" w:eastAsia="宋体" w:cs="Times New Roman"/>
          <w:color w:val="auto"/>
          <w:spacing w:val="0"/>
          <w:w w:val="100"/>
          <w:kern w:val="0"/>
          <w:position w:val="0"/>
          <w:sz w:val="24"/>
          <w:highlight w:val="none"/>
          <w:lang w:val="zh-CN"/>
        </w:rPr>
        <w:t>采用较先进的粪污处理方式，合理利用生产过程中产生的粪便，实现养殖废弃物的减量化、资源化、无害化，符合《国务院关于促进畜牧业持续健康发展的意见》（国发[2007]4号）</w:t>
      </w:r>
      <w:r>
        <w:rPr>
          <w:rFonts w:hint="default" w:ascii="Times New Roman" w:hAnsi="Times New Roman" w:cs="Times New Roman"/>
          <w:color w:val="auto"/>
          <w:spacing w:val="0"/>
          <w:w w:val="100"/>
          <w:kern w:val="0"/>
          <w:position w:val="0"/>
          <w:sz w:val="24"/>
          <w:highlight w:val="none"/>
          <w:lang w:val="zh-CN"/>
        </w:rPr>
        <w:t>、</w:t>
      </w:r>
      <w:r>
        <w:rPr>
          <w:rFonts w:hint="default" w:ascii="Times New Roman" w:hAnsi="Times New Roman" w:eastAsia="宋体" w:cs="Times New Roman"/>
          <w:color w:val="auto"/>
          <w:spacing w:val="0"/>
          <w:w w:val="100"/>
          <w:kern w:val="0"/>
          <w:position w:val="0"/>
          <w:sz w:val="24"/>
          <w:highlight w:val="none"/>
          <w:lang w:val="zh-CN" w:eastAsia="zh-CN"/>
        </w:rPr>
        <w:t>《中共中央国务院关于深入推进农业供给侧结构性改革加快培育农业农村发展新动能的若干意见》（2016年12月31日）</w:t>
      </w:r>
      <w:r>
        <w:rPr>
          <w:rFonts w:hint="default" w:ascii="Times New Roman" w:hAnsi="Times New Roman" w:cs="Times New Roman"/>
          <w:color w:val="auto"/>
          <w:spacing w:val="0"/>
          <w:w w:val="100"/>
          <w:kern w:val="0"/>
          <w:position w:val="0"/>
          <w:sz w:val="24"/>
          <w:highlight w:val="none"/>
          <w:lang w:val="zh-CN" w:eastAsia="zh-CN"/>
        </w:rPr>
        <w:t>的相关要求</w:t>
      </w:r>
      <w:r>
        <w:rPr>
          <w:rFonts w:hint="default" w:ascii="Times New Roman" w:hAnsi="Times New Roman" w:eastAsia="宋体" w:cs="Times New Roman"/>
          <w:color w:val="auto"/>
          <w:spacing w:val="0"/>
          <w:w w:val="100"/>
          <w:kern w:val="0"/>
          <w:position w:val="0"/>
          <w:sz w:val="24"/>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综上，本项目符合国家产业政策及相关指导意见的要求。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4" w:firstLineChars="185"/>
        <w:jc w:val="both"/>
        <w:textAlignment w:val="auto"/>
        <w:rPr>
          <w:rFonts w:hint="default" w:ascii="Times New Roman" w:hAnsi="Times New Roman" w:eastAsia="宋体" w:cs="Times New Roman"/>
          <w:b/>
          <w:bCs/>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fldChar w:fldCharType="begin"/>
      </w:r>
      <w:r>
        <w:rPr>
          <w:rFonts w:hint="default" w:ascii="Times New Roman" w:hAnsi="Times New Roman" w:eastAsia="宋体" w:cs="Times New Roman"/>
          <w:color w:val="auto"/>
          <w:spacing w:val="0"/>
          <w:w w:val="100"/>
          <w:kern w:val="0"/>
          <w:position w:val="0"/>
          <w:sz w:val="24"/>
          <w:highlight w:val="none"/>
          <w:lang w:val="zh-CN"/>
        </w:rPr>
        <w:instrText xml:space="preserve"> = 2 \* GB2 \* MERGEFORMAT </w:instrText>
      </w:r>
      <w:r>
        <w:rPr>
          <w:rFonts w:hint="default" w:ascii="Times New Roman" w:hAnsi="Times New Roman" w:eastAsia="宋体" w:cs="Times New Roman"/>
          <w:color w:val="auto"/>
          <w:spacing w:val="0"/>
          <w:w w:val="100"/>
          <w:kern w:val="0"/>
          <w:position w:val="0"/>
          <w:sz w:val="24"/>
          <w:highlight w:val="none"/>
          <w:lang w:val="zh-CN"/>
        </w:rPr>
        <w:fldChar w:fldCharType="separate"/>
      </w:r>
      <w:r>
        <w:rPr>
          <w:rFonts w:hint="default" w:ascii="Times New Roman" w:hAnsi="Times New Roman" w:eastAsia="宋体" w:cs="Times New Roman"/>
          <w:color w:val="auto"/>
          <w:spacing w:val="0"/>
          <w:w w:val="100"/>
          <w:kern w:val="0"/>
          <w:position w:val="0"/>
          <w:sz w:val="24"/>
          <w:highlight w:val="none"/>
          <w:lang w:val="zh-CN"/>
        </w:rPr>
        <w:t>⑵</w:t>
      </w:r>
      <w:r>
        <w:rPr>
          <w:rFonts w:hint="default" w:ascii="Times New Roman" w:hAnsi="Times New Roman" w:eastAsia="宋体" w:cs="Times New Roman"/>
          <w:color w:val="auto"/>
          <w:spacing w:val="0"/>
          <w:w w:val="100"/>
          <w:kern w:val="0"/>
          <w:position w:val="0"/>
          <w:sz w:val="24"/>
          <w:highlight w:val="none"/>
          <w:lang w:val="zh-CN"/>
        </w:rPr>
        <w:fldChar w:fldCharType="end"/>
      </w:r>
      <w:r>
        <w:rPr>
          <w:rFonts w:hint="default" w:ascii="Times New Roman" w:hAnsi="Times New Roman" w:eastAsia="宋体" w:cs="Times New Roman"/>
          <w:color w:val="auto"/>
          <w:spacing w:val="0"/>
          <w:w w:val="100"/>
          <w:kern w:val="0"/>
          <w:position w:val="0"/>
          <w:sz w:val="24"/>
          <w:highlight w:val="none"/>
        </w:rPr>
        <w:t>与相关规划</w:t>
      </w:r>
      <w:r>
        <w:rPr>
          <w:rFonts w:hint="default" w:ascii="Times New Roman" w:hAnsi="Times New Roman" w:eastAsia="宋体" w:cs="Times New Roman"/>
          <w:color w:val="auto"/>
          <w:spacing w:val="0"/>
          <w:w w:val="100"/>
          <w:kern w:val="0"/>
          <w:position w:val="0"/>
          <w:sz w:val="24"/>
          <w:highlight w:val="none"/>
          <w:lang w:eastAsia="zh-CN"/>
        </w:rPr>
        <w:t>和规范</w:t>
      </w:r>
      <w:r>
        <w:rPr>
          <w:rFonts w:hint="default" w:ascii="Times New Roman" w:hAnsi="Times New Roman" w:eastAsia="宋体" w:cs="Times New Roman"/>
          <w:color w:val="auto"/>
          <w:spacing w:val="0"/>
          <w:w w:val="100"/>
          <w:kern w:val="0"/>
          <w:position w:val="0"/>
          <w:sz w:val="24"/>
          <w:highlight w:val="none"/>
        </w:rPr>
        <w:t>相符性判定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eastAsia="zh-CN"/>
        </w:rPr>
        <w:t>本项目</w:t>
      </w:r>
      <w:r>
        <w:rPr>
          <w:rFonts w:hint="eastAsia" w:ascii="Times New Roman" w:hAnsi="Times New Roman" w:cs="Times New Roman"/>
          <w:color w:val="auto"/>
          <w:spacing w:val="0"/>
          <w:w w:val="100"/>
          <w:kern w:val="0"/>
          <w:position w:val="0"/>
          <w:sz w:val="24"/>
          <w:szCs w:val="24"/>
          <w:lang w:eastAsia="zh-CN"/>
        </w:rPr>
        <w:t>主要建设一座奶牛养殖场，年存栏奶牛</w:t>
      </w:r>
      <w:r>
        <w:rPr>
          <w:rFonts w:hint="eastAsia" w:ascii="Times New Roman" w:hAnsi="Times New Roman" w:cs="Times New Roman"/>
          <w:color w:val="auto"/>
          <w:spacing w:val="0"/>
          <w:w w:val="100"/>
          <w:kern w:val="0"/>
          <w:position w:val="0"/>
          <w:sz w:val="24"/>
          <w:szCs w:val="24"/>
          <w:lang w:val="en-US" w:eastAsia="zh-CN"/>
        </w:rPr>
        <w:t>5000头，年产鲜奶23000t。项目属于农区标准化规模养殖场，</w:t>
      </w:r>
      <w:r>
        <w:rPr>
          <w:rFonts w:hint="default" w:ascii="Times New Roman" w:hAnsi="Times New Roman" w:eastAsia="宋体" w:cs="Times New Roman"/>
          <w:color w:val="auto"/>
          <w:spacing w:val="0"/>
          <w:w w:val="100"/>
          <w:kern w:val="0"/>
          <w:position w:val="0"/>
          <w:sz w:val="24"/>
          <w:szCs w:val="24"/>
          <w:lang w:eastAsia="zh-CN"/>
        </w:rPr>
        <w:t>着力发展畜禽养殖业，建立粪污处理措施，加强畜禽面源污染防治及资源化利用</w:t>
      </w:r>
      <w:r>
        <w:rPr>
          <w:rFonts w:hint="eastAsia" w:ascii="Times New Roman" w:hAnsi="Times New Roman" w:cs="Times New Roman"/>
          <w:color w:val="auto"/>
          <w:spacing w:val="0"/>
          <w:w w:val="100"/>
          <w:kern w:val="0"/>
          <w:position w:val="0"/>
          <w:sz w:val="24"/>
          <w:szCs w:val="24"/>
          <w:lang w:eastAsia="zh-CN"/>
        </w:rPr>
        <w:t>，项目以“高标准、高水平、高要求”规划、建设5000头奶牛扶贫养殖基地，项目种养结合，粪污合理利用，有利于推进奶牛养殖，带动并促进地方经济的发展，符合《中华人民共和国国民经济和社会发展第十四个五年规划和2035年远景目标纲要》</w:t>
      </w:r>
      <w:r>
        <w:rPr>
          <w:rFonts w:hint="eastAsia" w:ascii="Times New Roman" w:hAnsi="Times New Roman" w:cs="Times New Roman"/>
          <w:color w:val="auto"/>
          <w:spacing w:val="0"/>
          <w:w w:val="100"/>
          <w:kern w:val="0"/>
          <w:position w:val="0"/>
          <w:sz w:val="24"/>
          <w:szCs w:val="24"/>
          <w:lang w:val="en-US" w:eastAsia="zh-CN"/>
        </w:rPr>
        <w:t>、《中共宁夏回族自治区委员会关于制定国民经济和社会发展第十四个五年规划和二〇三五年远景目标的建议》、《关于进一步明确畜禽粪污还田利用要求强化养殖污染监管的通知》、《宁夏回族自治区现代农业“十三五”发展规划》以及《宁夏回族自治区畜禽规模养殖污染防治总体规划(2016-2020年）》的相关要求。</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fldChar w:fldCharType="begin"/>
      </w:r>
      <w:r>
        <w:rPr>
          <w:rFonts w:hint="default" w:ascii="Times New Roman" w:hAnsi="Times New Roman" w:eastAsia="宋体" w:cs="Times New Roman"/>
          <w:color w:val="auto"/>
          <w:spacing w:val="0"/>
          <w:w w:val="100"/>
          <w:kern w:val="0"/>
          <w:position w:val="0"/>
          <w:highlight w:val="none"/>
        </w:rPr>
        <w:instrText xml:space="preserve"> = 4 \* GB2 \* MERGEFORMAT </w:instrText>
      </w:r>
      <w:r>
        <w:rPr>
          <w:rFonts w:hint="default" w:ascii="Times New Roman" w:hAnsi="Times New Roman" w:eastAsia="宋体" w:cs="Times New Roman"/>
          <w:color w:val="auto"/>
          <w:spacing w:val="0"/>
          <w:w w:val="100"/>
          <w:kern w:val="0"/>
          <w:position w:val="0"/>
          <w:highlight w:val="none"/>
        </w:rPr>
        <w:fldChar w:fldCharType="separate"/>
      </w:r>
      <w:r>
        <w:rPr>
          <w:rFonts w:hint="default" w:ascii="Times New Roman" w:hAnsi="Times New Roman" w:eastAsia="宋体" w:cs="Times New Roman"/>
          <w:color w:val="auto"/>
          <w:spacing w:val="0"/>
          <w:w w:val="100"/>
          <w:kern w:val="0"/>
          <w:position w:val="0"/>
        </w:rPr>
        <w:t>⑷</w:t>
      </w:r>
      <w:r>
        <w:rPr>
          <w:rFonts w:hint="default" w:ascii="Times New Roman" w:hAnsi="Times New Roman" w:eastAsia="宋体" w:cs="Times New Roman"/>
          <w:color w:val="auto"/>
          <w:spacing w:val="0"/>
          <w:w w:val="100"/>
          <w:kern w:val="0"/>
          <w:position w:val="0"/>
          <w:highlight w:val="none"/>
        </w:rPr>
        <w:fldChar w:fldCharType="end"/>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rPr>
        <w:t>三线一清单</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rPr>
        <w:t>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①根据《自治区人民政府关于发布宁夏回族自治区生态保护红线的通知》，本项目用地不涉及占用水源地、自然保护区等保护目标，不在生态保护红线范围内，符合《宁夏回族自治区生态保护红线》要求。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cs="Times New Roman"/>
          <w:color w:val="auto"/>
          <w:spacing w:val="0"/>
          <w:w w:val="100"/>
          <w:kern w:val="0"/>
          <w:position w:val="0"/>
          <w:sz w:val="24"/>
          <w:szCs w:val="24"/>
          <w:lang w:val="en-US" w:eastAsia="zh-CN" w:bidi="ar"/>
        </w:rPr>
        <w:t>②</w:t>
      </w:r>
      <w:r>
        <w:rPr>
          <w:rFonts w:hint="default" w:ascii="Times New Roman" w:hAnsi="Times New Roman" w:eastAsia="宋体" w:cs="Times New Roman"/>
          <w:color w:val="auto"/>
          <w:spacing w:val="0"/>
          <w:w w:val="100"/>
          <w:kern w:val="0"/>
          <w:position w:val="0"/>
          <w:sz w:val="24"/>
          <w:szCs w:val="24"/>
          <w:lang w:val="en-US" w:eastAsia="zh-CN" w:bidi="ar"/>
        </w:rPr>
        <w:t>本项目位于吴忠市</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rPr>
        <w:t>，根据《2020宁夏生态环境质量状况》公开的区域环境空气质量数据</w:t>
      </w:r>
      <w:r>
        <w:rPr>
          <w:rFonts w:hint="eastAsia" w:ascii="Times New Roman" w:hAnsi="Times New Roman"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lang w:eastAsia="zh-CN"/>
        </w:rPr>
        <w:t>吴忠市</w:t>
      </w:r>
      <w:r>
        <w:rPr>
          <w:rFonts w:hint="default" w:ascii="Times New Roman" w:hAnsi="Times New Roman" w:eastAsia="宋体" w:cs="Times New Roman"/>
          <w:color w:val="auto"/>
          <w:spacing w:val="0"/>
          <w:w w:val="100"/>
          <w:kern w:val="0"/>
          <w:position w:val="0"/>
          <w:sz w:val="24"/>
          <w:szCs w:val="24"/>
          <w:lang w:val="en-US" w:eastAsia="zh-CN"/>
        </w:rPr>
        <w:t>2020年</w:t>
      </w:r>
      <w:r>
        <w:rPr>
          <w:rFonts w:hint="default" w:ascii="Times New Roman" w:hAnsi="Times New Roman" w:eastAsia="宋体" w:cs="Times New Roman"/>
          <w:color w:val="auto"/>
          <w:spacing w:val="0"/>
          <w:w w:val="100"/>
          <w:kern w:val="0"/>
          <w:position w:val="0"/>
          <w:sz w:val="24"/>
          <w:szCs w:val="24"/>
        </w:rPr>
        <w:t>SO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、NO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、年均值、O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rPr>
        <w:t>日最大8h滑动平均值的第90百分位数、CO24h平均第95百分位数均满足《环境空气质量标准》（GB3095-2012及2018年修改单）中二级标准要求，PM</w:t>
      </w:r>
      <w:r>
        <w:rPr>
          <w:rFonts w:hint="default" w:ascii="Times New Roman" w:hAnsi="Times New Roman" w:eastAsia="宋体" w:cs="Times New Roman"/>
          <w:color w:val="auto"/>
          <w:spacing w:val="0"/>
          <w:w w:val="100"/>
          <w:kern w:val="0"/>
          <w:position w:val="0"/>
          <w:sz w:val="24"/>
          <w:szCs w:val="24"/>
          <w:vertAlign w:val="subscript"/>
          <w:lang w:val="en-US" w:eastAsia="zh-CN"/>
        </w:rPr>
        <w:t>10</w:t>
      </w:r>
      <w:r>
        <w:rPr>
          <w:rFonts w:hint="default" w:ascii="Times New Roman" w:hAnsi="Times New Roman" w:eastAsia="宋体" w:cs="Times New Roman"/>
          <w:color w:val="auto"/>
          <w:spacing w:val="0"/>
          <w:w w:val="100"/>
          <w:kern w:val="0"/>
          <w:position w:val="0"/>
          <w:sz w:val="24"/>
          <w:szCs w:val="24"/>
        </w:rPr>
        <w:t>、PM</w:t>
      </w:r>
      <w:r>
        <w:rPr>
          <w:rFonts w:hint="default" w:ascii="Times New Roman" w:hAnsi="Times New Roman" w:eastAsia="宋体" w:cs="Times New Roman"/>
          <w:color w:val="auto"/>
          <w:spacing w:val="0"/>
          <w:w w:val="100"/>
          <w:kern w:val="0"/>
          <w:position w:val="0"/>
          <w:sz w:val="24"/>
          <w:szCs w:val="24"/>
          <w:vertAlign w:val="subscript"/>
        </w:rPr>
        <w:t>2.5</w:t>
      </w:r>
      <w:r>
        <w:rPr>
          <w:rFonts w:hint="default" w:ascii="Times New Roman" w:hAnsi="Times New Roman" w:eastAsia="宋体" w:cs="Times New Roman"/>
          <w:color w:val="auto"/>
          <w:spacing w:val="0"/>
          <w:w w:val="100"/>
          <w:kern w:val="0"/>
          <w:position w:val="0"/>
          <w:sz w:val="24"/>
          <w:szCs w:val="24"/>
        </w:rPr>
        <w:t>超过《环境空气质量标准》（GB3095-2012）二级标准，所在区为不达标区。</w:t>
      </w:r>
      <w:r>
        <w:rPr>
          <w:rFonts w:hint="default" w:ascii="Times New Roman" w:hAnsi="Times New Roman" w:eastAsia="宋体" w:cs="Times New Roman"/>
          <w:color w:val="auto"/>
          <w:spacing w:val="0"/>
          <w:w w:val="100"/>
          <w:kern w:val="0"/>
          <w:position w:val="0"/>
          <w:sz w:val="24"/>
          <w:szCs w:val="24"/>
          <w:lang w:val="en-US" w:eastAsia="zh-CN" w:bidi="ar"/>
        </w:rPr>
        <w:t>根据本项目环境现状监测结果，项目评价范围内H</w:t>
      </w:r>
      <w:r>
        <w:rPr>
          <w:rFonts w:hint="default" w:ascii="Times New Roman" w:hAnsi="Times New Roman" w:eastAsia="宋体" w:cs="Times New Roman"/>
          <w:color w:val="auto"/>
          <w:spacing w:val="0"/>
          <w:w w:val="100"/>
          <w:kern w:val="0"/>
          <w:position w:val="0"/>
          <w:sz w:val="24"/>
          <w:szCs w:val="24"/>
          <w:vertAlign w:val="subscript"/>
          <w:lang w:val="en-US" w:eastAsia="zh-CN" w:bidi="ar"/>
        </w:rPr>
        <w:t>2</w:t>
      </w:r>
      <w:r>
        <w:rPr>
          <w:rFonts w:hint="default" w:ascii="Times New Roman" w:hAnsi="Times New Roman" w:eastAsia="宋体" w:cs="Times New Roman"/>
          <w:color w:val="auto"/>
          <w:spacing w:val="0"/>
          <w:w w:val="100"/>
          <w:kern w:val="0"/>
          <w:position w:val="0"/>
          <w:sz w:val="24"/>
          <w:szCs w:val="24"/>
          <w:lang w:val="en-US" w:eastAsia="zh-CN" w:bidi="ar"/>
        </w:rPr>
        <w:t>S、NH</w:t>
      </w:r>
      <w:r>
        <w:rPr>
          <w:rFonts w:hint="default" w:ascii="Times New Roman" w:hAnsi="Times New Roman" w:eastAsia="宋体" w:cs="Times New Roman"/>
          <w:color w:val="auto"/>
          <w:spacing w:val="0"/>
          <w:w w:val="100"/>
          <w:kern w:val="0"/>
          <w:position w:val="0"/>
          <w:sz w:val="24"/>
          <w:szCs w:val="24"/>
          <w:vertAlign w:val="subscript"/>
          <w:lang w:val="en-US" w:eastAsia="zh-CN" w:bidi="ar"/>
        </w:rPr>
        <w:t>3</w:t>
      </w:r>
      <w:r>
        <w:rPr>
          <w:rFonts w:hint="default" w:ascii="Times New Roman" w:hAnsi="Times New Roman" w:eastAsia="宋体" w:cs="Times New Roman"/>
          <w:color w:val="auto"/>
          <w:spacing w:val="0"/>
          <w:w w:val="100"/>
          <w:kern w:val="0"/>
          <w:position w:val="0"/>
          <w:sz w:val="24"/>
          <w:szCs w:val="24"/>
          <w:lang w:val="en-US" w:eastAsia="zh-CN" w:bidi="ar"/>
        </w:rPr>
        <w:t>符合《环境影响评价技术导则 大气环境》（HJ2.2-2018）附录D其他污染物空气质量浓度参考限值</w:t>
      </w:r>
      <w:r>
        <w:rPr>
          <w:rFonts w:hint="eastAsia" w:ascii="Times New Roman" w:hAnsi="Times New Roman" w:cs="Times New Roman"/>
          <w:color w:val="auto"/>
          <w:spacing w:val="0"/>
          <w:w w:val="100"/>
          <w:kern w:val="0"/>
          <w:positio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eastAsia" w:ascii="Times New Roman" w:hAnsi="Times New Roman" w:cs="Times New Roman"/>
          <w:color w:val="auto"/>
          <w:spacing w:val="0"/>
          <w:w w:val="100"/>
          <w:kern w:val="0"/>
          <w:position w:val="0"/>
          <w:sz w:val="24"/>
          <w:szCs w:val="24"/>
          <w:lang w:val="en-US" w:eastAsia="zh-CN" w:bidi="ar"/>
        </w:rPr>
        <w:t>本项目所在区域主要地表水体为苦水河，根据</w:t>
      </w:r>
      <w:r>
        <w:rPr>
          <w:rFonts w:hint="default" w:ascii="Times New Roman" w:hAnsi="Times New Roman" w:eastAsia="宋体" w:cs="Times New Roman"/>
          <w:color w:val="auto"/>
          <w:spacing w:val="0"/>
          <w:w w:val="100"/>
          <w:kern w:val="0"/>
          <w:position w:val="0"/>
          <w:sz w:val="24"/>
          <w:szCs w:val="24"/>
          <w:lang w:val="en-US" w:eastAsia="zh-CN" w:bidi="ar"/>
        </w:rPr>
        <w:t>吴忠市环境监测站2019年苦水河孙家滩断面的监测数据</w:t>
      </w:r>
      <w:r>
        <w:rPr>
          <w:rFonts w:hint="eastAsia" w:ascii="Times New Roman" w:hAnsi="Times New Roman" w:cs="Times New Roman"/>
          <w:color w:val="auto"/>
          <w:spacing w:val="0"/>
          <w:w w:val="100"/>
          <w:kern w:val="0"/>
          <w:position w:val="0"/>
          <w:sz w:val="24"/>
          <w:szCs w:val="24"/>
          <w:lang w:val="en-US" w:eastAsia="zh-CN" w:bidi="ar"/>
        </w:rPr>
        <w:t>，</w:t>
      </w:r>
      <w:r>
        <w:rPr>
          <w:rFonts w:hint="default" w:ascii="Times New Roman" w:hAnsi="Times New Roman" w:eastAsia="宋体" w:cs="Times New Roman"/>
          <w:color w:val="auto"/>
          <w:spacing w:val="0"/>
          <w:w w:val="100"/>
          <w:kern w:val="0"/>
          <w:position w:val="0"/>
          <w:sz w:val="24"/>
          <w:szCs w:val="24"/>
          <w:lang w:val="en-US" w:eastAsia="zh-CN" w:bidi="ar"/>
        </w:rPr>
        <w:t>苦水河孙家滩断面水质单因子指数中氨氮、挥发酚、高锰酸盐指数、化 学需氧量、总氮、氟化物、硒、阴离子表面活性剂等均有超标，说明苦水河该断面水质超过《地表水环境质量标准》（GB3838-2002）中的Ⅳ类标准要求。高锰酸盐指数、阴离子表面活性剂、化学需氧量、总氮和氨氮超标主要是接纳上游沿线居民生活污水以及开发区污水处 理厂排污所致，氟化物、硒超标主要是区域地质所致河床岩土中含氟化物、盐类较多，水体溶解河床岩土中的氟化物和盐类，加之区域内蒸发强烈，河流补水较少，导致氟化物、硒本底值较高，出现超标现象。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lang w:val="en-US" w:eastAsia="zh-CN" w:bidi="ar"/>
        </w:rPr>
        <w:t>地下水现状监测</w:t>
      </w:r>
      <w:r>
        <w:rPr>
          <w:rFonts w:hint="eastAsia" w:ascii="Times New Roman" w:hAnsi="Times New Roman" w:cs="Times New Roman"/>
          <w:color w:val="auto"/>
          <w:spacing w:val="0"/>
          <w:w w:val="100"/>
          <w:kern w:val="0"/>
          <w:position w:val="0"/>
          <w:sz w:val="24"/>
          <w:szCs w:val="24"/>
          <w:lang w:val="en-US" w:eastAsia="zh-CN" w:bidi="ar"/>
        </w:rPr>
        <w:t>不能</w:t>
      </w:r>
      <w:r>
        <w:rPr>
          <w:rFonts w:hint="default" w:ascii="Times New Roman" w:hAnsi="Times New Roman" w:eastAsia="宋体" w:cs="Times New Roman"/>
          <w:color w:val="auto"/>
          <w:spacing w:val="0"/>
          <w:w w:val="100"/>
          <w:kern w:val="0"/>
          <w:position w:val="0"/>
          <w:sz w:val="24"/>
          <w:szCs w:val="24"/>
          <w:lang w:val="en-US" w:eastAsia="zh-CN" w:bidi="ar"/>
        </w:rPr>
        <w:t>满足《地下水质量标准》（GB/T14848-2017）中的Ⅲ类标准要求；声环境质量现状监测昼夜间噪声值均满足《声环境质量标准》中的1类区标准限值的要求；土壤环境各监测点各项指标均能达到《土壤环境质量农用地土壤污染风险管控标准》（试行）(GB15618-2018）限值的要求，土壤环境质量良好，同时本项目已采取相应的土壤污染防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lang w:val="en-US" w:eastAsia="zh-CN" w:bidi="ar"/>
        </w:rPr>
        <w:t>本项目运营后会产生一定的污染物，如臭气污染源的牛舍、堆粪场、粪污固废、生产设备运行噪声等，但在采取相应的污染防治措施后，各类污染物的排放不会对周边环境造成不良影响，即不会改变区域环境功能区质量要求，能维持环境功能区质量现状，因此本项目的建设符合环境质量底线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③项目生产过程中资源利用包括水、电，生产和生活用水、用电均由</w:t>
      </w:r>
      <w:r>
        <w:rPr>
          <w:rFonts w:hint="default" w:ascii="Times New Roman" w:hAnsi="Times New Roman" w:cs="Times New Roman"/>
          <w:color w:val="auto"/>
          <w:spacing w:val="0"/>
          <w:w w:val="100"/>
          <w:kern w:val="0"/>
          <w:position w:val="0"/>
          <w:sz w:val="24"/>
          <w:szCs w:val="24"/>
          <w:lang w:val="en-US" w:eastAsia="zh-CN" w:bidi="ar"/>
        </w:rPr>
        <w:t>市政</w:t>
      </w:r>
      <w:r>
        <w:rPr>
          <w:rFonts w:hint="default" w:ascii="Times New Roman" w:hAnsi="Times New Roman" w:eastAsia="宋体" w:cs="Times New Roman"/>
          <w:color w:val="auto"/>
          <w:spacing w:val="0"/>
          <w:w w:val="100"/>
          <w:kern w:val="0"/>
          <w:position w:val="0"/>
          <w:sz w:val="24"/>
          <w:szCs w:val="24"/>
          <w:lang w:val="en-US" w:eastAsia="zh-CN" w:bidi="ar"/>
        </w:rPr>
        <w:t>管网接入，水、电资源的用量占区域的资源量很小，项目的建设满足资源利用上限的要求。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④本建设项目为奶牛养殖建设项目，不属于产业政策中限制类、淘汰类。同时项目所在区域暂无明确的环境准入负面清单，本项目不属于规划农田和宅基地用地，因此，本项目应为环境准入允许类型。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lang w:val="zh-CN" w:eastAsia="zh-CN" w:bidi="ar"/>
        </w:rPr>
      </w:pPr>
      <w:r>
        <w:rPr>
          <w:rFonts w:hint="default" w:ascii="Times New Roman" w:hAnsi="Times New Roman" w:eastAsia="宋体" w:cs="Times New Roman"/>
          <w:color w:val="auto"/>
          <w:spacing w:val="0"/>
          <w:w w:val="100"/>
          <w:kern w:val="0"/>
          <w:position w:val="0"/>
          <w:sz w:val="24"/>
          <w:szCs w:val="24"/>
          <w:lang w:val="zh-CN" w:eastAsia="zh-CN" w:bidi="ar"/>
        </w:rPr>
        <w:t>因此，项目的建设符合“三线一清单”相关要求。</w:t>
      </w:r>
    </w:p>
    <w:p>
      <w:pPr>
        <w:keepNext w:val="0"/>
        <w:keepLines w:val="0"/>
        <w:pageBreakBefore w:val="0"/>
        <w:widowControl w:val="0"/>
        <w:tabs>
          <w:tab w:val="left" w:pos="2595"/>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highlight w:val="none"/>
          <w:lang w:val="en-US" w:eastAsia="zh-CN"/>
        </w:rPr>
        <w:instrText xml:space="preserve"> = 5 \* GB2 \* MERGEFORMAT </w:instrText>
      </w:r>
      <w:r>
        <w:rPr>
          <w:rFonts w:hint="default" w:ascii="Times New Roman" w:hAnsi="Times New Roman" w:eastAsia="宋体" w:cs="Times New Roman"/>
          <w:color w:val="auto"/>
          <w:spacing w:val="0"/>
          <w:w w:val="100"/>
          <w:kern w:val="0"/>
          <w:position w:val="0"/>
          <w:sz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highlight w:val="none"/>
          <w:lang w:val="en-US" w:eastAsia="zh-CN"/>
        </w:rPr>
        <w:t>⑸</w:t>
      </w:r>
      <w:r>
        <w:rPr>
          <w:rFonts w:hint="default" w:ascii="Times New Roman" w:hAnsi="Times New Roman" w:eastAsia="宋体" w:cs="Times New Roman"/>
          <w:color w:val="auto"/>
          <w:spacing w:val="0"/>
          <w:w w:val="100"/>
          <w:kern w:val="0"/>
          <w:position w:val="0"/>
          <w:sz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highlight w:val="none"/>
          <w:lang w:val="en-US" w:eastAsia="zh-CN"/>
        </w:rPr>
        <w:t>选址符合性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用地属于设施农用地，项目用地性质符合相关规定。本项目选址不属于禁建区域范围内或禁建区域附近；本项目规划设置养殖区、办公生活区、草料区，场区内的道路按照净道和污道不交叉的原则进行布置，周边交通便利；本项目所在地不属于城市和城镇居民区，建设区域远离工业企业。</w:t>
      </w:r>
      <w:r>
        <w:rPr>
          <w:rFonts w:hint="default" w:ascii="Times New Roman" w:hAnsi="Times New Roman" w:eastAsia="宋体" w:cs="Times New Roman"/>
          <w:color w:val="auto"/>
          <w:spacing w:val="0"/>
          <w:w w:val="100"/>
          <w:kern w:val="0"/>
          <w:position w:val="0"/>
          <w:sz w:val="24"/>
          <w:highlight w:val="none"/>
        </w:rPr>
        <w:t>符合</w:t>
      </w:r>
      <w:r>
        <w:rPr>
          <w:rFonts w:hint="default" w:ascii="Times New Roman" w:hAnsi="Times New Roman" w:eastAsia="宋体" w:cs="Times New Roman"/>
          <w:color w:val="auto"/>
          <w:spacing w:val="0"/>
          <w:w w:val="100"/>
          <w:kern w:val="0"/>
          <w:position w:val="0"/>
          <w:sz w:val="24"/>
          <w:highlight w:val="none"/>
          <w:lang w:val="zh-CN"/>
        </w:rPr>
        <w:t>《畜禽规模养殖污染防治条例》（2014年1月1日）、《畜禽养殖业污染防治技术规范》（HJ/T81-2001）、《农村畜禽养殖业污染防治技术规范》（DB64/T702-2011）、《畜禽养殖业污染治理工程技术规范》（HJ497-2009）、《畜禽养殖产地环境评价规范》（HJ568-2010）、《国务院办公厅关于加快推进畜禽养殖废弃物资源化利用的意见》（国办发[2017]48号）、《关于做好畜禽规模养殖项目环境影响评价管理工作的通知》（环办环评[2018]31号）以</w:t>
      </w:r>
      <w:r>
        <w:rPr>
          <w:rFonts w:hint="default" w:ascii="Times New Roman" w:hAnsi="Times New Roman" w:eastAsia="宋体" w:cs="Times New Roman"/>
          <w:color w:val="auto"/>
          <w:spacing w:val="0"/>
          <w:w w:val="100"/>
          <w:kern w:val="0"/>
          <w:position w:val="0"/>
          <w:sz w:val="24"/>
          <w:highlight w:val="none"/>
        </w:rPr>
        <w:t>及《农业农村部关于调整动物防疫条件审查有关规定的通知》（2019年12月18日）</w:t>
      </w:r>
      <w:r>
        <w:rPr>
          <w:rFonts w:hint="default" w:ascii="Times New Roman" w:hAnsi="Times New Roman" w:eastAsia="宋体" w:cs="Times New Roman"/>
          <w:color w:val="auto"/>
          <w:spacing w:val="0"/>
          <w:w w:val="100"/>
          <w:kern w:val="0"/>
          <w:position w:val="0"/>
          <w:sz w:val="24"/>
          <w:highlight w:val="none"/>
          <w:lang w:val="zh-CN"/>
        </w:rPr>
        <w:t>中的要求。</w:t>
      </w:r>
    </w:p>
    <w:p>
      <w:pPr>
        <w:keepNext w:val="0"/>
        <w:keepLines w:val="0"/>
        <w:pageBreakBefore w:val="0"/>
        <w:widowControl w:val="0"/>
        <w:tabs>
          <w:tab w:val="left" w:pos="2595"/>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t>根据《自治区人民政府关于实施“三线一单”生态环境分区管控的通知》（宁政发[2020]37号）文件要求，将自治区全区划分为优先保护单元、重点管控单元和一般管控单元。优先保护单元以严格保护生态环境、严格限制产业发展为导向，禁止或限制大规模的工业开发和城镇建设；重点管控单元总体上以守住环境质量底线、积极发展社会经济为导向，实施环境治理修复和差异的环境准入；一般管控单元以适度发展社会经济、避免大规模高强度开发为导向，执行区域生态环境保护的基本要求。本项目位于一般管控单元，项目在严格落实本评价污染防治措施前提下，本项目能够满足重点管控单元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pacing w:val="0"/>
          <w:w w:val="100"/>
          <w:kern w:val="0"/>
          <w:position w:val="0"/>
          <w:sz w:val="24"/>
          <w:highlight w:val="none"/>
          <w:lang w:val="en-US" w:eastAsia="zh-CN"/>
        </w:rPr>
      </w:pPr>
      <w:r>
        <w:rPr>
          <w:rFonts w:hint="eastAsia" w:ascii="Times New Roman" w:hAnsi="Times New Roman" w:cs="Times New Roman"/>
          <w:color w:val="auto"/>
          <w:spacing w:val="0"/>
          <w:w w:val="100"/>
          <w:kern w:val="0"/>
          <w:position w:val="0"/>
          <w:sz w:val="24"/>
          <w:highlight w:val="none"/>
          <w:lang w:val="en-US" w:eastAsia="zh-CN"/>
        </w:rPr>
        <w:t>根据</w:t>
      </w:r>
      <w:r>
        <w:rPr>
          <w:rFonts w:hint="default" w:ascii="Times New Roman" w:hAnsi="Times New Roman" w:eastAsia="宋体"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szCs w:val="24"/>
          <w:lang w:val="en-US" w:eastAsia="zh-CN" w:bidi="ar"/>
        </w:rPr>
        <w:t>吴忠市人民政府关于实施“三线一单”生态环境分区管控的意见</w:t>
      </w:r>
      <w:r>
        <w:rPr>
          <w:rFonts w:hint="eastAsia" w:ascii="Times New Roman" w:hAnsi="Times New Roman" w:cs="Times New Roman"/>
          <w:color w:val="auto"/>
          <w:spacing w:val="0"/>
          <w:w w:val="100"/>
          <w:kern w:val="0"/>
          <w:position w:val="0"/>
          <w:sz w:val="24"/>
          <w:szCs w:val="24"/>
          <w:lang w:val="en-US" w:eastAsia="zh-CN" w:bidi="ar"/>
        </w:rPr>
        <w:t>》（吴政规发〔2021〕2号）</w:t>
      </w:r>
      <w:r>
        <w:rPr>
          <w:rFonts w:hint="eastAsia" w:ascii="Times New Roman" w:hAnsi="Times New Roman" w:cs="Times New Roman"/>
          <w:color w:val="auto"/>
          <w:spacing w:val="0"/>
          <w:w w:val="100"/>
          <w:kern w:val="0"/>
          <w:position w:val="0"/>
          <w:sz w:val="24"/>
          <w:highlight w:val="none"/>
          <w:lang w:val="en-US" w:eastAsia="zh-CN"/>
        </w:rPr>
        <w:t>中附件《吴忠市“三线一单”图集—生态空间图》，本项目不在生态保护红线范围内，也不属于一般生态空间，项目的建设符合吴忠市“三线一单”</w:t>
      </w:r>
      <w:r>
        <w:rPr>
          <w:rFonts w:hint="default" w:ascii="Times New Roman" w:hAnsi="Times New Roman" w:eastAsia="宋体" w:cs="Times New Roman"/>
          <w:color w:val="auto"/>
          <w:spacing w:val="0"/>
          <w:w w:val="100"/>
          <w:kern w:val="0"/>
          <w:position w:val="0"/>
          <w:sz w:val="24"/>
          <w:szCs w:val="24"/>
          <w:lang w:val="en-US" w:eastAsia="zh-CN" w:bidi="ar"/>
        </w:rPr>
        <w:t>生态环境分区管控的</w:t>
      </w:r>
      <w:r>
        <w:rPr>
          <w:rFonts w:hint="eastAsia" w:ascii="Times New Roman" w:hAnsi="Times New Roman" w:cs="Times New Roman"/>
          <w:color w:val="auto"/>
          <w:spacing w:val="0"/>
          <w:w w:val="100"/>
          <w:kern w:val="0"/>
          <w:position w:val="0"/>
          <w:sz w:val="24"/>
          <w:szCs w:val="24"/>
          <w:lang w:val="en-US" w:eastAsia="zh-CN" w:bidi="ar"/>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szCs w:val="24"/>
          <w:lang w:val="en-US" w:eastAsia="zh-CN" w:bidi="ar"/>
        </w:rPr>
        <w:t>本项目不在自然保护区、风景名胜区、水源保护区、人口密集区及其它禁建区等特殊敏感地区，且距离城市和城镇居民（下马关镇、韦州镇）均较远，大于500m，因此本项目符合当地的相关规划及《畜禽养殖业污染防治技术规范》中的相关规定，</w:t>
      </w:r>
      <w:r>
        <w:rPr>
          <w:rFonts w:hint="default" w:ascii="Times New Roman" w:hAnsi="Times New Roman" w:eastAsia="宋体" w:cs="Times New Roman"/>
          <w:color w:val="auto"/>
          <w:spacing w:val="0"/>
          <w:w w:val="100"/>
          <w:kern w:val="0"/>
          <w:position w:val="0"/>
          <w:sz w:val="24"/>
          <w:highlight w:val="none"/>
          <w:lang w:val="zh-CN"/>
        </w:rPr>
        <w:t>因此，本项目的选址合理，与养殖相关标准相符。</w:t>
      </w:r>
    </w:p>
    <w:p>
      <w:pPr>
        <w:keepNext w:val="0"/>
        <w:keepLines w:val="0"/>
        <w:pageBreakBefore w:val="0"/>
        <w:widowControl w:val="0"/>
        <w:tabs>
          <w:tab w:val="left" w:pos="2595"/>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val="en-US" w:eastAsia="zh-CN"/>
        </w:rPr>
        <w:t>因此，本项目建设</w:t>
      </w:r>
      <w:r>
        <w:rPr>
          <w:rFonts w:hint="default" w:ascii="Times New Roman" w:hAnsi="Times New Roman" w:eastAsia="宋体" w:cs="Times New Roman"/>
          <w:color w:val="auto"/>
          <w:spacing w:val="0"/>
          <w:w w:val="100"/>
          <w:kern w:val="0"/>
          <w:position w:val="0"/>
          <w:sz w:val="24"/>
          <w:highlight w:val="none"/>
          <w:lang w:val="zh-CN"/>
        </w:rPr>
        <w:t>属于国家允许类项目，符合国家的产业政策。同时项目符合“三线一单”相关要求</w:t>
      </w:r>
      <w:r>
        <w:rPr>
          <w:rFonts w:hint="default" w:ascii="Times New Roman" w:hAnsi="Times New Roman" w:eastAsia="宋体" w:cs="Times New Roman"/>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61" w:name="_Toc504"/>
      <w:bookmarkStart w:id="62" w:name="_Toc8870"/>
      <w:bookmarkStart w:id="63" w:name="_Toc10621"/>
      <w:bookmarkStart w:id="64" w:name="_Toc30700"/>
      <w:r>
        <w:rPr>
          <w:rFonts w:hint="default" w:ascii="Times New Roman" w:hAnsi="Times New Roman" w:eastAsia="宋体" w:cs="Times New Roman"/>
          <w:b/>
          <w:color w:val="auto"/>
          <w:spacing w:val="0"/>
          <w:w w:val="100"/>
          <w:kern w:val="0"/>
          <w:position w:val="0"/>
          <w:sz w:val="24"/>
          <w:szCs w:val="28"/>
          <w:highlight w:val="none"/>
          <w:lang w:val="en-US" w:eastAsia="zh-CN"/>
        </w:rPr>
        <w:t>5</w:t>
      </w:r>
      <w:r>
        <w:rPr>
          <w:rFonts w:hint="default" w:ascii="Times New Roman" w:hAnsi="Times New Roman" w:eastAsia="宋体" w:cs="Times New Roman"/>
          <w:b/>
          <w:color w:val="auto"/>
          <w:spacing w:val="0"/>
          <w:w w:val="100"/>
          <w:kern w:val="0"/>
          <w:position w:val="0"/>
          <w:sz w:val="24"/>
          <w:szCs w:val="28"/>
          <w:highlight w:val="none"/>
        </w:rPr>
        <w:t>.关注的主要环境问题</w:t>
      </w:r>
      <w:bookmarkEnd w:id="46"/>
      <w:bookmarkEnd w:id="47"/>
      <w:bookmarkEnd w:id="48"/>
      <w:bookmarkEnd w:id="49"/>
      <w:bookmarkEnd w:id="50"/>
      <w:bookmarkEnd w:id="51"/>
      <w:bookmarkEnd w:id="57"/>
      <w:bookmarkEnd w:id="58"/>
      <w:bookmarkEnd w:id="59"/>
      <w:bookmarkEnd w:id="60"/>
      <w:bookmarkEnd w:id="61"/>
      <w:bookmarkEnd w:id="62"/>
      <w:bookmarkEnd w:id="63"/>
      <w:bookmarkEnd w:id="64"/>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根据本项目自身特点及现场调查结果，本项目产生的主要污染物为废气污染物、废水污染物及固体废物，主要的环境影响为大气环境影响、水环境和土壤环境影响。本项目对周边环境产生的主要环境问题为：</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(1)项目选址的环境合理性。</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(2)项目运营期产生废气、废水、噪声和固体废物对各环境要素产生的影响及拟采取的污染防治措施。包括：</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①废气：</w:t>
      </w:r>
      <w:r>
        <w:rPr>
          <w:rFonts w:hint="eastAsia" w:ascii="Times New Roman" w:hAnsi="Times New Roman" w:cs="Times New Roman"/>
          <w:color w:val="auto"/>
          <w:spacing w:val="0"/>
          <w:w w:val="100"/>
          <w:kern w:val="0"/>
          <w:position w:val="0"/>
          <w:highlight w:val="none"/>
          <w:lang w:eastAsia="zh-CN"/>
        </w:rPr>
        <w:t>牛舍</w:t>
      </w:r>
      <w:r>
        <w:rPr>
          <w:rFonts w:hint="default" w:ascii="Times New Roman" w:hAnsi="Times New Roman" w:eastAsia="宋体" w:cs="Times New Roman"/>
          <w:color w:val="auto"/>
          <w:spacing w:val="0"/>
          <w:w w:val="100"/>
          <w:kern w:val="0"/>
          <w:position w:val="0"/>
          <w:highlight w:val="none"/>
        </w:rPr>
        <w:t>、临时</w:t>
      </w:r>
      <w:r>
        <w:rPr>
          <w:rFonts w:hint="default" w:ascii="Times New Roman" w:hAnsi="Times New Roman" w:cs="Times New Roman"/>
          <w:color w:val="auto"/>
          <w:spacing w:val="0"/>
          <w:w w:val="100"/>
          <w:kern w:val="0"/>
          <w:position w:val="0"/>
          <w:highlight w:val="none"/>
          <w:lang w:eastAsia="zh-CN"/>
        </w:rPr>
        <w:t>堆粪棚</w:t>
      </w:r>
      <w:r>
        <w:rPr>
          <w:rFonts w:hint="default" w:ascii="Times New Roman" w:hAnsi="Times New Roman" w:eastAsia="宋体" w:cs="Times New Roman"/>
          <w:color w:val="auto"/>
          <w:spacing w:val="0"/>
          <w:w w:val="100"/>
          <w:kern w:val="0"/>
          <w:position w:val="0"/>
          <w:highlight w:val="none"/>
        </w:rPr>
        <w:t>、污水处理站等产生的恶臭。</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②废水：主要为生产废水</w:t>
      </w:r>
      <w:r>
        <w:rPr>
          <w:rFonts w:hint="default" w:ascii="Times New Roman" w:hAnsi="Times New Roman" w:eastAsia="宋体" w:cs="Times New Roman"/>
          <w:color w:val="auto"/>
          <w:spacing w:val="0"/>
          <w:w w:val="100"/>
          <w:kern w:val="0"/>
          <w:position w:val="0"/>
          <w:highlight w:val="none"/>
          <w:lang w:eastAsia="zh-CN"/>
        </w:rPr>
        <w:t>和</w:t>
      </w:r>
      <w:r>
        <w:rPr>
          <w:rFonts w:hint="default" w:ascii="Times New Roman" w:hAnsi="Times New Roman" w:eastAsia="宋体" w:cs="Times New Roman"/>
          <w:color w:val="auto"/>
          <w:spacing w:val="0"/>
          <w:w w:val="100"/>
          <w:kern w:val="0"/>
          <w:position w:val="0"/>
          <w:highlight w:val="none"/>
        </w:rPr>
        <w:t>生活污水，其中生产废水为</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w:t>
      </w:r>
      <w:r>
        <w:rPr>
          <w:rFonts w:hint="default" w:ascii="Times New Roman" w:hAnsi="Times New Roman" w:eastAsia="宋体" w:cs="Times New Roman"/>
          <w:b w:val="0"/>
          <w:bCs/>
          <w:color w:val="auto"/>
          <w:spacing w:val="0"/>
          <w:w w:val="100"/>
          <w:kern w:val="0"/>
          <w:position w:val="0"/>
          <w:sz w:val="24"/>
          <w:szCs w:val="28"/>
          <w:highlight w:val="none"/>
        </w:rPr>
        <w:t>挤奶厅地面冲洗</w:t>
      </w:r>
      <w:r>
        <w:rPr>
          <w:rFonts w:hint="default" w:ascii="Times New Roman" w:hAnsi="Times New Roman" w:eastAsia="宋体" w:cs="Times New Roman"/>
          <w:b w:val="0"/>
          <w:bCs/>
          <w:color w:val="auto"/>
          <w:spacing w:val="0"/>
          <w:w w:val="100"/>
          <w:kern w:val="0"/>
          <w:position w:val="0"/>
          <w:sz w:val="24"/>
          <w:szCs w:val="28"/>
          <w:highlight w:val="none"/>
          <w:lang w:eastAsia="zh-CN"/>
        </w:rPr>
        <w:t>废水、</w:t>
      </w:r>
      <w:r>
        <w:rPr>
          <w:rFonts w:hint="default" w:ascii="Times New Roman" w:hAnsi="Times New Roman" w:eastAsia="宋体" w:cs="Times New Roman"/>
          <w:bCs/>
          <w:color w:val="auto"/>
          <w:spacing w:val="0"/>
          <w:w w:val="100"/>
          <w:kern w:val="0"/>
          <w:position w:val="0"/>
          <w:highlight w:val="none"/>
        </w:rPr>
        <w:t>牛槽清洗废水</w:t>
      </w:r>
      <w:r>
        <w:rPr>
          <w:rFonts w:hint="default" w:ascii="Times New Roman" w:hAnsi="Times New Roman" w:eastAsia="宋体" w:cs="Times New Roman"/>
          <w:color w:val="auto"/>
          <w:spacing w:val="0"/>
          <w:w w:val="100"/>
          <w:kern w:val="0"/>
          <w:position w:val="0"/>
          <w:highlight w:val="none"/>
        </w:rPr>
        <w:t>，</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w:t>
      </w:r>
      <w:r>
        <w:rPr>
          <w:rFonts w:hint="default" w:ascii="Times New Roman" w:hAnsi="Times New Roman" w:eastAsia="宋体" w:cs="Times New Roman"/>
          <w:bCs/>
          <w:color w:val="auto"/>
          <w:spacing w:val="0"/>
          <w:w w:val="100"/>
          <w:kern w:val="0"/>
          <w:position w:val="0"/>
          <w:highlight w:val="none"/>
          <w:lang w:eastAsia="zh-CN"/>
        </w:rPr>
        <w:t>和</w:t>
      </w:r>
      <w:r>
        <w:rPr>
          <w:rFonts w:hint="default" w:ascii="Times New Roman" w:hAnsi="Times New Roman" w:eastAsia="宋体" w:cs="Times New Roman"/>
          <w:b w:val="0"/>
          <w:bCs/>
          <w:color w:val="auto"/>
          <w:spacing w:val="0"/>
          <w:w w:val="100"/>
          <w:kern w:val="0"/>
          <w:position w:val="0"/>
          <w:sz w:val="24"/>
          <w:szCs w:val="28"/>
          <w:highlight w:val="none"/>
        </w:rPr>
        <w:t>挤奶厅地面冲洗</w:t>
      </w:r>
      <w:r>
        <w:rPr>
          <w:rFonts w:hint="default" w:ascii="Times New Roman" w:hAnsi="Times New Roman" w:eastAsia="宋体" w:cs="Times New Roman"/>
          <w:b w:val="0"/>
          <w:bCs/>
          <w:color w:val="auto"/>
          <w:spacing w:val="0"/>
          <w:w w:val="100"/>
          <w:kern w:val="0"/>
          <w:position w:val="0"/>
          <w:sz w:val="24"/>
          <w:szCs w:val="28"/>
          <w:highlight w:val="none"/>
          <w:lang w:eastAsia="zh-CN"/>
        </w:rPr>
        <w:t>废水</w:t>
      </w:r>
      <w:r>
        <w:rPr>
          <w:rFonts w:hint="default" w:ascii="Times New Roman" w:hAnsi="Times New Roman" w:eastAsia="宋体" w:cs="Times New Roman"/>
          <w:color w:val="auto"/>
          <w:spacing w:val="0"/>
          <w:w w:val="100"/>
          <w:kern w:val="0"/>
          <w:position w:val="0"/>
          <w:highlight w:val="none"/>
        </w:rPr>
        <w:t>主要污染物为COD、BOD</w:t>
      </w:r>
      <w:r>
        <w:rPr>
          <w:rFonts w:hint="default" w:ascii="Times New Roman" w:hAnsi="Times New Roman" w:eastAsia="宋体" w:cs="Times New Roman"/>
          <w:color w:val="auto"/>
          <w:spacing w:val="0"/>
          <w:w w:val="100"/>
          <w:kern w:val="0"/>
          <w:position w:val="0"/>
          <w:highlight w:val="none"/>
          <w:vertAlign w:val="subscript"/>
        </w:rPr>
        <w:t>5</w:t>
      </w:r>
      <w:r>
        <w:rPr>
          <w:rFonts w:hint="default" w:ascii="Times New Roman" w:hAnsi="Times New Roman" w:eastAsia="宋体" w:cs="Times New Roman"/>
          <w:color w:val="auto"/>
          <w:spacing w:val="0"/>
          <w:w w:val="100"/>
          <w:kern w:val="0"/>
          <w:position w:val="0"/>
          <w:highlight w:val="none"/>
        </w:rPr>
        <w:t>、SS、氨氮、总磷和粪大肠菌群</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bCs/>
          <w:color w:val="auto"/>
          <w:spacing w:val="0"/>
          <w:w w:val="100"/>
          <w:kern w:val="0"/>
          <w:position w:val="0"/>
          <w:highlight w:val="none"/>
        </w:rPr>
        <w:t>牛槽清洗废水</w:t>
      </w:r>
      <w:r>
        <w:rPr>
          <w:rFonts w:hint="default" w:ascii="Times New Roman" w:hAnsi="Times New Roman" w:eastAsia="宋体" w:cs="Times New Roman"/>
          <w:color w:val="auto"/>
          <w:spacing w:val="0"/>
          <w:w w:val="100"/>
          <w:kern w:val="0"/>
          <w:position w:val="0"/>
          <w:highlight w:val="none"/>
          <w:lang w:eastAsia="zh-CN"/>
        </w:rPr>
        <w:t>，主要污染物为</w:t>
      </w:r>
      <w:r>
        <w:rPr>
          <w:rFonts w:hint="default" w:ascii="Times New Roman" w:hAnsi="Times New Roman" w:eastAsia="宋体" w:cs="Times New Roman"/>
          <w:color w:val="auto"/>
          <w:spacing w:val="0"/>
          <w:w w:val="100"/>
          <w:kern w:val="0"/>
          <w:position w:val="0"/>
          <w:highlight w:val="none"/>
          <w:lang w:val="en-US" w:eastAsia="zh-CN"/>
        </w:rPr>
        <w:t>COD、</w:t>
      </w:r>
      <w:r>
        <w:rPr>
          <w:rFonts w:hint="default" w:ascii="Times New Roman" w:hAnsi="Times New Roman" w:eastAsia="宋体" w:cs="Times New Roman"/>
          <w:color w:val="auto"/>
          <w:spacing w:val="0"/>
          <w:w w:val="100"/>
          <w:kern w:val="0"/>
          <w:position w:val="0"/>
          <w:highlight w:val="none"/>
        </w:rPr>
        <w:t>BOD</w:t>
      </w:r>
      <w:r>
        <w:rPr>
          <w:rFonts w:hint="default" w:ascii="Times New Roman" w:hAnsi="Times New Roman" w:eastAsia="宋体" w:cs="Times New Roman"/>
          <w:color w:val="auto"/>
          <w:spacing w:val="0"/>
          <w:w w:val="100"/>
          <w:kern w:val="0"/>
          <w:position w:val="0"/>
          <w:highlight w:val="none"/>
          <w:vertAlign w:val="subscript"/>
        </w:rPr>
        <w:t>5</w:t>
      </w:r>
      <w:r>
        <w:rPr>
          <w:rFonts w:hint="default" w:ascii="Times New Roman" w:hAnsi="Times New Roman" w:eastAsia="宋体" w:cs="Times New Roman"/>
          <w:color w:val="auto"/>
          <w:spacing w:val="0"/>
          <w:w w:val="100"/>
          <w:kern w:val="0"/>
          <w:position w:val="0"/>
          <w:highlight w:val="none"/>
        </w:rPr>
        <w:t>、SS、</w:t>
      </w:r>
      <w:r>
        <w:rPr>
          <w:rFonts w:hint="default" w:ascii="Times New Roman" w:hAnsi="Times New Roman" w:eastAsia="宋体" w:cs="Times New Roman"/>
          <w:color w:val="auto"/>
          <w:spacing w:val="0"/>
          <w:w w:val="100"/>
          <w:kern w:val="0"/>
          <w:position w:val="0"/>
          <w:highlight w:val="none"/>
          <w:lang w:val="en-US" w:eastAsia="zh-CN"/>
        </w:rPr>
        <w:t>TP、</w:t>
      </w:r>
      <w:r>
        <w:rPr>
          <w:rFonts w:hint="default" w:ascii="Times New Roman" w:hAnsi="Times New Roman" w:eastAsia="宋体" w:cs="Times New Roman"/>
          <w:color w:val="auto"/>
          <w:spacing w:val="0"/>
          <w:w w:val="100"/>
          <w:kern w:val="0"/>
          <w:position w:val="0"/>
          <w:highlight w:val="none"/>
        </w:rPr>
        <w:t>氨氮。</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③噪声：主要为</w:t>
      </w:r>
      <w:r>
        <w:rPr>
          <w:rFonts w:hint="default" w:ascii="Times New Roman" w:hAnsi="Times New Roman" w:eastAsia="宋体" w:cs="Times New Roman"/>
          <w:bCs/>
          <w:color w:val="auto"/>
          <w:spacing w:val="0"/>
          <w:w w:val="100"/>
          <w:kern w:val="0"/>
          <w:position w:val="0"/>
          <w:highlight w:val="none"/>
        </w:rPr>
        <w:t>牛叫声、风机、水泵、饲料搅拌车、铡草机等</w:t>
      </w:r>
      <w:r>
        <w:rPr>
          <w:rFonts w:hint="default" w:ascii="Times New Roman" w:hAnsi="Times New Roman" w:eastAsia="宋体" w:cs="Times New Roman"/>
          <w:color w:val="auto"/>
          <w:spacing w:val="0"/>
          <w:w w:val="100"/>
          <w:kern w:val="0"/>
          <w:position w:val="0"/>
          <w:highlight w:val="none"/>
        </w:rPr>
        <w:t>产生的机械噪声。</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④固体废物：养殖区产生的</w:t>
      </w:r>
      <w:r>
        <w:rPr>
          <w:rFonts w:hint="default" w:ascii="Times New Roman" w:hAnsi="Times New Roman" w:eastAsia="宋体" w:cs="Times New Roman"/>
          <w:bCs/>
          <w:color w:val="auto"/>
          <w:spacing w:val="0"/>
          <w:w w:val="100"/>
          <w:kern w:val="0"/>
          <w:position w:val="0"/>
          <w:highlight w:val="none"/>
        </w:rPr>
        <w:t>牛粪、病死牛尸体及胎盘、污水处理站污泥</w:t>
      </w:r>
      <w:r>
        <w:rPr>
          <w:rFonts w:hint="default" w:ascii="Times New Roman" w:hAnsi="Times New Roman" w:eastAsia="宋体" w:cs="Times New Roman"/>
          <w:bCs/>
          <w:color w:val="auto"/>
          <w:spacing w:val="0"/>
          <w:w w:val="100"/>
          <w:kern w:val="0"/>
          <w:position w:val="0"/>
          <w:highlight w:val="none"/>
          <w:lang w:eastAsia="zh-CN"/>
        </w:rPr>
        <w:t>、</w:t>
      </w:r>
      <w:r>
        <w:rPr>
          <w:rFonts w:hint="default" w:ascii="Times New Roman" w:hAnsi="Times New Roman" w:eastAsia="宋体" w:cs="Times New Roman"/>
          <w:bCs/>
          <w:color w:val="auto"/>
          <w:spacing w:val="0"/>
          <w:w w:val="100"/>
          <w:kern w:val="0"/>
          <w:position w:val="0"/>
          <w:highlight w:val="none"/>
        </w:rPr>
        <w:t>兽医站少量医疗废物、</w:t>
      </w:r>
      <w:r>
        <w:rPr>
          <w:rFonts w:hint="default" w:ascii="Times New Roman" w:hAnsi="Times New Roman" w:eastAsia="宋体" w:cs="Times New Roman"/>
          <w:bCs/>
          <w:color w:val="auto"/>
          <w:spacing w:val="0"/>
          <w:w w:val="100"/>
          <w:kern w:val="0"/>
          <w:position w:val="0"/>
          <w:highlight w:val="none"/>
          <w:lang w:eastAsia="zh-CN"/>
        </w:rPr>
        <w:t>除尘器收尘灰</w:t>
      </w:r>
      <w:r>
        <w:rPr>
          <w:rFonts w:hint="default" w:ascii="Times New Roman" w:hAnsi="Times New Roman" w:eastAsia="宋体" w:cs="Times New Roman"/>
          <w:bCs/>
          <w:color w:val="auto"/>
          <w:spacing w:val="0"/>
          <w:w w:val="100"/>
          <w:kern w:val="0"/>
          <w:position w:val="0"/>
          <w:highlight w:val="none"/>
        </w:rPr>
        <w:t>及生活垃圾</w:t>
      </w:r>
      <w:r>
        <w:rPr>
          <w:rFonts w:hint="default" w:ascii="Times New Roman" w:hAnsi="Times New Roman" w:eastAsia="宋体" w:cs="Times New Roman"/>
          <w:color w:val="auto"/>
          <w:spacing w:val="0"/>
          <w:w w:val="100"/>
          <w:kern w:val="0"/>
          <w:position w:val="0"/>
          <w:highlight w:val="none"/>
        </w:rPr>
        <w:t>等。</w:t>
      </w:r>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针对上述问题，本报告提出了相应的环境保护措施，并给出了本项目的环境影响可行性分析结论。</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textAlignment w:val="auto"/>
        <w:outlineLvl w:val="1"/>
        <w:rPr>
          <w:rFonts w:hint="default" w:ascii="Times New Roman" w:hAnsi="Times New Roman" w:eastAsia="宋体" w:cs="Times New Roman"/>
          <w:b/>
          <w:color w:val="auto"/>
          <w:spacing w:val="0"/>
          <w:w w:val="100"/>
          <w:kern w:val="0"/>
          <w:position w:val="0"/>
          <w:sz w:val="24"/>
          <w:szCs w:val="28"/>
          <w:highlight w:val="none"/>
        </w:rPr>
      </w:pPr>
      <w:bookmarkStart w:id="65" w:name="_Toc26239"/>
      <w:bookmarkStart w:id="66" w:name="_Toc2992"/>
      <w:bookmarkStart w:id="67" w:name="_Toc20506"/>
      <w:bookmarkStart w:id="68" w:name="_Toc6559"/>
      <w:bookmarkStart w:id="69" w:name="_Toc19865"/>
      <w:bookmarkStart w:id="70" w:name="_Toc24695"/>
      <w:bookmarkStart w:id="71" w:name="_Toc11376_WPSOffice_Level1"/>
      <w:bookmarkStart w:id="72" w:name="_Toc23490_WPSOffice_Level1"/>
      <w:r>
        <w:rPr>
          <w:rFonts w:hint="default" w:ascii="Times New Roman" w:hAnsi="Times New Roman" w:eastAsia="宋体" w:cs="Times New Roman"/>
          <w:b/>
          <w:color w:val="auto"/>
          <w:spacing w:val="0"/>
          <w:w w:val="100"/>
          <w:kern w:val="0"/>
          <w:position w:val="0"/>
          <w:sz w:val="24"/>
          <w:szCs w:val="28"/>
          <w:highlight w:val="none"/>
          <w:lang w:val="en-US" w:eastAsia="zh-CN"/>
        </w:rPr>
        <w:t>6.</w:t>
      </w:r>
      <w:r>
        <w:rPr>
          <w:rFonts w:hint="default" w:ascii="Times New Roman" w:hAnsi="Times New Roman" w:eastAsia="宋体" w:cs="Times New Roman"/>
          <w:b/>
          <w:color w:val="auto"/>
          <w:spacing w:val="0"/>
          <w:w w:val="100"/>
          <w:kern w:val="0"/>
          <w:position w:val="0"/>
          <w:sz w:val="24"/>
          <w:szCs w:val="28"/>
          <w:highlight w:val="none"/>
        </w:rPr>
        <w:t>环境影响报告主要结论</w:t>
      </w:r>
      <w:bookmarkEnd w:id="65"/>
      <w:bookmarkEnd w:id="66"/>
      <w:bookmarkEnd w:id="67"/>
      <w:bookmarkEnd w:id="68"/>
      <w:bookmarkEnd w:id="69"/>
      <w:bookmarkEnd w:id="70"/>
      <w:bookmarkEnd w:id="71"/>
      <w:bookmarkEnd w:id="72"/>
    </w:p>
    <w:p>
      <w:pPr>
        <w:widowControl w:val="0"/>
        <w:adjustRightInd w:val="0"/>
        <w:snapToGrid w:val="0"/>
        <w:spacing w:line="360" w:lineRule="auto"/>
        <w:ind w:firstLine="444" w:firstLineChars="185"/>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编制单位按照环境影响评价程序，对建设项目的初步设计和建设方提供的资料进行了研究分析，对拟建项目进行了现场勘查，对周围环境进行了现状调查、监测，结合国家和地方的环保政策、要求，编写完成《</w:t>
      </w:r>
      <w:r>
        <w:rPr>
          <w:rFonts w:hint="default" w:ascii="Times New Roman" w:hAnsi="Times New Roman" w:cs="Times New Roman"/>
          <w:color w:val="auto"/>
          <w:spacing w:val="0"/>
          <w:w w:val="100"/>
          <w:kern w:val="0"/>
          <w:position w:val="0"/>
          <w:sz w:val="24"/>
          <w:szCs w:val="24"/>
          <w:lang w:eastAsia="zh-CN"/>
        </w:rPr>
        <w:t>5000头奶牛扶贫养殖基地</w:t>
      </w:r>
      <w:r>
        <w:rPr>
          <w:rFonts w:hint="default" w:ascii="Times New Roman" w:hAnsi="Times New Roman" w:eastAsia="宋体" w:cs="Times New Roman"/>
          <w:color w:val="auto"/>
          <w:spacing w:val="0"/>
          <w:w w:val="100"/>
          <w:kern w:val="0"/>
          <w:position w:val="0"/>
          <w:sz w:val="24"/>
          <w:highlight w:val="none"/>
        </w:rPr>
        <w:t>环境影响报告书》。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8"/>
          <w:szCs w:val="28"/>
          <w:highlight w:val="none"/>
        </w:rPr>
        <w:sectPr>
          <w:footerReference r:id="rId5"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highlight w:val="none"/>
        </w:rPr>
        <w:t>本项目建设符合国家及地方的相关产业政策，项目选址合理，平面布局科学，采用的养殖工艺符合相关要求，同时建设单位采取各项污染物治理措施后，可确保实现污染物达标排放，对环境的影响是可以接受的。本项目的实施有利于发展当地经济，从环境保护角度分析，项目采取本环评提出的环保治理措施后，项目的建设是可行的</w:t>
      </w:r>
      <w:r>
        <w:rPr>
          <w:rFonts w:hint="default" w:ascii="Times New Roman" w:hAnsi="Times New Roman" w:eastAsia="宋体" w:cs="Times New Roman"/>
          <w:color w:val="auto"/>
          <w:spacing w:val="0"/>
          <w:w w:val="100"/>
          <w:kern w:val="0"/>
          <w:position w:val="0"/>
          <w:sz w:val="28"/>
          <w:szCs w:val="28"/>
          <w:highlight w:val="none"/>
        </w:rPr>
        <w:t>。</w:t>
      </w: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rPr>
      </w:pPr>
      <w:bookmarkStart w:id="73" w:name="_Toc15606"/>
      <w:bookmarkStart w:id="74" w:name="_Toc8235"/>
      <w:bookmarkStart w:id="75" w:name="_Toc22864"/>
      <w:bookmarkStart w:id="76" w:name="_Toc3762"/>
      <w:bookmarkStart w:id="77" w:name="_Toc6936"/>
      <w:bookmarkStart w:id="78" w:name="_Toc11071"/>
      <w:bookmarkStart w:id="79" w:name="_Toc5525"/>
      <w:bookmarkStart w:id="80" w:name="_Toc22428"/>
      <w:bookmarkStart w:id="81" w:name="_Toc30189"/>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1</w:t>
      </w:r>
      <w:r>
        <w:rPr>
          <w:rFonts w:hint="default" w:ascii="Times New Roman" w:hAnsi="Times New Roman" w:eastAsia="宋体" w:cs="Times New Roman"/>
          <w:bCs/>
          <w:snapToGrid w:val="0"/>
          <w:color w:val="auto"/>
          <w:spacing w:val="0"/>
          <w:w w:val="100"/>
          <w:kern w:val="0"/>
          <w:position w:val="0"/>
          <w:sz w:val="30"/>
          <w:szCs w:val="30"/>
          <w:highlight w:val="none"/>
        </w:rPr>
        <w:t>总则</w:t>
      </w:r>
      <w:bookmarkEnd w:id="73"/>
      <w:bookmarkEnd w:id="74"/>
      <w:bookmarkEnd w:id="75"/>
      <w:bookmarkEnd w:id="76"/>
      <w:bookmarkEnd w:id="77"/>
      <w:bookmarkEnd w:id="78"/>
      <w:bookmarkEnd w:id="79"/>
      <w:bookmarkEnd w:id="80"/>
      <w:bookmarkEnd w:id="81"/>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2" w:name="_Toc31553"/>
      <w:bookmarkStart w:id="83" w:name="_Toc32228"/>
      <w:bookmarkStart w:id="84" w:name="_Toc4341"/>
      <w:bookmarkStart w:id="85" w:name="_Toc31531"/>
      <w:bookmarkStart w:id="86" w:name="_Toc32341"/>
      <w:bookmarkStart w:id="87" w:name="_Toc11960"/>
      <w:bookmarkStart w:id="88" w:name="_Toc20230"/>
      <w:bookmarkStart w:id="89" w:name="_Toc25386"/>
      <w:bookmarkStart w:id="90" w:name="_Toc26373"/>
      <w:r>
        <w:rPr>
          <w:rFonts w:hint="default" w:ascii="Times New Roman" w:hAnsi="Times New Roman" w:eastAsia="宋体" w:cs="Times New Roman"/>
          <w:snapToGrid w:val="0"/>
          <w:color w:val="auto"/>
          <w:spacing w:val="0"/>
          <w:w w:val="100"/>
          <w:kern w:val="0"/>
          <w:position w:val="0"/>
          <w:highlight w:val="none"/>
          <w:lang w:val="en-US" w:eastAsia="zh-CN"/>
        </w:rPr>
        <w:t>1.1编制依据</w:t>
      </w:r>
      <w:bookmarkEnd w:id="82"/>
      <w:bookmarkEnd w:id="83"/>
      <w:bookmarkEnd w:id="84"/>
      <w:bookmarkEnd w:id="85"/>
      <w:bookmarkEnd w:id="86"/>
      <w:bookmarkEnd w:id="87"/>
      <w:bookmarkEnd w:id="88"/>
      <w:bookmarkEnd w:id="89"/>
      <w:bookmarkEnd w:id="90"/>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91" w:name="_Toc14865"/>
      <w:bookmarkStart w:id="92" w:name="_Toc27365"/>
      <w:bookmarkStart w:id="93" w:name="_Toc16106"/>
      <w:bookmarkStart w:id="94" w:name="_Toc30349"/>
      <w:bookmarkStart w:id="95" w:name="_Toc31161"/>
      <w:bookmarkStart w:id="96" w:name="_Toc29735"/>
      <w:bookmarkStart w:id="97" w:name="_Toc17715"/>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.1.1相关法律</w:t>
      </w:r>
      <w:bookmarkEnd w:id="91"/>
      <w:bookmarkEnd w:id="92"/>
      <w:bookmarkEnd w:id="93"/>
      <w:bookmarkEnd w:id="94"/>
      <w:bookmarkEnd w:id="95"/>
      <w:bookmarkEnd w:id="96"/>
      <w:bookmarkEnd w:id="97"/>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bookmarkStart w:id="98" w:name="_Toc21091"/>
      <w:bookmarkStart w:id="99" w:name="_Toc20299"/>
      <w:r>
        <w:rPr>
          <w:rFonts w:hint="default" w:ascii="Times New Roman" w:hAnsi="Times New Roman" w:eastAsia="宋体" w:cs="Times New Roman"/>
          <w:color w:val="auto"/>
          <w:spacing w:val="0"/>
          <w:w w:val="100"/>
          <w:kern w:val="0"/>
          <w:position w:val="0"/>
          <w:sz w:val="24"/>
          <w:szCs w:val="32"/>
          <w:highlight w:val="none"/>
        </w:rPr>
        <w:t>(1)《中华人民共和国环境保护法》（修订）（2015年1月1日）；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(2)《中华人民共和国环境影响评价法》</w:t>
      </w:r>
      <w:r>
        <w:rPr>
          <w:rFonts w:hint="default" w:ascii="Times New Roman" w:hAnsi="Times New Roman" w:eastAsia="宋体" w:cs="Times New Roman"/>
          <w:color w:val="auto"/>
          <w:spacing w:val="0"/>
          <w:w w:val="100"/>
          <w:kern w:val="0"/>
          <w:position w:val="0"/>
          <w:sz w:val="24"/>
          <w:highlight w:val="none"/>
        </w:rPr>
        <w:t>（修订）</w:t>
      </w:r>
      <w:r>
        <w:rPr>
          <w:rFonts w:hint="default" w:ascii="Times New Roman" w:hAnsi="Times New Roman" w:eastAsia="宋体" w:cs="Times New Roman"/>
          <w:color w:val="auto"/>
          <w:spacing w:val="0"/>
          <w:w w:val="100"/>
          <w:kern w:val="0"/>
          <w:position w:val="0"/>
          <w:sz w:val="24"/>
          <w:szCs w:val="32"/>
          <w:highlight w:val="none"/>
        </w:rPr>
        <w:t>（2018年12月29日）；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(3)《中华人民共和国大气污染防治法》（修订）（2018年12月26日）；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(4)《中华人民共和国水污染防治法》（修订）（2018年1月1日）；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(5)《中华人民共和国环境噪声污染防治法》（修订）（2018年12月29日）；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(6)《中华人民共和国固体废物污染环境防治法》（修订）（</w:t>
      </w:r>
      <w:r>
        <w:rPr>
          <w:rFonts w:hint="default" w:ascii="Times New Roman" w:hAnsi="Times New Roman" w:eastAsia="宋体" w:cs="Times New Roman"/>
          <w:color w:val="auto"/>
          <w:spacing w:val="0"/>
          <w:w w:val="100"/>
          <w:kern w:val="0"/>
          <w:position w:val="0"/>
          <w:sz w:val="24"/>
          <w:szCs w:val="32"/>
          <w:highlight w:val="none"/>
          <w:lang w:val="en-US" w:eastAsia="zh-CN"/>
        </w:rPr>
        <w:t>2020</w:t>
      </w:r>
      <w:r>
        <w:rPr>
          <w:rFonts w:hint="default" w:ascii="Times New Roman" w:hAnsi="Times New Roman" w:eastAsia="宋体" w:cs="Times New Roman"/>
          <w:color w:val="auto"/>
          <w:spacing w:val="0"/>
          <w:w w:val="100"/>
          <w:kern w:val="0"/>
          <w:position w:val="0"/>
          <w:sz w:val="24"/>
          <w:szCs w:val="32"/>
          <w:highlight w:val="none"/>
        </w:rPr>
        <w:t>年</w:t>
      </w:r>
      <w:r>
        <w:rPr>
          <w:rFonts w:hint="default" w:ascii="Times New Roman" w:hAnsi="Times New Roman" w:eastAsia="宋体" w:cs="Times New Roman"/>
          <w:color w:val="auto"/>
          <w:spacing w:val="0"/>
          <w:w w:val="100"/>
          <w:kern w:val="0"/>
          <w:position w:val="0"/>
          <w:sz w:val="24"/>
          <w:szCs w:val="32"/>
          <w:highlight w:val="none"/>
          <w:lang w:val="en-US" w:eastAsia="zh-CN"/>
        </w:rPr>
        <w:t>4</w:t>
      </w:r>
      <w:r>
        <w:rPr>
          <w:rFonts w:hint="default" w:ascii="Times New Roman" w:hAnsi="Times New Roman" w:eastAsia="宋体" w:cs="Times New Roman"/>
          <w:color w:val="auto"/>
          <w:spacing w:val="0"/>
          <w:w w:val="100"/>
          <w:kern w:val="0"/>
          <w:position w:val="0"/>
          <w:sz w:val="24"/>
          <w:szCs w:val="32"/>
          <w:highlight w:val="none"/>
        </w:rPr>
        <w:t>月</w:t>
      </w:r>
      <w:r>
        <w:rPr>
          <w:rFonts w:hint="default" w:ascii="Times New Roman" w:hAnsi="Times New Roman" w:eastAsia="宋体" w:cs="Times New Roman"/>
          <w:color w:val="auto"/>
          <w:spacing w:val="0"/>
          <w:w w:val="100"/>
          <w:kern w:val="0"/>
          <w:position w:val="0"/>
          <w:sz w:val="24"/>
          <w:szCs w:val="32"/>
          <w:highlight w:val="none"/>
          <w:lang w:val="en-US" w:eastAsia="zh-CN"/>
        </w:rPr>
        <w:t>29</w:t>
      </w:r>
      <w:r>
        <w:rPr>
          <w:rFonts w:hint="default" w:ascii="Times New Roman" w:hAnsi="Times New Roman" w:eastAsia="宋体" w:cs="Times New Roman"/>
          <w:color w:val="auto"/>
          <w:spacing w:val="0"/>
          <w:w w:val="100"/>
          <w:kern w:val="0"/>
          <w:position w:val="0"/>
          <w:sz w:val="24"/>
          <w:szCs w:val="32"/>
          <w:highlight w:val="none"/>
        </w:rPr>
        <w:t>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(7)《中华人民共和国循环经济促进法》（修订）（2018年10月26日）；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(8)《中华人民共和国土地管理法》（</w:t>
      </w:r>
      <w:r>
        <w:rPr>
          <w:rFonts w:hint="default" w:ascii="Times New Roman" w:hAnsi="Times New Roman" w:eastAsia="宋体" w:cs="Times New Roman"/>
          <w:color w:val="auto"/>
          <w:spacing w:val="0"/>
          <w:w w:val="100"/>
          <w:kern w:val="0"/>
          <w:position w:val="0"/>
          <w:sz w:val="24"/>
          <w:szCs w:val="32"/>
          <w:highlight w:val="none"/>
          <w:lang w:val="en-US" w:eastAsia="zh-CN"/>
        </w:rPr>
        <w:t>2020</w:t>
      </w:r>
      <w:r>
        <w:rPr>
          <w:rFonts w:hint="default" w:ascii="Times New Roman" w:hAnsi="Times New Roman" w:eastAsia="宋体" w:cs="Times New Roman"/>
          <w:color w:val="auto"/>
          <w:spacing w:val="0"/>
          <w:w w:val="100"/>
          <w:kern w:val="0"/>
          <w:position w:val="0"/>
          <w:sz w:val="24"/>
          <w:szCs w:val="32"/>
          <w:highlight w:val="none"/>
        </w:rPr>
        <w:t>年</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月</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(9)《中华人民共和国节约能源法》（修订）（2018年10月26日）；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(10)《中华人民共和国土壤污染防治法》（2019年1月1日）。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(11)《中华人民共和国水法》（修订）（2016年7月2日）；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(12)《中华人民共和国畜牧法》（修订）(2015年4月24日)；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(13)《中华人民共和国动物防疫法》(修订)(2015年4月24日)；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(14)《中华人民共和国传染病防治法》(修订)(2013年6月29日)。</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100" w:name="_Toc3353"/>
      <w:bookmarkStart w:id="101" w:name="_Toc30098"/>
      <w:bookmarkStart w:id="102" w:name="_Toc29802"/>
      <w:bookmarkStart w:id="103" w:name="_Toc5613"/>
      <w:bookmarkStart w:id="104" w:name="_Toc30982"/>
      <w:bookmarkStart w:id="105" w:name="_Toc3341"/>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.1.2行政法规、规范性文件及通知</w:t>
      </w:r>
      <w:bookmarkEnd w:id="98"/>
      <w:bookmarkEnd w:id="99"/>
      <w:bookmarkEnd w:id="100"/>
      <w:bookmarkEnd w:id="101"/>
      <w:bookmarkEnd w:id="102"/>
      <w:bookmarkEnd w:id="103"/>
      <w:bookmarkEnd w:id="104"/>
      <w:bookmarkEnd w:id="105"/>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bookmarkStart w:id="106" w:name="_Toc18004"/>
      <w:bookmarkStart w:id="107" w:name="_Toc484463373"/>
      <w:bookmarkStart w:id="108" w:name="_Toc20098"/>
      <w:bookmarkStart w:id="109" w:name="_Toc6004"/>
      <w:bookmarkStart w:id="110" w:name="_Toc491609949"/>
      <w:bookmarkStart w:id="111" w:name="_Toc29433"/>
      <w:r>
        <w:rPr>
          <w:rFonts w:hint="default" w:ascii="Times New Roman" w:hAnsi="Times New Roman" w:eastAsia="宋体" w:cs="Times New Roman"/>
          <w:color w:val="auto"/>
          <w:spacing w:val="0"/>
          <w:w w:val="100"/>
          <w:kern w:val="0"/>
          <w:position w:val="0"/>
          <w:sz w:val="24"/>
          <w:szCs w:val="32"/>
          <w:highlight w:val="none"/>
          <w:lang w:val="en-US" w:eastAsia="zh-CN" w:bidi="ar-SA"/>
        </w:rPr>
        <w:t>(1)国务院，第682号令《建设项目环境保护管理条例》(2017年10月1日)；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(2)国务院，第643号令《畜禽规模养殖污染防治条例》（2014年1月1日）；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(3)国务院，国发[2011]35号《关于加强环境保护重点工作的意见》(2011年10月31日)；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(4)国务院，国发[2013]37号《关于印发大气污染防治行动计划的通知》(2013年9月10日)；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(5)生态环境部，环固体[2019]92号《关于提升危险废物环境监管能力、利用处置能力和环境风险防范能力的指导意见》（2019年10月16日）；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(6)国务院，国发[2015]17号《关于印发水污染防治行动计划的通知》(2015年4月2日)；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(7)国务院，国发[2016]31号《关于印发土壤污染防治行动计划的通知》(2016年5月31日)；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(8)生态环境部，《环境影响评价公众参与办法》（2019年1月1日）；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(9)生态环境部，环土壤[2019]25号《关于印发地下水污染防治实施方案的通知》(2019年3月28日)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(10)国务院办公厅，国办发[2016]81号《关于印发控制污染物排放许可制实施方案的通知》(2016年11月10日)；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(11)国务院，国发〔2007〕4号《关于促进畜牧业持续健康发展的意见》（2007年1月26日）；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(12)国家发展和改革委员会，第29号令《产业结构调整指导目录(2019本)》；</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(13)国家生态环境部令第16号《建设项目环境影响评价分类管理名录》（2020年1月1日）；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(14)生态环境部，环办环评[2018]31号《关于做好畜禽规模养殖项目环境影响评价管理工作的通知》（2018年10月15日）</w:t>
      </w:r>
      <w:r>
        <w:rPr>
          <w:rFonts w:hint="eastAsia" w:ascii="Times New Roman" w:hAnsi="Times New Roman" w:cs="Times New Roman"/>
          <w:color w:val="auto"/>
          <w:spacing w:val="0"/>
          <w:w w:val="100"/>
          <w:kern w:val="0"/>
          <w:position w:val="0"/>
          <w:sz w:val="24"/>
          <w:szCs w:val="32"/>
          <w:highlight w:val="none"/>
          <w:lang w:val="en-US" w:eastAsia="zh-CN" w:bidi="ar-SA"/>
        </w:rPr>
        <w:t xml:space="preserve"> </w:t>
      </w:r>
      <w:r>
        <w:rPr>
          <w:rFonts w:hint="default" w:ascii="Times New Roman" w:hAnsi="Times New Roman" w:eastAsia="宋体" w:cs="Times New Roman"/>
          <w:color w:val="auto"/>
          <w:spacing w:val="0"/>
          <w:w w:val="100"/>
          <w:kern w:val="0"/>
          <w:position w:val="0"/>
          <w:sz w:val="24"/>
          <w:szCs w:val="32"/>
          <w:highlight w:val="none"/>
          <w:lang w:val="en-US" w:eastAsia="zh-CN" w:bidi="ar-SA"/>
        </w:rPr>
        <w:t>；</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(15)原国家环境保护部，环发[2011]19号《关于进一步加强危险废物和医疗废物监管工作的意见》(2011年2月16日)；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(16)原国家环境保护部，环发[2011]150号《关于加强西部地区环境影响评价工作的通知》(2011年12月29日)；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(17)原国家环境保护部，环发[2012]77号《关于进一步加强环境影响评价管理防范环境风险的通知》（2012年7月3日）；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(18)原国家环境保护部，环发[2012]98号《关于切实加强风险防范严格环境影响评价管理的通知》(2012年8月7日)；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(19)原国家环境保护部，环发[2014]197号《建设项目主要污染物排放总量指标审核及管理暂行办法》(2014年12月30日)；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(20)原国家环境保护部，第34号令《突发环境事件应急管理办法》(2015年6月5日)；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(21)原国家环境保护部，环发[2015]163号《关于印发&lt;建设项目环境保护事中事后监督管理办法(试行)&gt;的通知》(2015年12月10日)；</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(22)原国家环境保护部，环环评[2016]150号《关于以改善环境质量为核心加强环境影响评价管理的通知》(2016年10月26日)；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(23)原国家环境保护部办公厅，环办[2014]30号《关于落实大气污染防治行动计划严格环境影响评价准入的通知》(2014年3月25日)；</w:t>
      </w:r>
    </w:p>
    <w:p>
      <w:pPr>
        <w:keepNext w:val="0"/>
        <w:keepLines w:val="0"/>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(24)《国土资源部、农业部关于促进规模化畜禽养殖有关用地政策的通知》(国土资发[2007]220号)；</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(25)农业部，《动物防疫条件审查办法》（2010年1月21日）；</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(26)农业部，农医发[2017]25号《关于印发病死及病害动物无害化处理技术规范的通知》（2017年7月3日）；</w:t>
      </w:r>
    </w:p>
    <w:p>
      <w:pPr>
        <w:keepNext w:val="0"/>
        <w:keepLines w:val="0"/>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(27)国务院办公厅，国办发[2017]48号《国务院办公厅关于加快推进畜禽养殖废弃物资源化利用的意见》（2017年6月12日）；</w:t>
      </w:r>
    </w:p>
    <w:p>
      <w:pPr>
        <w:pStyle w:val="3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(28)农业部办公厅关于印发畜禽规模养殖场粪污资源化利用设施建设规范（试行）的通知（2018年1月5日）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(30)农业部办公厅《畜禽粪污土地承载能力测算技术指南》</w:t>
      </w:r>
      <w:bookmarkStart w:id="112" w:name="_Toc15986"/>
      <w:bookmarkStart w:id="113" w:name="_Toc15131"/>
      <w:bookmarkStart w:id="114" w:name="_Toc2382"/>
      <w:bookmarkStart w:id="115" w:name="_Toc5703"/>
      <w:bookmarkStart w:id="116" w:name="_Toc29027"/>
      <w:bookmarkStart w:id="117" w:name="_Toc12162"/>
      <w:r>
        <w:rPr>
          <w:rFonts w:hint="default" w:ascii="Times New Roman" w:hAnsi="Times New Roman" w:eastAsia="宋体" w:cs="Times New Roman"/>
          <w:color w:val="auto"/>
          <w:spacing w:val="0"/>
          <w:w w:val="100"/>
          <w:kern w:val="0"/>
          <w:position w:val="0"/>
          <w:sz w:val="24"/>
          <w:szCs w:val="32"/>
          <w:highlight w:val="none"/>
          <w:lang w:val="en-US" w:eastAsia="zh-CN" w:bidi="ar-SA"/>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.1.3地方规定</w:t>
      </w:r>
      <w:bookmarkEnd w:id="106"/>
      <w:bookmarkEnd w:id="107"/>
      <w:bookmarkEnd w:id="108"/>
      <w:bookmarkEnd w:id="109"/>
      <w:bookmarkEnd w:id="110"/>
      <w:bookmarkEnd w:id="111"/>
      <w:bookmarkEnd w:id="112"/>
      <w:bookmarkEnd w:id="113"/>
      <w:bookmarkEnd w:id="114"/>
      <w:bookmarkEnd w:id="115"/>
      <w:bookmarkEnd w:id="116"/>
      <w:bookmarkEnd w:id="117"/>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bookmarkStart w:id="118" w:name="_Toc26892"/>
      <w:bookmarkStart w:id="119" w:name="_Toc491609950"/>
      <w:bookmarkStart w:id="120" w:name="_Toc31211"/>
      <w:bookmarkStart w:id="121" w:name="_Toc20053"/>
      <w:bookmarkStart w:id="122" w:name="_Toc5053"/>
      <w:bookmarkStart w:id="123" w:name="_Toc484463374"/>
      <w:bookmarkStart w:id="124" w:name="_Toc316889319"/>
      <w:bookmarkStart w:id="125" w:name="_Toc12765"/>
      <w:bookmarkStart w:id="126" w:name="_Toc3862"/>
      <w:bookmarkStart w:id="127" w:name="_Toc19704"/>
      <w:bookmarkStart w:id="128" w:name="_Toc313025596"/>
      <w:bookmarkStart w:id="129" w:name="_Toc30663"/>
      <w:bookmarkStart w:id="130" w:name="_Toc18238"/>
      <w:bookmarkStart w:id="131" w:name="_Toc32086"/>
      <w:r>
        <w:rPr>
          <w:rFonts w:hint="default" w:ascii="Times New Roman" w:hAnsi="Times New Roman" w:eastAsia="宋体" w:cs="Times New Roman"/>
          <w:color w:val="auto"/>
          <w:spacing w:val="0"/>
          <w:w w:val="100"/>
          <w:kern w:val="0"/>
          <w:position w:val="0"/>
          <w:sz w:val="24"/>
          <w:szCs w:val="32"/>
          <w:highlight w:val="none"/>
          <w:lang w:val="en-US" w:eastAsia="zh-CN" w:bidi="ar-SA"/>
        </w:rPr>
        <w:t>(1)宁夏回族自治区人大常委会，第39号公告《宁夏回族自治区节约用水条例(修订)》(2012年3月29日)；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(2)宁夏回族自治区人大常委会，第38号公告《宁夏回族自治区环境保护条例》(修正)(2016年5月27日)；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(3)宁夏回族自治区人大常委会，第三十三次会议通过《宁夏回族自治区大气污染防治条例》(2017年11月1日)；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(4)宁夏回族自治区人大常委会，第二十七次会议通过《宁夏回族自治区水资源管理条例》(2017年1月1日)；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(5)宁夏回族自治区人大常委会，第31号公告《《宁夏回族自治区水污染防治条例》（2020年3月1日）；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(6)宁夏回族自治区人大常委会，第三次会议通过《宁夏回族自治区污染物排放管理条例》(2018年5月29日)；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(7)宁夏回族自治区人民政府，第32号令《宁夏回族自治区危险废物管理办法》(2011年4月1日)；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(8)宁夏回族自治区人民政府，宁政发〔2016〕108号《关于印发土壤污染防治工作实施方案的通知》(2016年12月30日)；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(9)宁夏回族自治区人民政府，宁政发〔2018〕23号《关于发布宁夏回族自治区生态保护红线的通知》(2018年6月30日)；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(10)宁夏回族自治区第十二届人民代表大会常务委员会第七次会议通过，《宁夏回族自治区生态保护红线管理条例》（2018年11月29日）；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(11)原宁夏回族自治区环境保护厅，宁环发〔2014〕13号《宁夏污染源排放口规范化管理办法(试行)》(2014年1月26日)；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(12)宁夏回族自治区人民政府，宁政规发〔2018〕5号《关于印发打赢蓝天保卫战三年行动计划的通知》（2018年8月28日）；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(13)宁夏回族自治区人民政府办公厅，宁政办发〔2018〕129号《关于印发推进净土保卫战三年行动计划（2018年—2020年）的通知》（2018年12月14日）；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(14)宁夏</w:t>
      </w:r>
      <w:r>
        <w:rPr>
          <w:rFonts w:hint="eastAsia" w:ascii="Times New Roman" w:hAnsi="Times New Roman" w:cs="Times New Roman"/>
          <w:color w:val="auto"/>
          <w:spacing w:val="0"/>
          <w:w w:val="100"/>
          <w:kern w:val="0"/>
          <w:position w:val="0"/>
          <w:sz w:val="24"/>
          <w:szCs w:val="32"/>
          <w:highlight w:val="none"/>
          <w:lang w:val="en-US" w:eastAsia="zh-CN" w:bidi="ar-SA"/>
        </w:rPr>
        <w:t>回族</w:t>
      </w:r>
      <w:bookmarkStart w:id="1449" w:name="_GoBack"/>
      <w:bookmarkEnd w:id="1449"/>
      <w:r>
        <w:rPr>
          <w:rFonts w:hint="default" w:ascii="Times New Roman" w:hAnsi="Times New Roman" w:eastAsia="宋体" w:cs="Times New Roman"/>
          <w:color w:val="auto"/>
          <w:spacing w:val="0"/>
          <w:w w:val="100"/>
          <w:kern w:val="0"/>
          <w:position w:val="0"/>
          <w:sz w:val="24"/>
          <w:szCs w:val="32"/>
          <w:highlight w:val="none"/>
          <w:lang w:val="en-US" w:eastAsia="zh-CN" w:bidi="ar-SA"/>
        </w:rPr>
        <w:t>自治区人民政府办公厅，宁政办发〔2017〕202号《宁夏加快推进畜禽养殖废弃物资源化利用工作方案（2017-2020年）》（2018.12.1）；</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(15)宁夏回族自治区人民政府，宁政发〔2015〕106号《宁夏回族自治区水污染防治工作方案》；</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w:t>
      </w:r>
      <w:r>
        <w:rPr>
          <w:rFonts w:hint="eastAsia" w:ascii="Times New Roman" w:hAnsi="Times New Roman" w:cs="Times New Roman"/>
          <w:color w:val="auto"/>
          <w:spacing w:val="0"/>
          <w:w w:val="100"/>
          <w:kern w:val="0"/>
          <w:position w:val="0"/>
          <w:sz w:val="24"/>
          <w:szCs w:val="32"/>
          <w:highlight w:val="none"/>
          <w:lang w:val="en-US" w:eastAsia="zh-CN" w:bidi="ar-SA"/>
        </w:rPr>
        <w:t>16</w:t>
      </w:r>
      <w:r>
        <w:rPr>
          <w:rFonts w:hint="default" w:ascii="Times New Roman" w:hAnsi="Times New Roman" w:eastAsia="宋体" w:cs="Times New Roman"/>
          <w:color w:val="auto"/>
          <w:spacing w:val="0"/>
          <w:w w:val="100"/>
          <w:kern w:val="0"/>
          <w:position w:val="0"/>
          <w:sz w:val="24"/>
          <w:szCs w:val="32"/>
          <w:highlight w:val="none"/>
          <w:lang w:val="en-US" w:eastAsia="zh-CN" w:bidi="ar-SA"/>
        </w:rPr>
        <w:t>)宁夏回族自治区生态环境厅，宁环办发〔2020〕11号《关于加强建设项目环境影响评价事中事后监管的通知》(2020年3月3日)；</w:t>
      </w:r>
    </w:p>
    <w:p>
      <w:pPr>
        <w:pStyle w:val="16"/>
        <w:adjustRightInd w:val="0"/>
        <w:spacing w:line="360" w:lineRule="auto"/>
        <w:ind w:firstLine="480" w:firstLineChars="200"/>
        <w:rPr>
          <w:rFonts w:hint="eastAsia" w:ascii="Times New Roman" w:hAnsi="Times New Roman"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w:t>
      </w:r>
      <w:r>
        <w:rPr>
          <w:rFonts w:hint="eastAsia" w:ascii="Times New Roman" w:hAnsi="Times New Roman" w:cs="Times New Roman"/>
          <w:color w:val="auto"/>
          <w:spacing w:val="0"/>
          <w:w w:val="100"/>
          <w:kern w:val="0"/>
          <w:position w:val="0"/>
          <w:sz w:val="24"/>
          <w:szCs w:val="32"/>
          <w:highlight w:val="none"/>
          <w:lang w:val="en-US" w:eastAsia="zh-CN" w:bidi="ar-SA"/>
        </w:rPr>
        <w:t>17</w:t>
      </w:r>
      <w:r>
        <w:rPr>
          <w:rFonts w:hint="default" w:ascii="Times New Roman" w:hAnsi="Times New Roman" w:eastAsia="宋体" w:cs="Times New Roman"/>
          <w:color w:val="auto"/>
          <w:spacing w:val="0"/>
          <w:w w:val="100"/>
          <w:kern w:val="0"/>
          <w:position w:val="0"/>
          <w:sz w:val="24"/>
          <w:szCs w:val="32"/>
          <w:highlight w:val="none"/>
          <w:lang w:val="en-US" w:eastAsia="zh-CN" w:bidi="ar-SA"/>
        </w:rPr>
        <w:t>)宁夏回族自治区住房和城乡建设厅，宁建(建)发〔2017〕17号《关于进一步加强建筑工地施工扬尘控制和标准化管理的通知》(2017年3月31日)</w:t>
      </w:r>
      <w:r>
        <w:rPr>
          <w:rFonts w:hint="eastAsia" w:ascii="Times New Roman" w:hAnsi="Times New Roman" w:cs="Times New Roman"/>
          <w:color w:val="auto"/>
          <w:spacing w:val="0"/>
          <w:w w:val="100"/>
          <w:kern w:val="0"/>
          <w:position w:val="0"/>
          <w:sz w:val="24"/>
          <w:szCs w:val="32"/>
          <w:highlight w:val="none"/>
          <w:lang w:val="en-US" w:eastAsia="zh-CN" w:bidi="ar-SA"/>
        </w:rPr>
        <w:t>；</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(18)宁夏回族自治区人民政府办公厅，宁政办规发〔2020〕20号《关于印发宁夏回族自治区有关行业用水定额（修订）的头通知》（2015年5月26日）；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(19)原宁夏回族自治区环境保护厅办公室，宁环办函〔2016〕2号《关于进一步规范危险废物识别标志设置有关事宜的通知》(2016年1月12日)；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(20)原宁夏回族自治区环境保护厅，宁环发〔2017〕38号《关于进一步加强和规范危险废物转移管理有关工作的通知》(2017年5月11日)；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(21)宁夏回族自治区生态环境厅，宁环规发〔2018〕5号《关于进一步规范污染源自动监控监管工作的通知》(2018年11月22日)；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(22)宁夏回族自治区生态环境厅，宁环规发〔2019〕1号《关于进一步加强建设项目环境影响评价管理工作的通知》(2019年2月25日)；</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w:t>
      </w:r>
      <w:r>
        <w:rPr>
          <w:rFonts w:hint="eastAsia" w:ascii="Times New Roman" w:hAnsi="Times New Roman" w:cs="Times New Roman"/>
          <w:color w:val="auto"/>
          <w:spacing w:val="0"/>
          <w:w w:val="100"/>
          <w:kern w:val="0"/>
          <w:position w:val="0"/>
          <w:sz w:val="24"/>
          <w:szCs w:val="32"/>
          <w:highlight w:val="none"/>
          <w:lang w:val="en-US" w:eastAsia="zh-CN" w:bidi="ar-SA"/>
        </w:rPr>
        <w:t>23</w:t>
      </w:r>
      <w:r>
        <w:rPr>
          <w:rFonts w:hint="default" w:ascii="Times New Roman" w:hAnsi="Times New Roman" w:eastAsia="宋体" w:cs="Times New Roman"/>
          <w:color w:val="auto"/>
          <w:spacing w:val="0"/>
          <w:w w:val="100"/>
          <w:kern w:val="0"/>
          <w:position w:val="0"/>
          <w:sz w:val="24"/>
          <w:szCs w:val="32"/>
          <w:highlight w:val="none"/>
          <w:lang w:val="en-US" w:eastAsia="zh-CN" w:bidi="ar-SA"/>
        </w:rPr>
        <w:t>)吴忠市生态环境局、吴忠市农业农村局、吴忠国家农业科技园区管委会，吴环发〔2019〕214号《关于印发&lt;吴忠市奶牛养殖场粪污综合利用技术及生产废水处理指导意见&gt;的通知》（2019年8月5日）</w:t>
      </w:r>
      <w:r>
        <w:rPr>
          <w:rFonts w:hint="eastAsia" w:ascii="Times New Roman" w:hAnsi="Times New Roman" w:cs="Times New Roman"/>
          <w:color w:val="auto"/>
          <w:spacing w:val="0"/>
          <w:w w:val="100"/>
          <w:kern w:val="0"/>
          <w:position w:val="0"/>
          <w:sz w:val="24"/>
          <w:szCs w:val="32"/>
          <w:highlight w:val="none"/>
          <w:lang w:val="en-US" w:eastAsia="zh-CN" w:bidi="ar-SA"/>
        </w:rPr>
        <w:t>；</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u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w:t>
      </w:r>
      <w:r>
        <w:rPr>
          <w:rFonts w:hint="eastAsia" w:ascii="Times New Roman" w:hAnsi="Times New Roman" w:cs="Times New Roman"/>
          <w:color w:val="auto"/>
          <w:spacing w:val="0"/>
          <w:w w:val="100"/>
          <w:kern w:val="0"/>
          <w:position w:val="0"/>
          <w:sz w:val="24"/>
          <w:szCs w:val="32"/>
          <w:highlight w:val="none"/>
          <w:lang w:val="en-US" w:eastAsia="zh-CN" w:bidi="ar-SA"/>
        </w:rPr>
        <w:t>24</w:t>
      </w:r>
      <w:r>
        <w:rPr>
          <w:rFonts w:hint="default" w:ascii="Times New Roman" w:hAnsi="Times New Roman" w:eastAsia="宋体" w:cs="Times New Roman"/>
          <w:color w:val="auto"/>
          <w:spacing w:val="0"/>
          <w:w w:val="100"/>
          <w:kern w:val="0"/>
          <w:position w:val="0"/>
          <w:sz w:val="24"/>
          <w:szCs w:val="32"/>
          <w:highlight w:val="none"/>
          <w:lang w:val="en-US" w:eastAsia="zh-CN" w:bidi="ar-SA"/>
        </w:rPr>
        <w:t>)吴忠市生态环境局，吴环函〔2020〕74号《关于吴忠市奶牛养殖场粪污综合利用技术及生产废水处理指导意见的补充说明》（2020年10月10日）。</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.1.4</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Start w:id="132" w:name="_Toc18752"/>
      <w:bookmarkStart w:id="133" w:name="_Toc22331"/>
      <w:bookmarkStart w:id="134" w:name="_Toc21823"/>
      <w:bookmarkStart w:id="135" w:name="_Toc27314"/>
      <w:bookmarkStart w:id="136" w:name="_Toc8822"/>
      <w:bookmarkStart w:id="137" w:name="_Toc18455"/>
      <w:bookmarkStart w:id="138" w:name="_Toc18554"/>
      <w:r>
        <w:rPr>
          <w:rFonts w:hint="default" w:ascii="Times New Roman" w:hAnsi="Times New Roman" w:eastAsia="宋体" w:cs="Times New Roman"/>
          <w:snapToGrid w:val="0"/>
          <w:color w:val="auto"/>
          <w:spacing w:val="0"/>
          <w:w w:val="100"/>
          <w:kern w:val="0"/>
          <w:position w:val="0"/>
          <w:sz w:val="28"/>
          <w:szCs w:val="28"/>
          <w:highlight w:val="none"/>
        </w:rPr>
        <w:t>相关导则及技术规范</w:t>
      </w:r>
      <w:bookmarkEnd w:id="132"/>
      <w:bookmarkEnd w:id="133"/>
      <w:bookmarkEnd w:id="134"/>
      <w:bookmarkEnd w:id="135"/>
      <w:bookmarkEnd w:id="136"/>
      <w:bookmarkEnd w:id="137"/>
      <w:bookmarkEnd w:id="138"/>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bookmarkStart w:id="139" w:name="_Toc24680"/>
      <w:r>
        <w:rPr>
          <w:rFonts w:hint="default" w:ascii="Times New Roman" w:hAnsi="Times New Roman" w:eastAsia="宋体" w:cs="Times New Roman"/>
          <w:color w:val="auto"/>
          <w:spacing w:val="0"/>
          <w:w w:val="100"/>
          <w:kern w:val="0"/>
          <w:position w:val="0"/>
          <w:sz w:val="24"/>
          <w:szCs w:val="32"/>
          <w:highlight w:val="none"/>
          <w:lang w:val="en-US" w:eastAsia="zh-CN" w:bidi="ar-SA"/>
        </w:rPr>
        <w:t>(1)《建设项目环境影响评价技术导则 总纲》（HJ2.1-2016）；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(2)《环境影响评价技术导则 大气环境》（HJ2.2-2018）；</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(3)《环境影响评价技术导则 地表水环境》（HJ2.3-2018）；</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(4)《环境影响评价技术导则 地下水环境》（HJ630.13-2016）；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(5)《环境影响评价技术导则 声环境》（HJ2.4-2009）；</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(6)《环境影响评价技术导则 生态影响》（HJ19-2011）；</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(7)《环境影响评价技术导则 土壤影响（试行）》（HJ964-2018）；</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(8)《建设项目环境风险评价技术导则》（HJ169-2018）；</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(9)《污染源源强核算技术指南 准则》（</w:t>
      </w:r>
      <w:r>
        <w:rPr>
          <w:rFonts w:hint="default" w:ascii="Times New Roman" w:hAnsi="Times New Roman" w:eastAsia="宋体" w:cs="Times New Roman"/>
          <w:color w:val="auto"/>
          <w:spacing w:val="0"/>
          <w:w w:val="100"/>
          <w:kern w:val="0"/>
          <w:position w:val="0"/>
          <w:sz w:val="24"/>
          <w:szCs w:val="32"/>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32"/>
          <w:highlight w:val="none"/>
          <w:lang w:val="en-US" w:eastAsia="zh-CN" w:bidi="ar-SA"/>
        </w:rPr>
        <w:instrText xml:space="preserve"> HYPERLINK "http://kjs.mee.gov.cn/hjbhbz/bzwb/wrfzjszc/201803/W020180329581021613517.pdf" </w:instrText>
      </w:r>
      <w:r>
        <w:rPr>
          <w:rFonts w:hint="default" w:ascii="Times New Roman" w:hAnsi="Times New Roman" w:eastAsia="宋体" w:cs="Times New Roman"/>
          <w:color w:val="auto"/>
          <w:spacing w:val="0"/>
          <w:w w:val="100"/>
          <w:kern w:val="0"/>
          <w:position w:val="0"/>
          <w:sz w:val="24"/>
          <w:szCs w:val="32"/>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32"/>
          <w:highlight w:val="none"/>
          <w:lang w:val="en-US" w:eastAsia="zh-CN" w:bidi="ar-SA"/>
        </w:rPr>
        <w:t>HJ884-2018</w:t>
      </w:r>
      <w:r>
        <w:rPr>
          <w:rFonts w:hint="default" w:ascii="Times New Roman" w:hAnsi="Times New Roman" w:eastAsia="宋体" w:cs="Times New Roman"/>
          <w:color w:val="auto"/>
          <w:spacing w:val="0"/>
          <w:w w:val="100"/>
          <w:kern w:val="0"/>
          <w:position w:val="0"/>
          <w:sz w:val="24"/>
          <w:szCs w:val="32"/>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32"/>
          <w:highlight w:val="none"/>
          <w:lang w:val="en-US" w:eastAsia="zh-CN" w:bidi="ar-SA"/>
        </w:rPr>
        <w:t>）；</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(10)《建设项目危险废物环境影响评价指南》（环保部办公厅2017年9月1日印发）；</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(11)《畜禽养殖产地环境评价规范》（HJ568-2010）；</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(12)《畜禽养殖业污染物防治技术规范》（HJ/T81-2001）；</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(13)《畜禽产地检疫规范》(GB16549-11148)；</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(14)《病害动物和病害动物产品生物安全处理规程》(GB16548-2006)；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(15)《畜禽养殖业污染治理工程技术规范》（HJ497-2009）；</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(16)</w:t>
      </w:r>
      <w:r>
        <w:rPr>
          <w:rFonts w:hint="default" w:ascii="Times New Roman" w:hAnsi="Times New Roman" w:eastAsia="宋体" w:cs="Times New Roman"/>
          <w:color w:val="auto"/>
          <w:spacing w:val="0"/>
          <w:w w:val="100"/>
          <w:kern w:val="0"/>
          <w:position w:val="0"/>
          <w:sz w:val="24"/>
          <w:szCs w:val="32"/>
          <w:highlight w:val="none"/>
          <w:lang w:val="zh-CN" w:eastAsia="zh-CN" w:bidi="ar-SA"/>
        </w:rPr>
        <w:t>《排污许可证申请与核发技术规范</w:t>
      </w:r>
      <w:r>
        <w:rPr>
          <w:rFonts w:hint="default" w:ascii="Times New Roman" w:hAnsi="Times New Roman" w:cs="Times New Roman"/>
          <w:color w:val="auto"/>
          <w:spacing w:val="0"/>
          <w:w w:val="100"/>
          <w:kern w:val="0"/>
          <w:position w:val="0"/>
          <w:sz w:val="24"/>
          <w:szCs w:val="32"/>
          <w:highlight w:val="none"/>
          <w:lang w:val="en-US" w:eastAsia="zh-CN" w:bidi="ar-SA"/>
        </w:rPr>
        <w:t xml:space="preserve"> </w:t>
      </w:r>
      <w:r>
        <w:rPr>
          <w:rFonts w:hint="default" w:ascii="Times New Roman" w:hAnsi="Times New Roman" w:eastAsia="宋体" w:cs="Times New Roman"/>
          <w:color w:val="auto"/>
          <w:spacing w:val="0"/>
          <w:w w:val="100"/>
          <w:kern w:val="0"/>
          <w:position w:val="0"/>
          <w:sz w:val="24"/>
          <w:szCs w:val="32"/>
          <w:highlight w:val="none"/>
          <w:lang w:val="zh-CN" w:eastAsia="zh-CN" w:bidi="ar-SA"/>
        </w:rPr>
        <w:t>畜禽养殖行业》</w:t>
      </w:r>
      <w:r>
        <w:rPr>
          <w:rFonts w:hint="default" w:ascii="Times New Roman" w:hAnsi="Times New Roman" w:eastAsia="宋体" w:cs="Times New Roman"/>
          <w:color w:val="auto"/>
          <w:spacing w:val="0"/>
          <w:w w:val="100"/>
          <w:kern w:val="0"/>
          <w:position w:val="0"/>
          <w:sz w:val="24"/>
          <w:szCs w:val="32"/>
          <w:highlight w:val="none"/>
          <w:lang w:val="en-US" w:eastAsia="zh-CN" w:bidi="ar-SA"/>
        </w:rPr>
        <w:t>（HJ1029-2019）；</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(17)《畜禽场环境质量评价准则》（GB/T19525.2-2004）；</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(18)《畜禽场环境质量标准》（GB/T388-1999）；</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(19)《畜禽场环境质量及卫生控制规范》(NY/T1167-2006)；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(20)《畜禽场环境污染控制技术规范》(NY/T1169-2006)；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(21)《规模畜禽养殖场污染防治最佳可行技术指南》（试行HJ-BAT-10）；</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(22)《畜禽粪便农田利用环境影响评价准则》（GB/T26622-2011）；</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(23)《畜禽粪便贮存设施设计要求》（GB/T272622-2011）；</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(24)《畜禽养殖污水贮存设施设计要求》（GB/T26624-2011）；</w:t>
      </w:r>
    </w:p>
    <w:p>
      <w:pPr>
        <w:pStyle w:val="16"/>
        <w:adjustRightInd w:val="0"/>
        <w:spacing w:line="360" w:lineRule="auto"/>
        <w:ind w:firstLine="480" w:firstLineChars="200"/>
        <w:rPr>
          <w:rFonts w:hint="default" w:ascii="Times New Roman" w:hAnsi="Times New Roman"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(25)《农村畜禽养殖污染防治技术规范》（DB64/T702-2011）</w:t>
      </w:r>
      <w:r>
        <w:rPr>
          <w:rFonts w:hint="default" w:ascii="Times New Roman" w:hAnsi="Times New Roman" w:cs="Times New Roman"/>
          <w:color w:val="auto"/>
          <w:spacing w:val="0"/>
          <w:w w:val="100"/>
          <w:kern w:val="0"/>
          <w:position w:val="0"/>
          <w:sz w:val="24"/>
          <w:szCs w:val="32"/>
          <w:highlight w:val="none"/>
          <w:lang w:val="en-US" w:eastAsia="zh-CN" w:bidi="ar-SA"/>
        </w:rPr>
        <w:t>；</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w:t>
      </w:r>
      <w:r>
        <w:rPr>
          <w:rFonts w:hint="default" w:ascii="Times New Roman" w:hAnsi="Times New Roman" w:cs="Times New Roman"/>
          <w:color w:val="auto"/>
          <w:spacing w:val="0"/>
          <w:w w:val="100"/>
          <w:kern w:val="0"/>
          <w:position w:val="0"/>
          <w:sz w:val="24"/>
          <w:szCs w:val="32"/>
          <w:highlight w:val="none"/>
          <w:lang w:val="en-US" w:eastAsia="zh-CN" w:bidi="ar-SA"/>
        </w:rPr>
        <w:t>6</w:t>
      </w:r>
      <w:r>
        <w:rPr>
          <w:rFonts w:hint="default" w:ascii="Times New Roman" w:hAnsi="Times New Roman" w:eastAsia="宋体" w:cs="Times New Roman"/>
          <w:color w:val="auto"/>
          <w:spacing w:val="0"/>
          <w:w w:val="100"/>
          <w:kern w:val="0"/>
          <w:position w:val="0"/>
          <w:sz w:val="24"/>
          <w:szCs w:val="32"/>
          <w:highlight w:val="none"/>
          <w:lang w:val="en-US" w:eastAsia="zh-CN" w:bidi="ar-SA"/>
        </w:rPr>
        <w:t>)《畜禽粪便无害化处理技术规范》(NY/T1168-2006)；</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val="en-US" w:eastAsia="zh-CN" w:bidi="ar-SA"/>
        </w:rPr>
      </w:pPr>
      <w:r>
        <w:rPr>
          <w:rFonts w:hint="default" w:ascii="Times New Roman" w:hAnsi="Times New Roman" w:eastAsia="宋体" w:cs="Times New Roman"/>
          <w:color w:val="auto"/>
          <w:spacing w:val="0"/>
          <w:w w:val="100"/>
          <w:kern w:val="0"/>
          <w:position w:val="0"/>
          <w:sz w:val="24"/>
          <w:szCs w:val="32"/>
          <w:highlight w:val="none"/>
          <w:lang w:val="en-US" w:eastAsia="zh-CN" w:bidi="ar-SA"/>
        </w:rPr>
        <w:t>(2</w:t>
      </w:r>
      <w:r>
        <w:rPr>
          <w:rFonts w:hint="default" w:ascii="Times New Roman" w:hAnsi="Times New Roman" w:cs="Times New Roman"/>
          <w:color w:val="auto"/>
          <w:spacing w:val="0"/>
          <w:w w:val="100"/>
          <w:kern w:val="0"/>
          <w:position w:val="0"/>
          <w:sz w:val="24"/>
          <w:szCs w:val="32"/>
          <w:highlight w:val="none"/>
          <w:lang w:val="en-US" w:eastAsia="zh-CN" w:bidi="ar-SA"/>
        </w:rPr>
        <w:t>7</w:t>
      </w:r>
      <w:r>
        <w:rPr>
          <w:rFonts w:hint="default" w:ascii="Times New Roman" w:hAnsi="Times New Roman" w:eastAsia="宋体" w:cs="Times New Roman"/>
          <w:color w:val="auto"/>
          <w:spacing w:val="0"/>
          <w:w w:val="100"/>
          <w:kern w:val="0"/>
          <w:position w:val="0"/>
          <w:sz w:val="24"/>
          <w:szCs w:val="32"/>
          <w:highlight w:val="none"/>
          <w:lang w:val="en-US" w:eastAsia="zh-CN" w:bidi="ar-SA"/>
        </w:rPr>
        <w:t>)《畜禽粪便还田技术规范》（GB/T25246-2010）。</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eastAsia="zh-CN"/>
        </w:rPr>
      </w:pPr>
      <w:bookmarkStart w:id="140" w:name="_Toc20049"/>
      <w:bookmarkStart w:id="141" w:name="_Toc21707"/>
      <w:bookmarkStart w:id="142" w:name="_Toc26064"/>
      <w:bookmarkStart w:id="143" w:name="_Toc10986"/>
      <w:bookmarkStart w:id="144" w:name="_Toc17055"/>
      <w:bookmarkStart w:id="145" w:name="_Toc23504"/>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.1.</w:t>
      </w:r>
      <w:r>
        <w:rPr>
          <w:rFonts w:hint="default" w:ascii="Times New Roman" w:hAnsi="Times New Roman" w:eastAsia="宋体" w:cs="Times New Roman"/>
          <w:snapToGrid w:val="0"/>
          <w:color w:val="auto"/>
          <w:spacing w:val="0"/>
          <w:w w:val="100"/>
          <w:kern w:val="0"/>
          <w:position w:val="0"/>
          <w:sz w:val="28"/>
          <w:szCs w:val="28"/>
          <w:highlight w:val="none"/>
          <w:lang w:val="en-US" w:eastAsia="zh-CN"/>
        </w:rPr>
        <w:t>5</w:t>
      </w:r>
      <w:r>
        <w:rPr>
          <w:rFonts w:hint="default" w:ascii="Times New Roman" w:hAnsi="Times New Roman" w:eastAsia="宋体" w:cs="Times New Roman"/>
          <w:snapToGrid w:val="0"/>
          <w:color w:val="auto"/>
          <w:spacing w:val="0"/>
          <w:w w:val="100"/>
          <w:kern w:val="0"/>
          <w:position w:val="0"/>
          <w:sz w:val="28"/>
          <w:szCs w:val="28"/>
          <w:highlight w:val="none"/>
        </w:rPr>
        <w:t>项目有关技术文件及工作文件</w:t>
      </w:r>
      <w:bookmarkEnd w:id="139"/>
      <w:bookmarkEnd w:id="140"/>
      <w:bookmarkEnd w:id="141"/>
      <w:bookmarkEnd w:id="142"/>
      <w:bookmarkEnd w:id="143"/>
      <w:bookmarkEnd w:id="144"/>
      <w:bookmarkEnd w:id="14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(1)</w:t>
      </w:r>
      <w:r>
        <w:rPr>
          <w:rFonts w:hint="default" w:ascii="Times New Roman" w:hAnsi="Times New Roman" w:cs="Times New Roman"/>
          <w:bCs/>
          <w:color w:val="auto"/>
          <w:spacing w:val="0"/>
          <w:w w:val="100"/>
          <w:kern w:val="0"/>
          <w:position w:val="0"/>
          <w:sz w:val="24"/>
          <w:szCs w:val="24"/>
          <w:highlight w:val="none"/>
          <w:lang w:eastAsia="zh-CN"/>
        </w:rPr>
        <w:t>《</w:t>
      </w:r>
      <w:r>
        <w:rPr>
          <w:rFonts w:hint="default" w:ascii="Times New Roman" w:hAnsi="Times New Roman" w:cs="Times New Roman"/>
          <w:color w:val="auto"/>
          <w:spacing w:val="0"/>
          <w:w w:val="100"/>
          <w:kern w:val="0"/>
          <w:position w:val="0"/>
          <w:sz w:val="24"/>
          <w:szCs w:val="24"/>
          <w:lang w:eastAsia="zh-CN"/>
        </w:rPr>
        <w:t>5000头奶牛扶贫养殖基地</w:t>
      </w:r>
      <w:r>
        <w:rPr>
          <w:rFonts w:hint="default" w:ascii="Times New Roman" w:hAnsi="Times New Roman" w:eastAsia="宋体" w:cs="Times New Roman"/>
          <w:bCs/>
          <w:color w:val="auto"/>
          <w:spacing w:val="0"/>
          <w:w w:val="100"/>
          <w:kern w:val="0"/>
          <w:position w:val="0"/>
          <w:sz w:val="24"/>
          <w:szCs w:val="24"/>
          <w:highlight w:val="none"/>
        </w:rPr>
        <w:t>环境影响评价委托书</w:t>
      </w:r>
      <w:r>
        <w:rPr>
          <w:rFonts w:hint="default" w:ascii="Times New Roman" w:hAnsi="Times New Roman"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rPr>
        <w:t>（20</w:t>
      </w:r>
      <w:r>
        <w:rPr>
          <w:rFonts w:hint="default" w:ascii="Times New Roman" w:hAnsi="Times New Roman" w:eastAsia="宋体" w:cs="Times New Roman"/>
          <w:bCs/>
          <w:color w:val="auto"/>
          <w:spacing w:val="0"/>
          <w:w w:val="100"/>
          <w:kern w:val="0"/>
          <w:position w:val="0"/>
          <w:sz w:val="24"/>
          <w:szCs w:val="24"/>
          <w:highlight w:val="none"/>
          <w:lang w:val="en-US" w:eastAsia="zh-CN"/>
        </w:rPr>
        <w:t>21</w:t>
      </w:r>
      <w:r>
        <w:rPr>
          <w:rFonts w:hint="default" w:ascii="Times New Roman" w:hAnsi="Times New Roman" w:eastAsia="宋体" w:cs="Times New Roman"/>
          <w:bCs/>
          <w:color w:val="auto"/>
          <w:spacing w:val="0"/>
          <w:w w:val="100"/>
          <w:kern w:val="0"/>
          <w:position w:val="0"/>
          <w:sz w:val="24"/>
          <w:szCs w:val="24"/>
          <w:highlight w:val="none"/>
        </w:rPr>
        <w:t>年</w:t>
      </w:r>
      <w:r>
        <w:rPr>
          <w:rFonts w:hint="default" w:ascii="Times New Roman" w:hAnsi="Times New Roman" w:eastAsia="宋体" w:cs="Times New Roman"/>
          <w:bCs/>
          <w:color w:val="auto"/>
          <w:spacing w:val="0"/>
          <w:w w:val="100"/>
          <w:kern w:val="0"/>
          <w:position w:val="0"/>
          <w:sz w:val="24"/>
          <w:szCs w:val="24"/>
          <w:highlight w:val="none"/>
          <w:lang w:val="en-US" w:eastAsia="zh-CN"/>
        </w:rPr>
        <w:t>10</w:t>
      </w:r>
      <w:r>
        <w:rPr>
          <w:rFonts w:hint="default" w:ascii="Times New Roman" w:hAnsi="Times New Roman" w:eastAsia="宋体" w:cs="Times New Roman"/>
          <w:bCs/>
          <w:color w:val="auto"/>
          <w:spacing w:val="0"/>
          <w:w w:val="100"/>
          <w:kern w:val="0"/>
          <w:position w:val="0"/>
          <w:sz w:val="24"/>
          <w:szCs w:val="24"/>
          <w:highlight w:val="none"/>
        </w:rPr>
        <w:t>月</w:t>
      </w:r>
      <w:r>
        <w:rPr>
          <w:rFonts w:hint="default" w:ascii="Times New Roman" w:hAnsi="Times New Roman" w:eastAsia="宋体" w:cs="Times New Roman"/>
          <w:bCs/>
          <w:color w:val="auto"/>
          <w:spacing w:val="0"/>
          <w:w w:val="100"/>
          <w:kern w:val="0"/>
          <w:position w:val="0"/>
          <w:sz w:val="24"/>
          <w:szCs w:val="24"/>
          <w:highlight w:val="none"/>
          <w:lang w:val="en-US" w:eastAsia="zh-CN"/>
        </w:rPr>
        <w:t>9</w:t>
      </w:r>
      <w:r>
        <w:rPr>
          <w:rFonts w:hint="default" w:ascii="Times New Roman" w:hAnsi="Times New Roman" w:eastAsia="宋体" w:cs="Times New Roman"/>
          <w:bCs/>
          <w:color w:val="auto"/>
          <w:spacing w:val="0"/>
          <w:w w:val="100"/>
          <w:kern w:val="0"/>
          <w:position w:val="0"/>
          <w:sz w:val="24"/>
          <w:szCs w:val="24"/>
          <w:highlight w:val="none"/>
        </w:rPr>
        <w:t>日）；</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(2)</w:t>
      </w:r>
      <w:r>
        <w:rPr>
          <w:rFonts w:hint="default" w:ascii="Times New Roman" w:hAnsi="Times New Roman" w:cs="Times New Roman"/>
          <w:bCs/>
          <w:color w:val="auto"/>
          <w:spacing w:val="0"/>
          <w:w w:val="100"/>
          <w:kern w:val="0"/>
          <w:position w:val="0"/>
          <w:sz w:val="24"/>
          <w:szCs w:val="24"/>
          <w:highlight w:val="none"/>
          <w:lang w:eastAsia="zh-CN"/>
        </w:rPr>
        <w:t>同心县发展和改革局，《宁夏回族自治区企业投资</w:t>
      </w:r>
      <w:r>
        <w:rPr>
          <w:rFonts w:hint="default" w:ascii="Times New Roman" w:hAnsi="Times New Roman" w:eastAsia="宋体" w:cs="Times New Roman"/>
          <w:bCs/>
          <w:color w:val="auto"/>
          <w:spacing w:val="0"/>
          <w:w w:val="100"/>
          <w:kern w:val="0"/>
          <w:position w:val="0"/>
          <w:sz w:val="24"/>
          <w:szCs w:val="24"/>
          <w:highlight w:val="none"/>
          <w:lang w:eastAsia="zh-CN"/>
        </w:rPr>
        <w:t>项目备案证</w:t>
      </w:r>
      <w:r>
        <w:rPr>
          <w:rFonts w:hint="default" w:ascii="Times New Roman" w:hAnsi="Times New Roman" w:cs="Times New Roman"/>
          <w:bCs/>
          <w:color w:val="auto"/>
          <w:spacing w:val="0"/>
          <w:w w:val="100"/>
          <w:kern w:val="0"/>
          <w:position w:val="0"/>
          <w:sz w:val="24"/>
          <w:szCs w:val="24"/>
          <w:highlight w:val="none"/>
          <w:lang w:eastAsia="zh-CN"/>
        </w:rPr>
        <w:t>》（项目代码：</w:t>
      </w:r>
      <w:r>
        <w:rPr>
          <w:rFonts w:hint="default" w:ascii="Times New Roman" w:hAnsi="Times New Roman" w:cs="Times New Roman"/>
          <w:bCs/>
          <w:color w:val="auto"/>
          <w:spacing w:val="0"/>
          <w:w w:val="100"/>
          <w:kern w:val="0"/>
          <w:position w:val="0"/>
          <w:sz w:val="24"/>
          <w:szCs w:val="24"/>
          <w:highlight w:val="none"/>
          <w:lang w:val="en-US" w:eastAsia="zh-CN"/>
        </w:rPr>
        <w:t>2019-640324-03-03-007209</w:t>
      </w:r>
      <w:r>
        <w:rPr>
          <w:rFonts w:hint="default" w:ascii="Times New Roman" w:hAnsi="Times New Roman"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rPr>
        <w:t>20</w:t>
      </w:r>
      <w:r>
        <w:rPr>
          <w:rFonts w:hint="default" w:ascii="Times New Roman" w:hAnsi="Times New Roman" w:cs="Times New Roman"/>
          <w:bCs/>
          <w:color w:val="auto"/>
          <w:spacing w:val="0"/>
          <w:w w:val="100"/>
          <w:kern w:val="0"/>
          <w:position w:val="0"/>
          <w:sz w:val="24"/>
          <w:szCs w:val="24"/>
          <w:highlight w:val="none"/>
          <w:lang w:val="en-US" w:eastAsia="zh-CN"/>
        </w:rPr>
        <w:t>19</w:t>
      </w:r>
      <w:r>
        <w:rPr>
          <w:rFonts w:hint="default" w:ascii="Times New Roman" w:hAnsi="Times New Roman" w:eastAsia="宋体" w:cs="Times New Roman"/>
          <w:bCs/>
          <w:color w:val="auto"/>
          <w:spacing w:val="0"/>
          <w:w w:val="100"/>
          <w:kern w:val="0"/>
          <w:position w:val="0"/>
          <w:sz w:val="24"/>
          <w:szCs w:val="24"/>
          <w:highlight w:val="none"/>
        </w:rPr>
        <w:t>年</w:t>
      </w:r>
      <w:r>
        <w:rPr>
          <w:rFonts w:hint="default" w:ascii="Times New Roman" w:hAnsi="Times New Roman" w:cs="Times New Roman"/>
          <w:bCs/>
          <w:color w:val="auto"/>
          <w:spacing w:val="0"/>
          <w:w w:val="100"/>
          <w:kern w:val="0"/>
          <w:position w:val="0"/>
          <w:sz w:val="24"/>
          <w:szCs w:val="24"/>
          <w:highlight w:val="none"/>
          <w:lang w:val="en-US" w:eastAsia="zh-CN"/>
        </w:rPr>
        <w:t>8</w:t>
      </w:r>
      <w:r>
        <w:rPr>
          <w:rFonts w:hint="default" w:ascii="Times New Roman" w:hAnsi="Times New Roman" w:eastAsia="宋体" w:cs="Times New Roman"/>
          <w:bCs/>
          <w:color w:val="auto"/>
          <w:spacing w:val="0"/>
          <w:w w:val="100"/>
          <w:kern w:val="0"/>
          <w:position w:val="0"/>
          <w:sz w:val="24"/>
          <w:szCs w:val="24"/>
          <w:highlight w:val="none"/>
        </w:rPr>
        <w:t>月</w:t>
      </w:r>
      <w:r>
        <w:rPr>
          <w:rFonts w:hint="default" w:ascii="Times New Roman" w:hAnsi="Times New Roman" w:cs="Times New Roman"/>
          <w:bCs/>
          <w:color w:val="auto"/>
          <w:spacing w:val="0"/>
          <w:w w:val="100"/>
          <w:kern w:val="0"/>
          <w:position w:val="0"/>
          <w:sz w:val="24"/>
          <w:szCs w:val="24"/>
          <w:highlight w:val="none"/>
          <w:lang w:val="en-US" w:eastAsia="zh-CN"/>
        </w:rPr>
        <w:t>2</w:t>
      </w: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(3)建设单位营业执照；</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lang w:eastAsia="zh-CN"/>
        </w:rPr>
      </w:pPr>
      <w:r>
        <w:rPr>
          <w:rFonts w:hint="default" w:ascii="Times New Roman" w:hAnsi="Times New Roman" w:eastAsia="宋体" w:cs="Times New Roman"/>
          <w:bCs/>
          <w:color w:val="auto"/>
          <w:spacing w:val="0"/>
          <w:w w:val="100"/>
          <w:kern w:val="0"/>
          <w:position w:val="0"/>
          <w:sz w:val="24"/>
          <w:szCs w:val="24"/>
          <w:highlight w:val="none"/>
        </w:rPr>
        <w:t>(</w:t>
      </w:r>
      <w:r>
        <w:rPr>
          <w:rFonts w:hint="default" w:ascii="Times New Roman" w:hAnsi="Times New Roman" w:eastAsia="宋体" w:cs="Times New Roman"/>
          <w:bCs/>
          <w:color w:val="auto"/>
          <w:spacing w:val="0"/>
          <w:w w:val="100"/>
          <w:kern w:val="0"/>
          <w:position w:val="0"/>
          <w:sz w:val="24"/>
          <w:szCs w:val="24"/>
          <w:highlight w:val="none"/>
          <w:lang w:val="en-US" w:eastAsia="zh-CN"/>
        </w:rPr>
        <w:t>4</w:t>
      </w:r>
      <w:r>
        <w:rPr>
          <w:rFonts w:hint="default" w:ascii="Times New Roman" w:hAnsi="Times New Roman" w:eastAsia="宋体" w:cs="Times New Roman"/>
          <w:bCs/>
          <w:color w:val="auto"/>
          <w:spacing w:val="0"/>
          <w:w w:val="100"/>
          <w:kern w:val="0"/>
          <w:position w:val="0"/>
          <w:sz w:val="24"/>
          <w:szCs w:val="24"/>
          <w:highlight w:val="none"/>
        </w:rPr>
        <w:t>)</w:t>
      </w:r>
      <w:r>
        <w:rPr>
          <w:rFonts w:hint="default" w:ascii="Times New Roman" w:hAnsi="Times New Roman" w:eastAsia="宋体" w:cs="Times New Roman"/>
          <w:bCs/>
          <w:color w:val="auto"/>
          <w:spacing w:val="0"/>
          <w:w w:val="100"/>
          <w:kern w:val="0"/>
          <w:position w:val="0"/>
          <w:sz w:val="24"/>
          <w:szCs w:val="24"/>
          <w:highlight w:val="none"/>
          <w:lang w:eastAsia="zh-CN"/>
        </w:rPr>
        <w:t>农村土地承包经营权出租合同</w:t>
      </w:r>
      <w:r>
        <w:rPr>
          <w:rFonts w:hint="default" w:ascii="Times New Roman" w:hAnsi="Times New Roman" w:eastAsia="宋体" w:cs="Times New Roman"/>
          <w:bCs/>
          <w:color w:val="auto"/>
          <w:spacing w:val="0"/>
          <w:w w:val="100"/>
          <w:kern w:val="0"/>
          <w:position w:val="0"/>
          <w:sz w:val="24"/>
          <w:szCs w:val="24"/>
          <w:highlight w:val="none"/>
          <w:lang w:val="en-US" w:eastAsia="zh-CN"/>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lang w:val="en-US" w:eastAsia="zh-CN"/>
        </w:rPr>
      </w:pP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lang w:val="en-US" w:eastAsia="zh-CN"/>
        </w:rPr>
        <w:t>5)宁夏罗山国家级自然保护区管理局，《宁夏罗山管理局关于宁夏垣盛越农牧综合开发有限公司养殖基地距保护区之外的复函》</w:t>
      </w: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rPr>
        <w:t>20</w:t>
      </w:r>
      <w:r>
        <w:rPr>
          <w:rFonts w:hint="default" w:ascii="Times New Roman" w:hAnsi="Times New Roman" w:eastAsia="宋体" w:cs="Times New Roman"/>
          <w:bCs/>
          <w:color w:val="auto"/>
          <w:spacing w:val="0"/>
          <w:w w:val="100"/>
          <w:kern w:val="0"/>
          <w:position w:val="0"/>
          <w:sz w:val="24"/>
          <w:szCs w:val="24"/>
          <w:highlight w:val="none"/>
          <w:lang w:val="en-US" w:eastAsia="zh-CN"/>
        </w:rPr>
        <w:t>19</w:t>
      </w:r>
      <w:r>
        <w:rPr>
          <w:rFonts w:hint="default" w:ascii="Times New Roman" w:hAnsi="Times New Roman" w:eastAsia="宋体" w:cs="Times New Roman"/>
          <w:bCs/>
          <w:color w:val="auto"/>
          <w:spacing w:val="0"/>
          <w:w w:val="100"/>
          <w:kern w:val="0"/>
          <w:position w:val="0"/>
          <w:sz w:val="24"/>
          <w:szCs w:val="24"/>
          <w:highlight w:val="none"/>
        </w:rPr>
        <w:t>年</w:t>
      </w:r>
      <w:r>
        <w:rPr>
          <w:rFonts w:hint="default" w:ascii="Times New Roman" w:hAnsi="Times New Roman" w:eastAsia="宋体" w:cs="Times New Roman"/>
          <w:bCs/>
          <w:color w:val="auto"/>
          <w:spacing w:val="0"/>
          <w:w w:val="100"/>
          <w:kern w:val="0"/>
          <w:position w:val="0"/>
          <w:sz w:val="24"/>
          <w:szCs w:val="24"/>
          <w:highlight w:val="none"/>
          <w:lang w:val="en-US" w:eastAsia="zh-CN"/>
        </w:rPr>
        <w:t>8</w:t>
      </w:r>
      <w:r>
        <w:rPr>
          <w:rFonts w:hint="default" w:ascii="Times New Roman" w:hAnsi="Times New Roman" w:eastAsia="宋体" w:cs="Times New Roman"/>
          <w:bCs/>
          <w:color w:val="auto"/>
          <w:spacing w:val="0"/>
          <w:w w:val="100"/>
          <w:kern w:val="0"/>
          <w:position w:val="0"/>
          <w:sz w:val="24"/>
          <w:szCs w:val="24"/>
          <w:highlight w:val="none"/>
        </w:rPr>
        <w:t>月</w:t>
      </w:r>
      <w:r>
        <w:rPr>
          <w:rFonts w:hint="default" w:ascii="Times New Roman" w:hAnsi="Times New Roman" w:eastAsia="宋体" w:cs="Times New Roman"/>
          <w:bCs/>
          <w:color w:val="auto"/>
          <w:spacing w:val="0"/>
          <w:w w:val="100"/>
          <w:kern w:val="0"/>
          <w:position w:val="0"/>
          <w:sz w:val="24"/>
          <w:szCs w:val="24"/>
          <w:highlight w:val="none"/>
          <w:lang w:val="en-US" w:eastAsia="zh-CN"/>
        </w:rPr>
        <w:t>2</w:t>
      </w:r>
      <w:r>
        <w:rPr>
          <w:rFonts w:hint="default" w:ascii="Times New Roman" w:hAnsi="Times New Roman" w:eastAsia="宋体" w:cs="Times New Roman"/>
          <w:bCs/>
          <w:color w:val="auto"/>
          <w:spacing w:val="0"/>
          <w:w w:val="100"/>
          <w:kern w:val="0"/>
          <w:position w:val="0"/>
          <w:sz w:val="24"/>
          <w:szCs w:val="24"/>
          <w:highlight w:val="none"/>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lang w:eastAsia="zh-CN"/>
        </w:rPr>
      </w:pP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lang w:val="en-US" w:eastAsia="zh-CN"/>
        </w:rPr>
        <w:t>6)</w:t>
      </w:r>
      <w:r>
        <w:rPr>
          <w:rFonts w:hint="default" w:ascii="Times New Roman" w:hAnsi="Times New Roman" w:eastAsia="宋体" w:cs="Times New Roman"/>
          <w:bCs/>
          <w:color w:val="auto"/>
          <w:spacing w:val="0"/>
          <w:w w:val="100"/>
          <w:kern w:val="0"/>
          <w:position w:val="0"/>
          <w:sz w:val="24"/>
          <w:szCs w:val="24"/>
          <w:highlight w:val="none"/>
          <w:lang w:eastAsia="zh-CN"/>
        </w:rPr>
        <w:t>《宁夏垣盛越农牧综合开发有限公司</w:t>
      </w:r>
      <w:r>
        <w:rPr>
          <w:rFonts w:hint="default" w:ascii="Times New Roman" w:hAnsi="Times New Roman" w:cs="Times New Roman"/>
          <w:bCs/>
          <w:color w:val="auto"/>
          <w:spacing w:val="0"/>
          <w:w w:val="100"/>
          <w:kern w:val="0"/>
          <w:position w:val="0"/>
          <w:sz w:val="24"/>
          <w:szCs w:val="24"/>
          <w:highlight w:val="none"/>
          <w:lang w:eastAsia="zh-CN"/>
        </w:rPr>
        <w:t>5000头奶牛扶贫养殖基地</w:t>
      </w:r>
      <w:r>
        <w:rPr>
          <w:rFonts w:hint="default" w:ascii="Times New Roman" w:hAnsi="Times New Roman" w:eastAsia="宋体" w:cs="Times New Roman"/>
          <w:bCs/>
          <w:color w:val="auto"/>
          <w:spacing w:val="0"/>
          <w:w w:val="100"/>
          <w:kern w:val="0"/>
          <w:position w:val="0"/>
          <w:sz w:val="24"/>
          <w:szCs w:val="24"/>
          <w:highlight w:val="none"/>
          <w:lang w:eastAsia="zh-CN"/>
        </w:rPr>
        <w:t>环境检测报告》。</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lang w:val="en-US" w:eastAsia="zh-CN"/>
        </w:rPr>
        <w:t>7)</w:t>
      </w:r>
      <w:r>
        <w:rPr>
          <w:rFonts w:hint="default" w:ascii="Times New Roman" w:hAnsi="Times New Roman" w:eastAsia="宋体" w:cs="Times New Roman"/>
          <w:bCs/>
          <w:color w:val="auto"/>
          <w:spacing w:val="0"/>
          <w:w w:val="100"/>
          <w:kern w:val="0"/>
          <w:position w:val="0"/>
          <w:sz w:val="24"/>
          <w:szCs w:val="24"/>
          <w:highlight w:val="none"/>
          <w:lang w:eastAsia="zh-CN"/>
        </w:rPr>
        <w:t>建设单位提供的其它相关资料</w:t>
      </w:r>
      <w:r>
        <w:rPr>
          <w:rFonts w:hint="default" w:ascii="Times New Roman" w:hAnsi="Times New Roman" w:eastAsia="宋体" w:cs="Times New Roman"/>
          <w:bCs/>
          <w:color w:val="auto"/>
          <w:spacing w:val="0"/>
          <w:w w:val="100"/>
          <w:kern w:val="0"/>
          <w:position w:val="0"/>
          <w:sz w:val="24"/>
          <w:szCs w:val="24"/>
          <w:highlight w:val="none"/>
        </w:rPr>
        <w:t>。</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rPr>
      </w:pPr>
      <w:bookmarkStart w:id="146" w:name="_Toc25632"/>
      <w:bookmarkStart w:id="147" w:name="_Toc28155"/>
      <w:bookmarkStart w:id="148" w:name="_Toc26455"/>
      <w:bookmarkStart w:id="149" w:name="_Toc24867"/>
      <w:bookmarkStart w:id="150" w:name="_Toc14530"/>
      <w:bookmarkStart w:id="151" w:name="_Toc6344"/>
      <w:bookmarkStart w:id="152" w:name="_Toc1280"/>
      <w:bookmarkStart w:id="153" w:name="_Toc23692"/>
      <w:bookmarkStart w:id="154" w:name="_Toc22868"/>
      <w:bookmarkStart w:id="155" w:name="_Toc3554"/>
      <w:bookmarkStart w:id="156" w:name="_Toc27250"/>
      <w:bookmarkStart w:id="157" w:name="_Toc10542"/>
      <w:bookmarkStart w:id="158" w:name="_Toc5368"/>
      <w:bookmarkStart w:id="159" w:name="_Toc26024"/>
      <w:bookmarkStart w:id="160" w:name="_Toc332203163"/>
      <w:bookmarkStart w:id="161" w:name="_Toc387745555"/>
      <w:bookmarkStart w:id="162" w:name="_Toc491609956"/>
      <w:bookmarkStart w:id="163" w:name="_Toc299368840"/>
      <w:r>
        <w:rPr>
          <w:rFonts w:hint="default" w:ascii="Times New Roman" w:hAnsi="Times New Roman" w:eastAsia="宋体" w:cs="Times New Roman"/>
          <w:snapToGrid w:val="0"/>
          <w:color w:val="auto"/>
          <w:spacing w:val="0"/>
          <w:w w:val="100"/>
          <w:kern w:val="0"/>
          <w:position w:val="0"/>
          <w:highlight w:val="none"/>
          <w:lang w:val="en-US" w:eastAsia="zh-CN"/>
        </w:rPr>
        <w:t>1</w:t>
      </w:r>
      <w:r>
        <w:rPr>
          <w:rFonts w:hint="default" w:ascii="Times New Roman" w:hAnsi="Times New Roman" w:eastAsia="宋体" w:cs="Times New Roman"/>
          <w:snapToGrid w:val="0"/>
          <w:color w:val="auto"/>
          <w:spacing w:val="0"/>
          <w:w w:val="100"/>
          <w:kern w:val="0"/>
          <w:position w:val="0"/>
          <w:highlight w:val="none"/>
        </w:rPr>
        <w:t>.</w:t>
      </w:r>
      <w:bookmarkEnd w:id="146"/>
      <w:r>
        <w:rPr>
          <w:rFonts w:hint="default" w:ascii="Times New Roman" w:hAnsi="Times New Roman" w:eastAsia="宋体" w:cs="Times New Roman"/>
          <w:snapToGrid w:val="0"/>
          <w:color w:val="auto"/>
          <w:spacing w:val="0"/>
          <w:w w:val="100"/>
          <w:kern w:val="0"/>
          <w:position w:val="0"/>
          <w:highlight w:val="none"/>
        </w:rPr>
        <w:t>2</w:t>
      </w:r>
      <w:bookmarkEnd w:id="147"/>
      <w:bookmarkEnd w:id="148"/>
      <w:r>
        <w:rPr>
          <w:rFonts w:hint="default" w:ascii="Times New Roman" w:hAnsi="Times New Roman" w:eastAsia="宋体" w:cs="Times New Roman"/>
          <w:snapToGrid w:val="0"/>
          <w:color w:val="auto"/>
          <w:spacing w:val="0"/>
          <w:w w:val="100"/>
          <w:kern w:val="0"/>
          <w:position w:val="0"/>
          <w:highlight w:val="none"/>
        </w:rPr>
        <w:t>环境影响因素识别和评价因子筛选</w:t>
      </w:r>
      <w:bookmarkEnd w:id="149"/>
      <w:bookmarkEnd w:id="150"/>
      <w:bookmarkEnd w:id="151"/>
      <w:bookmarkEnd w:id="152"/>
      <w:bookmarkEnd w:id="153"/>
      <w:bookmarkEnd w:id="154"/>
      <w:bookmarkEnd w:id="155"/>
      <w:bookmarkEnd w:id="156"/>
      <w:bookmarkEnd w:id="157"/>
      <w:bookmarkEnd w:id="158"/>
      <w:bookmarkEnd w:id="159"/>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164" w:name="_Toc10342"/>
      <w:bookmarkStart w:id="165" w:name="_Toc8066"/>
      <w:bookmarkStart w:id="166" w:name="_Toc19637"/>
      <w:bookmarkStart w:id="167" w:name="_Toc27386"/>
      <w:bookmarkStart w:id="168" w:name="_Toc2822"/>
      <w:bookmarkStart w:id="169" w:name="_Toc27886"/>
      <w:bookmarkStart w:id="170" w:name="_Toc27372"/>
      <w:bookmarkStart w:id="171" w:name="_Toc14202"/>
      <w:bookmarkStart w:id="172" w:name="_Toc1253"/>
      <w:bookmarkStart w:id="173" w:name="_Toc5139"/>
      <w:bookmarkStart w:id="174" w:name="_Toc10008"/>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.2.1</w:t>
      </w:r>
      <w:bookmarkEnd w:id="164"/>
      <w:bookmarkEnd w:id="165"/>
      <w:bookmarkEnd w:id="166"/>
      <w:r>
        <w:rPr>
          <w:rFonts w:hint="default" w:ascii="Times New Roman" w:hAnsi="Times New Roman" w:eastAsia="宋体" w:cs="Times New Roman"/>
          <w:snapToGrid w:val="0"/>
          <w:color w:val="auto"/>
          <w:spacing w:val="0"/>
          <w:w w:val="100"/>
          <w:kern w:val="0"/>
          <w:position w:val="0"/>
          <w:sz w:val="28"/>
          <w:szCs w:val="28"/>
          <w:highlight w:val="none"/>
        </w:rPr>
        <w:t>环境影响因素识别</w:t>
      </w:r>
      <w:bookmarkEnd w:id="167"/>
      <w:bookmarkEnd w:id="168"/>
      <w:bookmarkEnd w:id="169"/>
      <w:bookmarkEnd w:id="170"/>
      <w:bookmarkEnd w:id="171"/>
      <w:bookmarkEnd w:id="172"/>
      <w:bookmarkEnd w:id="173"/>
      <w:bookmarkEnd w:id="174"/>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rPr>
          <w:rFonts w:hint="default" w:ascii="Times New Roman" w:hAnsi="Times New Roman" w:eastAsia="宋体" w:cs="Times New Roman"/>
          <w:b/>
          <w:color w:val="auto"/>
          <w:spacing w:val="0"/>
          <w:w w:val="100"/>
          <w:kern w:val="0"/>
          <w:position w:val="0"/>
          <w:sz w:val="24"/>
          <w:highlight w:val="none"/>
        </w:rPr>
      </w:pPr>
      <w:bookmarkStart w:id="175" w:name="_Toc10690"/>
      <w:bookmarkStart w:id="176" w:name="_Toc24087_WPSOffice_Level2"/>
      <w:bookmarkStart w:id="177" w:name="_Toc5184"/>
      <w:bookmarkStart w:id="178" w:name="_Toc27126"/>
      <w:bookmarkStart w:id="179" w:name="_Toc18800_WPSOffice_Level2"/>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.2.1.1施工期环境影响要素识别</w:t>
      </w:r>
      <w:bookmarkEnd w:id="175"/>
      <w:bookmarkEnd w:id="176"/>
      <w:bookmarkEnd w:id="177"/>
      <w:bookmarkEnd w:id="178"/>
      <w:bookmarkEnd w:id="179"/>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本项目施工期对环境造成的影响因素主要有：场地平整、建筑物基础开挖，建构筑物砌筑及建筑材料运输、装卸等将产生的扬尘，施工机械设备排放的废气等会对环境空气产生不利影响；施工人员产生的生活污水，建设过程中产生的生产污水对水环境产生不利影响；工程建设中各类施工机械运行和作业产生的噪声，运输车辆产生的噪声等对声环境的影响；施工人员产生的生活垃圾和工程建筑垃圾的不合理处置，会对生态环境产生影响。本项目建设施工期的环境影响具有阶段性，是短期影响，会随着施工建设阶段结束而消失。</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180" w:name="_Toc31117"/>
      <w:bookmarkStart w:id="181" w:name="_Toc20348"/>
      <w:bookmarkStart w:id="182" w:name="_Toc17787"/>
      <w:bookmarkStart w:id="183" w:name="_Toc23490_WPSOffice_Level2"/>
      <w:bookmarkStart w:id="184" w:name="_Toc11376_WPSOffice_Level2"/>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.2.1.2营运期环境影响要素识别</w:t>
      </w:r>
      <w:bookmarkEnd w:id="180"/>
      <w:bookmarkEnd w:id="181"/>
      <w:bookmarkEnd w:id="182"/>
      <w:bookmarkEnd w:id="183"/>
      <w:bookmarkEnd w:id="184"/>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在初步工程分析的基础上，结合本项目采用的原料和产品输送方式等技术情况，本项目各牛舍及辅助设施产污、排污途径及周围环境特点，本项目在营运期产生的主要影响识别有：</w:t>
      </w:r>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废气包括饲料破碎加工粉尘和养殖场产生的恶臭，养殖场恶臭异味产生源主要为牛舍、</w:t>
      </w:r>
      <w:r>
        <w:rPr>
          <w:rFonts w:hint="default" w:ascii="Times New Roman" w:hAnsi="Times New Roman" w:cs="Times New Roman"/>
          <w:bCs/>
          <w:color w:val="auto"/>
          <w:spacing w:val="0"/>
          <w:w w:val="100"/>
          <w:kern w:val="0"/>
          <w:position w:val="0"/>
          <w:sz w:val="24"/>
          <w:szCs w:val="24"/>
          <w:highlight w:val="none"/>
          <w:lang w:eastAsia="zh-CN"/>
        </w:rPr>
        <w:t>堆粪棚</w:t>
      </w:r>
      <w:r>
        <w:rPr>
          <w:rFonts w:hint="default" w:ascii="Times New Roman" w:hAnsi="Times New Roman" w:eastAsia="宋体" w:cs="Times New Roman"/>
          <w:bCs/>
          <w:color w:val="auto"/>
          <w:spacing w:val="0"/>
          <w:w w:val="100"/>
          <w:kern w:val="0"/>
          <w:position w:val="0"/>
          <w:sz w:val="24"/>
          <w:szCs w:val="24"/>
          <w:highlight w:val="none"/>
        </w:rPr>
        <w:t>和污水处理站恶臭等；废水包括生产废水</w:t>
      </w:r>
      <w:r>
        <w:rPr>
          <w:rFonts w:hint="default" w:ascii="Times New Roman" w:hAnsi="Times New Roman" w:eastAsia="宋体" w:cs="Times New Roman"/>
          <w:bCs/>
          <w:color w:val="auto"/>
          <w:spacing w:val="0"/>
          <w:w w:val="100"/>
          <w:kern w:val="0"/>
          <w:position w:val="0"/>
          <w:sz w:val="24"/>
          <w:szCs w:val="24"/>
          <w:highlight w:val="none"/>
          <w:lang w:eastAsia="zh-CN"/>
        </w:rPr>
        <w:t>和</w:t>
      </w:r>
      <w:r>
        <w:rPr>
          <w:rFonts w:hint="default" w:ascii="Times New Roman" w:hAnsi="Times New Roman" w:eastAsia="宋体" w:cs="Times New Roman"/>
          <w:bCs/>
          <w:color w:val="auto"/>
          <w:spacing w:val="0"/>
          <w:w w:val="100"/>
          <w:kern w:val="0"/>
          <w:position w:val="0"/>
          <w:sz w:val="24"/>
          <w:szCs w:val="24"/>
          <w:highlight w:val="none"/>
        </w:rPr>
        <w:t>生活污水，其中生产废水为挤奶</w:t>
      </w:r>
      <w:r>
        <w:rPr>
          <w:rFonts w:hint="default" w:ascii="Times New Roman" w:hAnsi="Times New Roman" w:eastAsia="宋体" w:cs="Times New Roman"/>
          <w:bCs/>
          <w:color w:val="auto"/>
          <w:spacing w:val="0"/>
          <w:w w:val="100"/>
          <w:kern w:val="0"/>
          <w:position w:val="0"/>
          <w:sz w:val="24"/>
          <w:szCs w:val="24"/>
          <w:highlight w:val="none"/>
          <w:lang w:val="zh-CN"/>
        </w:rPr>
        <w:t>厅</w:t>
      </w:r>
      <w:r>
        <w:rPr>
          <w:rFonts w:hint="default" w:ascii="Times New Roman" w:hAnsi="Times New Roman" w:eastAsia="宋体" w:cs="Times New Roman"/>
          <w:bCs/>
          <w:color w:val="auto"/>
          <w:spacing w:val="0"/>
          <w:w w:val="100"/>
          <w:kern w:val="0"/>
          <w:position w:val="0"/>
          <w:sz w:val="24"/>
          <w:szCs w:val="24"/>
          <w:highlight w:val="none"/>
        </w:rPr>
        <w:t>、奶缸等设施清洗废水、挤奶厅地面冲洗</w:t>
      </w:r>
      <w:r>
        <w:rPr>
          <w:rFonts w:hint="default" w:ascii="Times New Roman" w:hAnsi="Times New Roman" w:eastAsia="宋体" w:cs="Times New Roman"/>
          <w:bCs/>
          <w:color w:val="auto"/>
          <w:spacing w:val="0"/>
          <w:w w:val="100"/>
          <w:kern w:val="0"/>
          <w:position w:val="0"/>
          <w:sz w:val="24"/>
          <w:szCs w:val="24"/>
          <w:highlight w:val="none"/>
          <w:lang w:eastAsia="zh-CN"/>
        </w:rPr>
        <w:t>废水、</w:t>
      </w:r>
      <w:r>
        <w:rPr>
          <w:rFonts w:hint="default" w:ascii="Times New Roman" w:hAnsi="Times New Roman" w:eastAsia="宋体" w:cs="Times New Roman"/>
          <w:bCs/>
          <w:color w:val="auto"/>
          <w:spacing w:val="0"/>
          <w:w w:val="100"/>
          <w:kern w:val="0"/>
          <w:position w:val="0"/>
          <w:sz w:val="24"/>
          <w:szCs w:val="24"/>
          <w:highlight w:val="none"/>
        </w:rPr>
        <w:t>牛槽清洗废水；噪声源主要包括移动式全混合日粮搅拌机、饲料加工混合机组、风机、污水站设备及牛群活动叫声等；固废包括牛粪、病死牛尸体及胎盘、污水处理站污泥、兽医站少量医疗废物</w:t>
      </w:r>
      <w:r>
        <w:rPr>
          <w:rFonts w:hint="default" w:ascii="Times New Roman" w:hAnsi="Times New Roman" w:eastAsia="宋体" w:cs="Times New Roman"/>
          <w:bCs/>
          <w:color w:val="auto"/>
          <w:spacing w:val="0"/>
          <w:w w:val="100"/>
          <w:kern w:val="0"/>
          <w:position w:val="0"/>
          <w:sz w:val="24"/>
          <w:szCs w:val="24"/>
          <w:highlight w:val="none"/>
          <w:lang w:eastAsia="zh-CN"/>
        </w:rPr>
        <w:t>、除尘器收尘灰</w:t>
      </w:r>
      <w:r>
        <w:rPr>
          <w:rFonts w:hint="default" w:ascii="Times New Roman" w:hAnsi="Times New Roman" w:eastAsia="宋体" w:cs="Times New Roman"/>
          <w:bCs/>
          <w:color w:val="auto"/>
          <w:spacing w:val="0"/>
          <w:w w:val="100"/>
          <w:kern w:val="0"/>
          <w:position w:val="0"/>
          <w:sz w:val="24"/>
          <w:szCs w:val="24"/>
          <w:highlight w:val="none"/>
        </w:rPr>
        <w:t>及生活垃圾等。以上这些影响在整个生产营运期间都长期存在，需要通过有效的环保治理措施降低其影响程度。</w:t>
      </w:r>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根据以上分析，确定本次评价将工程建设影响划分为施工期和营运期两个方面，根据分析可知，施工期及营运期的主要不利环境影响要素为：</w:t>
      </w:r>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bookmarkStart w:id="185" w:name="_Toc1686_WPSOffice_Level3"/>
      <w:bookmarkStart w:id="186" w:name="_Toc26174_WPSOffice_Level3"/>
      <w:r>
        <w:rPr>
          <w:rFonts w:hint="default" w:ascii="Times New Roman" w:hAnsi="Times New Roman" w:eastAsia="宋体" w:cs="Times New Roman"/>
          <w:bCs/>
          <w:color w:val="auto"/>
          <w:spacing w:val="0"/>
          <w:w w:val="100"/>
          <w:kern w:val="0"/>
          <w:position w:val="0"/>
          <w:sz w:val="24"/>
          <w:szCs w:val="24"/>
          <w:highlight w:val="none"/>
        </w:rPr>
        <w:t>(1)施工期场地平整产生的扬尘对周围环境的影响；</w:t>
      </w:r>
      <w:bookmarkEnd w:id="185"/>
      <w:bookmarkEnd w:id="186"/>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bookmarkStart w:id="187" w:name="_Toc3889_WPSOffice_Level3"/>
      <w:bookmarkStart w:id="188" w:name="_Toc29816_WPSOffice_Level3"/>
      <w:r>
        <w:rPr>
          <w:rFonts w:hint="default" w:ascii="Times New Roman" w:hAnsi="Times New Roman" w:eastAsia="宋体" w:cs="Times New Roman"/>
          <w:bCs/>
          <w:color w:val="auto"/>
          <w:spacing w:val="0"/>
          <w:w w:val="100"/>
          <w:kern w:val="0"/>
          <w:position w:val="0"/>
          <w:sz w:val="24"/>
          <w:szCs w:val="24"/>
          <w:highlight w:val="none"/>
        </w:rPr>
        <w:t>(2)施工期废水对周围环境可能产生影响；</w:t>
      </w:r>
      <w:bookmarkEnd w:id="187"/>
      <w:bookmarkEnd w:id="188"/>
    </w:p>
    <w:p>
      <w:pPr>
        <w:pStyle w:val="16"/>
        <w:adjustRightIn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bookmarkStart w:id="189" w:name="_Toc9866_WPSOffice_Level3"/>
      <w:bookmarkStart w:id="190" w:name="_Toc17040_WPSOffice_Level3"/>
      <w:r>
        <w:rPr>
          <w:rFonts w:hint="default" w:ascii="Times New Roman" w:hAnsi="Times New Roman" w:eastAsia="宋体" w:cs="Times New Roman"/>
          <w:bCs/>
          <w:color w:val="auto"/>
          <w:spacing w:val="0"/>
          <w:w w:val="100"/>
          <w:kern w:val="0"/>
          <w:position w:val="0"/>
          <w:sz w:val="24"/>
          <w:szCs w:val="24"/>
          <w:highlight w:val="none"/>
        </w:rPr>
        <w:t>(3)施工期由于施工机械产生的噪声对周围环境的影响；</w:t>
      </w:r>
      <w:bookmarkEnd w:id="189"/>
      <w:bookmarkEnd w:id="190"/>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191" w:name="_Toc32627_WPSOffice_Level3"/>
      <w:bookmarkStart w:id="192" w:name="_Toc32292_WPSOffice_Level3"/>
      <w:r>
        <w:rPr>
          <w:rFonts w:hint="default" w:ascii="Times New Roman" w:hAnsi="Times New Roman" w:eastAsia="宋体" w:cs="Times New Roman"/>
          <w:color w:val="auto"/>
          <w:spacing w:val="0"/>
          <w:w w:val="100"/>
          <w:kern w:val="0"/>
          <w:position w:val="0"/>
          <w:sz w:val="24"/>
          <w:highlight w:val="none"/>
        </w:rPr>
        <w:t>(4)施工期固体废物对周围环境可能产生影响；</w:t>
      </w:r>
      <w:bookmarkEnd w:id="191"/>
      <w:bookmarkEnd w:id="192"/>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193" w:name="_Toc26944_WPSOffice_Level3"/>
      <w:bookmarkStart w:id="194" w:name="_Toc16528_WPSOffice_Level3"/>
      <w:r>
        <w:rPr>
          <w:rFonts w:hint="default" w:ascii="Times New Roman" w:hAnsi="Times New Roman" w:eastAsia="宋体" w:cs="Times New Roman"/>
          <w:color w:val="auto"/>
          <w:spacing w:val="0"/>
          <w:w w:val="100"/>
          <w:kern w:val="0"/>
          <w:position w:val="0"/>
          <w:sz w:val="24"/>
          <w:highlight w:val="none"/>
        </w:rPr>
        <w:t>(5)施工期机动运输车辆、施工人员等对周围生态环境的影响；</w:t>
      </w:r>
      <w:bookmarkEnd w:id="193"/>
      <w:bookmarkEnd w:id="194"/>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195" w:name="_Toc24595_WPSOffice_Level3"/>
      <w:bookmarkStart w:id="196" w:name="_Toc24479_WPSOffice_Level3"/>
      <w:r>
        <w:rPr>
          <w:rFonts w:hint="default" w:ascii="Times New Roman" w:hAnsi="Times New Roman" w:eastAsia="宋体" w:cs="Times New Roman"/>
          <w:color w:val="auto"/>
          <w:spacing w:val="0"/>
          <w:w w:val="100"/>
          <w:kern w:val="0"/>
          <w:position w:val="0"/>
          <w:sz w:val="24"/>
          <w:highlight w:val="none"/>
        </w:rPr>
        <w:t>(6)营运期废气对周围大气环境产生的影响；</w:t>
      </w:r>
      <w:bookmarkEnd w:id="195"/>
      <w:bookmarkEnd w:id="196"/>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197" w:name="_Toc18800_WPSOffice_Level3"/>
      <w:bookmarkStart w:id="198" w:name="_Toc24087_WPSOffice_Level3"/>
      <w:r>
        <w:rPr>
          <w:rFonts w:hint="default" w:ascii="Times New Roman" w:hAnsi="Times New Roman" w:eastAsia="宋体" w:cs="Times New Roman"/>
          <w:color w:val="auto"/>
          <w:spacing w:val="0"/>
          <w:w w:val="100"/>
          <w:kern w:val="0"/>
          <w:position w:val="0"/>
          <w:sz w:val="24"/>
          <w:highlight w:val="none"/>
        </w:rPr>
        <w:t>(7)营运期废水对水环境产生的影响；</w:t>
      </w:r>
      <w:bookmarkEnd w:id="197"/>
      <w:bookmarkEnd w:id="198"/>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199" w:name="_Toc451_WPSOffice_Level3"/>
      <w:bookmarkStart w:id="200" w:name="_Toc24077_WPSOffice_Level3"/>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8</w:t>
      </w:r>
      <w:r>
        <w:rPr>
          <w:rFonts w:hint="default" w:ascii="Times New Roman" w:hAnsi="Times New Roman" w:eastAsia="宋体" w:cs="Times New Roman"/>
          <w:color w:val="auto"/>
          <w:spacing w:val="0"/>
          <w:w w:val="100"/>
          <w:kern w:val="0"/>
          <w:position w:val="0"/>
          <w:sz w:val="24"/>
          <w:highlight w:val="none"/>
        </w:rPr>
        <w:t>)营运期噪声对场区周围声环境的影响；</w:t>
      </w:r>
      <w:bookmarkEnd w:id="199"/>
      <w:bookmarkEnd w:id="200"/>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eastAsia="zh-CN"/>
        </w:rPr>
      </w:pPr>
      <w:bookmarkStart w:id="201" w:name="_Toc10176_WPSOffice_Level3"/>
      <w:bookmarkStart w:id="202" w:name="_Toc32241_WPSOffice_Level3"/>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)营运期固体废物对周围环境的影响</w:t>
      </w:r>
      <w:bookmarkEnd w:id="201"/>
      <w:bookmarkEnd w:id="202"/>
      <w:r>
        <w:rPr>
          <w:rFonts w:hint="default" w:ascii="Times New Roman" w:hAnsi="Times New Roman" w:eastAsia="宋体" w:cs="Times New Roman"/>
          <w:color w:val="auto"/>
          <w:spacing w:val="0"/>
          <w:w w:val="100"/>
          <w:kern w:val="0"/>
          <w:position w:val="0"/>
          <w:sz w:val="24"/>
          <w:highlight w:val="none"/>
          <w:lang w:eastAsia="zh-CN"/>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203" w:name="_Toc6259"/>
      <w:bookmarkStart w:id="204" w:name="_Toc15438"/>
      <w:bookmarkStart w:id="205" w:name="_Toc48"/>
      <w:bookmarkStart w:id="206" w:name="_Toc12882"/>
      <w:bookmarkStart w:id="207" w:name="_Toc15147"/>
      <w:bookmarkStart w:id="208" w:name="_Toc32167"/>
      <w:bookmarkStart w:id="209" w:name="_Toc29158"/>
      <w:bookmarkStart w:id="210" w:name="_Toc2868"/>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.2.2评价因子筛选</w:t>
      </w:r>
      <w:bookmarkEnd w:id="203"/>
      <w:bookmarkEnd w:id="204"/>
      <w:bookmarkEnd w:id="205"/>
      <w:bookmarkEnd w:id="206"/>
      <w:bookmarkEnd w:id="207"/>
      <w:bookmarkEnd w:id="208"/>
      <w:bookmarkEnd w:id="209"/>
      <w:bookmarkEnd w:id="210"/>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4"/>
          <w:highlight w:val="none"/>
        </w:rPr>
        <w:t>根据环境影响评价技术导则，依据环境影响因素识别结果，结合本项目的场址选址、营运工艺特点、施工方面的因素及主要原辅材料用量、污染物排放强度、排放方式和排放去向，确定本项目各排污环节可能出现的主要污染因子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.2-</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highlight w:val="none"/>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表1.2-1</w:t>
      </w:r>
      <w:r>
        <w:rPr>
          <w:rFonts w:hint="default" w:ascii="Times New Roman" w:hAnsi="Times New Roman" w:eastAsia="宋体" w:cs="Times New Roman"/>
          <w:b/>
          <w:bCs w:val="0"/>
          <w:color w:val="auto"/>
          <w:spacing w:val="0"/>
          <w:w w:val="100"/>
          <w:kern w:val="0"/>
          <w:position w:val="0"/>
          <w:sz w:val="24"/>
          <w:highlight w:val="none"/>
        </w:rPr>
        <w:t xml:space="preserve">   项目环境评价因子筛选一览表</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16"/>
        <w:gridCol w:w="1513"/>
        <w:gridCol w:w="5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阶段</w:t>
            </w: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环境要素</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评价类别</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restart"/>
            <w:tcBorders>
              <w:tl2br w:val="nil"/>
              <w:tr2bl w:val="nil"/>
            </w:tcBorders>
            <w:noWrap w:val="0"/>
            <w:vAlign w:val="center"/>
          </w:tcPr>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施</w:t>
            </w:r>
          </w:p>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工</w:t>
            </w:r>
          </w:p>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期</w:t>
            </w: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大气环境</w:t>
            </w:r>
          </w:p>
        </w:tc>
        <w:tc>
          <w:tcPr>
            <w:tcW w:w="1480" w:type="dxa"/>
            <w:vMerge w:val="restart"/>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影响分析</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声环境</w:t>
            </w:r>
          </w:p>
        </w:tc>
        <w:tc>
          <w:tcPr>
            <w:tcW w:w="148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施工场界噪声（L</w:t>
            </w:r>
            <w:r>
              <w:rPr>
                <w:rFonts w:hint="default" w:ascii="Times New Roman" w:hAnsi="Times New Roman" w:eastAsia="宋体" w:cs="Times New Roman"/>
                <w:color w:val="auto"/>
                <w:spacing w:val="0"/>
                <w:w w:val="100"/>
                <w:kern w:val="0"/>
                <w:position w:val="0"/>
                <w:szCs w:val="21"/>
                <w:highlight w:val="none"/>
                <w:vertAlign w:val="subscript"/>
              </w:rPr>
              <w:t>Aeq</w:t>
            </w: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水环境</w:t>
            </w:r>
          </w:p>
        </w:tc>
        <w:tc>
          <w:tcPr>
            <w:tcW w:w="148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施工废水、生活废水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固体废物</w:t>
            </w:r>
          </w:p>
        </w:tc>
        <w:tc>
          <w:tcPr>
            <w:tcW w:w="148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建筑垃圾、弃土、生活垃圾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生态环境</w:t>
            </w:r>
          </w:p>
        </w:tc>
        <w:tc>
          <w:tcPr>
            <w:tcW w:w="148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植被、水土流失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restart"/>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bookmarkStart w:id="211" w:name="_Toc107994828"/>
            <w:bookmarkStart w:id="212" w:name="_Toc108866881"/>
            <w:bookmarkStart w:id="213" w:name="_Toc137911609"/>
            <w:bookmarkStart w:id="214" w:name="_Toc130812439"/>
            <w:bookmarkStart w:id="215" w:name="_Toc107198585"/>
            <w:bookmarkStart w:id="216" w:name="_Toc107623022"/>
            <w:bookmarkStart w:id="217" w:name="_Toc130883558"/>
            <w:bookmarkStart w:id="218" w:name="_Toc107018168"/>
            <w:bookmarkStart w:id="219" w:name="_Toc107018069"/>
            <w:bookmarkStart w:id="220" w:name="_Toc130886263"/>
            <w:bookmarkStart w:id="221" w:name="_Toc107017971"/>
            <w:bookmarkStart w:id="222" w:name="_Toc140304622"/>
            <w:bookmarkStart w:id="223" w:name="_Toc108232574"/>
            <w:bookmarkStart w:id="224" w:name="_Toc138133780"/>
            <w:bookmarkStart w:id="225" w:name="_Toc107017776"/>
            <w:bookmarkStart w:id="226" w:name="_Toc107198794"/>
            <w:bookmarkStart w:id="227" w:name="_Toc107017654"/>
            <w:r>
              <w:rPr>
                <w:rFonts w:hint="default" w:ascii="Times New Roman" w:hAnsi="Times New Roman" w:eastAsia="宋体" w:cs="Times New Roman"/>
                <w:b/>
                <w:bCs/>
                <w:color w:val="auto"/>
                <w:spacing w:val="0"/>
                <w:w w:val="100"/>
                <w:kern w:val="0"/>
                <w:position w:val="0"/>
                <w:szCs w:val="21"/>
                <w:highlight w:val="none"/>
              </w:rPr>
              <w:t>运</w:t>
            </w:r>
          </w:p>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营</w:t>
            </w:r>
          </w:p>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期</w:t>
            </w:r>
          </w:p>
        </w:tc>
        <w:tc>
          <w:tcPr>
            <w:tcW w:w="1189" w:type="dxa"/>
            <w:vMerge w:val="restart"/>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环境空气</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现状评价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PM</w:t>
            </w:r>
            <w:r>
              <w:rPr>
                <w:rFonts w:hint="default" w:ascii="Times New Roman" w:hAnsi="Times New Roman" w:eastAsia="宋体" w:cs="Times New Roman"/>
                <w:color w:val="auto"/>
                <w:spacing w:val="0"/>
                <w:w w:val="100"/>
                <w:kern w:val="0"/>
                <w:position w:val="0"/>
                <w:szCs w:val="21"/>
                <w:highlight w:val="none"/>
                <w:vertAlign w:val="subscript"/>
              </w:rPr>
              <w:t>2.5</w:t>
            </w:r>
            <w:r>
              <w:rPr>
                <w:rFonts w:hint="default" w:ascii="Times New Roman" w:hAnsi="Times New Roman" w:eastAsia="宋体" w:cs="Times New Roman"/>
                <w:color w:val="auto"/>
                <w:spacing w:val="0"/>
                <w:w w:val="100"/>
                <w:kern w:val="0"/>
                <w:position w:val="0"/>
                <w:szCs w:val="21"/>
                <w:highlight w:val="none"/>
              </w:rPr>
              <w:t>、PM</w:t>
            </w:r>
            <w:r>
              <w:rPr>
                <w:rFonts w:hint="default" w:ascii="Times New Roman" w:hAnsi="Times New Roman" w:eastAsia="宋体" w:cs="Times New Roman"/>
                <w:color w:val="auto"/>
                <w:spacing w:val="0"/>
                <w:w w:val="100"/>
                <w:kern w:val="0"/>
                <w:position w:val="0"/>
                <w:szCs w:val="21"/>
                <w:highlight w:val="none"/>
                <w:vertAlign w:val="subscript"/>
              </w:rPr>
              <w:t>10</w:t>
            </w:r>
            <w:r>
              <w:rPr>
                <w:rFonts w:hint="default" w:ascii="Times New Roman" w:hAnsi="Times New Roman" w:eastAsia="宋体" w:cs="Times New Roman"/>
                <w:color w:val="auto"/>
                <w:spacing w:val="0"/>
                <w:w w:val="100"/>
                <w:kern w:val="0"/>
                <w:position w:val="0"/>
                <w:szCs w:val="21"/>
                <w:highlight w:val="none"/>
              </w:rPr>
              <w:t>、SO</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、NO</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、CO、O</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bCs/>
                <w:color w:val="auto"/>
                <w:spacing w:val="0"/>
                <w:w w:val="100"/>
                <w:kern w:val="0"/>
                <w:position w:val="0"/>
                <w:szCs w:val="21"/>
                <w:highlight w:val="none"/>
              </w:rPr>
              <w:t>H</w:t>
            </w:r>
            <w:r>
              <w:rPr>
                <w:rFonts w:hint="default" w:ascii="Times New Roman" w:hAnsi="Times New Roman" w:eastAsia="宋体" w:cs="Times New Roman"/>
                <w:bCs/>
                <w:color w:val="auto"/>
                <w:spacing w:val="0"/>
                <w:w w:val="100"/>
                <w:kern w:val="0"/>
                <w:position w:val="0"/>
                <w:szCs w:val="21"/>
                <w:highlight w:val="none"/>
                <w:vertAlign w:val="subscript"/>
              </w:rPr>
              <w:t>2</w:t>
            </w:r>
            <w:r>
              <w:rPr>
                <w:rFonts w:hint="default" w:ascii="Times New Roman" w:hAnsi="Times New Roman" w:eastAsia="宋体" w:cs="Times New Roman"/>
                <w:bCs/>
                <w:color w:val="auto"/>
                <w:spacing w:val="0"/>
                <w:w w:val="100"/>
                <w:kern w:val="0"/>
                <w:position w:val="0"/>
                <w:szCs w:val="21"/>
                <w:highlight w:val="none"/>
              </w:rPr>
              <w:t>S</w:t>
            </w:r>
            <w:r>
              <w:rPr>
                <w:rFonts w:hint="default" w:ascii="Times New Roman" w:hAnsi="Times New Roman" w:eastAsia="宋体" w:cs="Times New Roman"/>
                <w:color w:val="auto"/>
                <w:spacing w:val="0"/>
                <w:w w:val="100"/>
                <w:kern w:val="0"/>
                <w:position w:val="0"/>
                <w:szCs w:val="21"/>
                <w:highlight w:val="none"/>
              </w:rPr>
              <w:t>、臭气浓度</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lang w:val="en-US" w:eastAsia="zh-CN"/>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TSP、PM</w:t>
            </w:r>
            <w:r>
              <w:rPr>
                <w:rFonts w:hint="default" w:ascii="Times New Roman" w:hAnsi="Times New Roman" w:eastAsia="宋体" w:cs="Times New Roman"/>
                <w:color w:val="auto"/>
                <w:spacing w:val="0"/>
                <w:w w:val="100"/>
                <w:kern w:val="0"/>
                <w:position w:val="0"/>
                <w:szCs w:val="21"/>
                <w:highlight w:val="none"/>
                <w:vertAlign w:val="subscript"/>
                <w:lang w:val="en-US" w:eastAsia="zh-CN"/>
              </w:rPr>
              <w:t>10</w:t>
            </w: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bCs/>
                <w:color w:val="auto"/>
                <w:spacing w:val="0"/>
                <w:w w:val="100"/>
                <w:kern w:val="0"/>
                <w:position w:val="0"/>
                <w:szCs w:val="21"/>
                <w:highlight w:val="none"/>
              </w:rPr>
              <w:t>H</w:t>
            </w:r>
            <w:r>
              <w:rPr>
                <w:rFonts w:hint="default" w:ascii="Times New Roman" w:hAnsi="Times New Roman" w:eastAsia="宋体" w:cs="Times New Roman"/>
                <w:bCs/>
                <w:color w:val="auto"/>
                <w:spacing w:val="0"/>
                <w:w w:val="100"/>
                <w:kern w:val="0"/>
                <w:position w:val="0"/>
                <w:szCs w:val="21"/>
                <w:highlight w:val="none"/>
                <w:vertAlign w:val="subscript"/>
              </w:rPr>
              <w:t>2</w:t>
            </w:r>
            <w:r>
              <w:rPr>
                <w:rFonts w:hint="default" w:ascii="Times New Roman" w:hAnsi="Times New Roman" w:eastAsia="宋体" w:cs="Times New Roman"/>
                <w:bCs/>
                <w:color w:val="auto"/>
                <w:spacing w:val="0"/>
                <w:w w:val="100"/>
                <w:kern w:val="0"/>
                <w:position w:val="0"/>
                <w:szCs w:val="21"/>
                <w:highlight w:val="none"/>
              </w:rPr>
              <w:t>S</w:t>
            </w:r>
            <w:r>
              <w:rPr>
                <w:rFonts w:hint="default" w:ascii="Times New Roman" w:hAnsi="Times New Roman" w:eastAsia="宋体" w:cs="Times New Roman"/>
                <w:color w:val="auto"/>
                <w:spacing w:val="0"/>
                <w:w w:val="100"/>
                <w:kern w:val="0"/>
                <w:position w:val="0"/>
                <w:szCs w:val="21"/>
                <w:highlight w:val="none"/>
              </w:rPr>
              <w:t>、臭气浓度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总量控制</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vMerge w:val="restart"/>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地下水</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现状评价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1"/>
                <w:szCs w:val="21"/>
                <w:highlight w:val="none"/>
                <w:lang w:val="en-US" w:eastAsia="zh-CN" w:bidi="ar"/>
              </w:rPr>
              <w:t>pH、氨氮、硝酸盐、亚硝酸盐、挥发酚、砷、汞、六价铬、总硬度、铅、镉、铁、锰、溶解性总固体、耗氧量、硫酸盐、氟化物、氯化物、总大肠菌群、细菌总数、K</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1"/>
                <w:szCs w:val="21"/>
                <w:highlight w:val="none"/>
                <w:lang w:val="en-US" w:eastAsia="zh-CN" w:bidi="ar"/>
              </w:rPr>
              <w:t>、Na</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1"/>
                <w:szCs w:val="21"/>
                <w:highlight w:val="none"/>
                <w:lang w:val="en-US" w:eastAsia="zh-CN" w:bidi="ar"/>
              </w:rPr>
              <w:t>、Ca</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1"/>
                <w:szCs w:val="21"/>
                <w:highlight w:val="none"/>
                <w:lang w:val="en-US" w:eastAsia="zh-CN" w:bidi="ar"/>
              </w:rPr>
              <w:t>、Mg</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1"/>
                <w:szCs w:val="21"/>
                <w:highlight w:val="none"/>
                <w:lang w:val="en-US" w:eastAsia="zh-CN" w:bidi="ar"/>
              </w:rPr>
              <w:t>、CO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1"/>
                <w:szCs w:val="21"/>
                <w:highlight w:val="none"/>
                <w:lang w:val="en-US" w:eastAsia="zh-CN" w:bidi="ar"/>
              </w:rPr>
              <w:t>、HCO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1"/>
                <w:szCs w:val="21"/>
                <w:highlight w:val="none"/>
                <w:lang w:val="en-US" w:eastAsia="zh-CN" w:bidi="ar"/>
              </w:rPr>
              <w:t>、C</w:t>
            </w:r>
            <w:r>
              <w:rPr>
                <w:rFonts w:hint="default" w:ascii="Times New Roman" w:hAnsi="Times New Roman" w:eastAsia="宋体" w:cs="Times New Roman"/>
                <w:color w:val="auto"/>
                <w:spacing w:val="0"/>
                <w:w w:val="100"/>
                <w:kern w:val="0"/>
                <w:position w:val="0"/>
                <w:sz w:val="21"/>
                <w:szCs w:val="21"/>
                <w:highlight w:val="none"/>
                <w:vertAlign w:val="baseline"/>
                <w:lang w:val="en-US" w:eastAsia="zh-CN" w:bidi="ar"/>
              </w:rPr>
              <w:t>l</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1"/>
                <w:szCs w:val="21"/>
                <w:highlight w:val="none"/>
                <w:lang w:val="en-US" w:eastAsia="zh-CN" w:bidi="ar"/>
              </w:rPr>
              <w:t>、SO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4</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-N、COD</w:t>
            </w:r>
          </w:p>
        </w:tc>
      </w:t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bCs/>
                <w:color w:val="auto"/>
                <w:spacing w:val="0"/>
                <w:w w:val="100"/>
                <w:kern w:val="0"/>
                <w:position w:val="0"/>
                <w:szCs w:val="21"/>
                <w:highlight w:val="none"/>
              </w:rPr>
            </w:pPr>
          </w:p>
        </w:tc>
        <w:tc>
          <w:tcPr>
            <w:tcW w:w="1189" w:type="dxa"/>
            <w:vMerge w:val="restart"/>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地表水</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现状评价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pH、溶解氧、高锰酸盐指数、COD、BOD</w:t>
            </w:r>
            <w:r>
              <w:rPr>
                <w:rFonts w:hint="default" w:ascii="Times New Roman" w:hAnsi="Times New Roman" w:eastAsia="宋体" w:cs="Times New Roman"/>
                <w:bCs/>
                <w:color w:val="auto"/>
                <w:spacing w:val="0"/>
                <w:w w:val="100"/>
                <w:kern w:val="0"/>
                <w:position w:val="0"/>
                <w:szCs w:val="21"/>
                <w:highlight w:val="none"/>
                <w:vertAlign w:val="subscript"/>
              </w:rPr>
              <w:t>5</w:t>
            </w:r>
            <w:r>
              <w:rPr>
                <w:rFonts w:hint="default" w:ascii="Times New Roman" w:hAnsi="Times New Roman" w:eastAsia="宋体" w:cs="Times New Roman"/>
                <w:bCs/>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-N</w:t>
            </w:r>
            <w:r>
              <w:rPr>
                <w:rFonts w:hint="default" w:ascii="Times New Roman" w:hAnsi="Times New Roman" w:eastAsia="宋体" w:cs="Times New Roman"/>
                <w:bCs/>
                <w:color w:val="auto"/>
                <w:spacing w:val="0"/>
                <w:w w:val="100"/>
                <w:kern w:val="0"/>
                <w:position w:val="0"/>
                <w:szCs w:val="21"/>
                <w:highlight w:val="none"/>
              </w:rPr>
              <w:t>、总氮、总磷、铜、锌、氟化物、硒、砷、汞、镉、铬、铅、氰化物、挥发酚、石油类、阴离子表面活性剂、硫化物、粪大肠菌群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BOD</w:t>
            </w:r>
            <w:r>
              <w:rPr>
                <w:rFonts w:hint="default" w:ascii="Times New Roman" w:hAnsi="Times New Roman" w:eastAsia="宋体" w:cs="Times New Roman"/>
                <w:color w:val="auto"/>
                <w:spacing w:val="0"/>
                <w:w w:val="100"/>
                <w:kern w:val="0"/>
                <w:position w:val="0"/>
                <w:szCs w:val="21"/>
                <w:highlight w:val="none"/>
                <w:vertAlign w:val="subscript"/>
              </w:rPr>
              <w:t>5</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COD</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SS</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-N</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TP</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粪大肠菌群数</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蛔虫卵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总量控制</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COD、NH</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1189" w:type="dxa"/>
            <w:vMerge w:val="restart"/>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声环境</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现状评价</w:t>
            </w:r>
          </w:p>
        </w:tc>
        <w:tc>
          <w:tcPr>
            <w:tcW w:w="5398"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1189" w:type="dxa"/>
            <w:vMerge w:val="continue"/>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ind w:left="-105" w:leftChars="-50" w:right="-105" w:rightChars="-5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固体废物</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ind w:left="-105" w:leftChars="-50" w:right="-105" w:rightChars="-5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牛粪、病死牛尸体</w:t>
            </w:r>
            <w:r>
              <w:rPr>
                <w:rFonts w:hint="default" w:ascii="Times New Roman" w:hAnsi="Times New Roman" w:eastAsia="宋体" w:cs="Times New Roman"/>
                <w:color w:val="auto"/>
                <w:spacing w:val="0"/>
                <w:w w:val="100"/>
                <w:kern w:val="0"/>
                <w:position w:val="0"/>
                <w:szCs w:val="21"/>
                <w:highlight w:val="none"/>
                <w:lang w:eastAsia="zh-CN"/>
              </w:rPr>
              <w:t>及胎盘</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zh-CN"/>
              </w:rPr>
              <w:t>污水处理站污泥、</w:t>
            </w:r>
            <w:r>
              <w:rPr>
                <w:rFonts w:hint="default" w:ascii="Times New Roman" w:hAnsi="Times New Roman" w:eastAsia="宋体" w:cs="Times New Roman"/>
                <w:color w:val="auto"/>
                <w:spacing w:val="0"/>
                <w:w w:val="100"/>
                <w:kern w:val="0"/>
                <w:position w:val="0"/>
                <w:szCs w:val="21"/>
                <w:highlight w:val="none"/>
              </w:rPr>
              <w:t>医疗垃圾、</w:t>
            </w:r>
            <w:r>
              <w:rPr>
                <w:rFonts w:hint="default" w:ascii="Times New Roman" w:hAnsi="Times New Roman" w:eastAsia="宋体" w:cs="Times New Roman"/>
                <w:bCs/>
                <w:color w:val="auto"/>
                <w:spacing w:val="0"/>
                <w:w w:val="100"/>
                <w:kern w:val="0"/>
                <w:position w:val="0"/>
                <w:highlight w:val="none"/>
                <w:lang w:eastAsia="zh-CN"/>
              </w:rPr>
              <w:t>除尘器收尘灰及</w:t>
            </w:r>
            <w:r>
              <w:rPr>
                <w:rFonts w:hint="default" w:ascii="Times New Roman" w:hAnsi="Times New Roman" w:eastAsia="宋体" w:cs="Times New Roman"/>
                <w:color w:val="auto"/>
                <w:spacing w:val="0"/>
                <w:w w:val="100"/>
                <w:kern w:val="0"/>
                <w:position w:val="0"/>
                <w:szCs w:val="21"/>
                <w:highlight w:val="none"/>
              </w:rPr>
              <w:t>生活垃圾</w:t>
            </w:r>
            <w:r>
              <w:rPr>
                <w:rFonts w:hint="default" w:ascii="Times New Roman" w:hAnsi="Times New Roman" w:eastAsia="宋体" w:cs="Times New Roman"/>
                <w:snapToGrid w:val="0"/>
                <w:color w:val="auto"/>
                <w:spacing w:val="0"/>
                <w:w w:val="100"/>
                <w:kern w:val="0"/>
                <w:position w:val="0"/>
                <w:szCs w:val="21"/>
                <w:highlight w:val="none"/>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土壤环境</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现状评价</w:t>
            </w:r>
          </w:p>
        </w:tc>
        <w:tc>
          <w:tcPr>
            <w:tcW w:w="5398" w:type="dxa"/>
            <w:tcBorders>
              <w:tl2br w:val="nil"/>
              <w:tr2bl w:val="nil"/>
            </w:tcBorders>
            <w:noWrap w:val="0"/>
            <w:vAlign w:val="center"/>
          </w:tcPr>
          <w:p>
            <w:pPr>
              <w:widowControl w:val="0"/>
              <w:spacing w:line="240" w:lineRule="exact"/>
              <w:ind w:left="-105" w:leftChars="-50" w:right="-105" w:rightChars="-5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pH、镉、汞、砷、铅、铬、铜、镍、锌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vMerge w:val="continue"/>
            <w:tcBorders>
              <w:tl2br w:val="nil"/>
              <w:tr2bl w:val="nil"/>
            </w:tcBorders>
            <w:noWrap w:val="0"/>
            <w:vAlign w:val="top"/>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p>
        </w:tc>
        <w:tc>
          <w:tcPr>
            <w:tcW w:w="1189" w:type="dxa"/>
            <w:tcBorders>
              <w:tl2br w:val="nil"/>
              <w:tr2bl w:val="nil"/>
            </w:tcBorders>
            <w:noWrap w:val="0"/>
            <w:vAlign w:val="center"/>
          </w:tcPr>
          <w:p>
            <w:pPr>
              <w:widowControl w:val="0"/>
              <w:spacing w:line="240" w:lineRule="exact"/>
              <w:ind w:right="-26"/>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生态环境</w:t>
            </w:r>
          </w:p>
        </w:tc>
        <w:tc>
          <w:tcPr>
            <w:tcW w:w="1480" w:type="dxa"/>
            <w:tcBorders>
              <w:tl2br w:val="nil"/>
              <w:tr2bl w:val="nil"/>
            </w:tcBorders>
            <w:noWrap w:val="0"/>
            <w:vAlign w:val="center"/>
          </w:tcPr>
          <w:p>
            <w:pPr>
              <w:widowControl w:val="0"/>
              <w:spacing w:line="24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影响评价</w:t>
            </w:r>
          </w:p>
        </w:tc>
        <w:tc>
          <w:tcPr>
            <w:tcW w:w="5398" w:type="dxa"/>
            <w:tcBorders>
              <w:tl2br w:val="nil"/>
              <w:tr2bl w:val="nil"/>
            </w:tcBorders>
            <w:noWrap w:val="0"/>
            <w:vAlign w:val="center"/>
          </w:tcPr>
          <w:p>
            <w:pPr>
              <w:widowControl w:val="0"/>
              <w:spacing w:line="240" w:lineRule="exact"/>
              <w:ind w:left="-105" w:leftChars="-50" w:right="-105" w:rightChars="-5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植被、动物、土壤等</w:t>
            </w:r>
          </w:p>
        </w:tc>
      </w:tr>
      <w:bookmarkEnd w:id="160"/>
      <w:bookmarkEnd w:id="161"/>
      <w:bookmarkEnd w:id="162"/>
      <w:bookmarkEnd w:id="163"/>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228" w:name="_Toc24761"/>
      <w:bookmarkStart w:id="229" w:name="_Toc17756"/>
      <w:bookmarkStart w:id="230" w:name="_Toc4941_WPSOffice_Level1"/>
      <w:bookmarkStart w:id="231" w:name="_Toc15978"/>
      <w:bookmarkStart w:id="232" w:name="_Toc7949"/>
      <w:bookmarkStart w:id="233" w:name="_Toc21435"/>
      <w:bookmarkStart w:id="234" w:name="_Toc31472"/>
      <w:bookmarkStart w:id="235" w:name="_Toc7054_WPSOffice_Level1"/>
      <w:bookmarkStart w:id="236" w:name="_Toc27436"/>
      <w:bookmarkStart w:id="237" w:name="_Toc11599"/>
      <w:bookmarkStart w:id="238" w:name="_Toc4849"/>
      <w:bookmarkStart w:id="239" w:name="_Toc8972"/>
      <w:bookmarkStart w:id="240" w:name="_Toc5454"/>
      <w:bookmarkStart w:id="241" w:name="_Toc12058"/>
      <w:bookmarkStart w:id="242" w:name="_Toc19519"/>
      <w:bookmarkStart w:id="243" w:name="_Toc25543"/>
      <w:bookmarkStart w:id="244" w:name="_Toc9989"/>
      <w:bookmarkStart w:id="245" w:name="_Toc10223"/>
      <w:bookmarkStart w:id="246" w:name="_Toc2349"/>
      <w:r>
        <w:rPr>
          <w:rFonts w:hint="default" w:ascii="Times New Roman" w:hAnsi="Times New Roman" w:eastAsia="宋体" w:cs="Times New Roman"/>
          <w:snapToGrid w:val="0"/>
          <w:color w:val="auto"/>
          <w:spacing w:val="0"/>
          <w:w w:val="100"/>
          <w:kern w:val="0"/>
          <w:position w:val="0"/>
          <w:highlight w:val="none"/>
          <w:lang w:val="en-US" w:eastAsia="zh-CN"/>
        </w:rPr>
        <w:t>1.3评价原则</w:t>
      </w:r>
      <w:bookmarkEnd w:id="228"/>
      <w:bookmarkEnd w:id="229"/>
      <w:bookmarkEnd w:id="230"/>
      <w:bookmarkEnd w:id="231"/>
      <w:bookmarkEnd w:id="232"/>
      <w:bookmarkEnd w:id="233"/>
      <w:bookmarkEnd w:id="234"/>
      <w:bookmarkEnd w:id="235"/>
      <w:bookmarkEnd w:id="236"/>
      <w:bookmarkEnd w:id="237"/>
      <w:bookmarkEnd w:id="238"/>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(1)环境影响评价将根据本项目的工程特点和污染特征，坚持为项目建设的环保工作优化和决策服务，为环境管理服务，注重评价工作的政策性、针对性、客观性、公正性及实用性。评价内容做到重点突出，对策可行，结论明确；</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(2)认真贯彻</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循环经济</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原则，注重变末端治理为生产的全过程控制，最大限度地减少污染物排放；</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(3)在充分调研和评价建设项目对环境产生的影响基础上，提出切实可行的污染防治对策，并使其成为环境管理的依据；</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(4)在实际工作中，既要严格按照生态环境部关于建设项目环境影响评价的要求，又要充分考虑建设项目特点和有关因素，缩短评价周期，尽量利用已有监测数据和资料；</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(5)充分利用近年来在建设项目所在地取得的环境监测、环境管理等方面的成果，进行该项目的环境影响评价</w:t>
      </w:r>
      <w:r>
        <w:rPr>
          <w:rFonts w:hint="default" w:ascii="Times New Roman" w:hAnsi="Times New Roman" w:eastAsia="宋体" w:cs="Times New Roman"/>
          <w:color w:val="auto"/>
          <w:spacing w:val="0"/>
          <w:w w:val="100"/>
          <w:kern w:val="0"/>
          <w:position w:val="0"/>
          <w:sz w:val="24"/>
          <w:highlight w:val="none"/>
          <w:lang w:eastAsia="zh-CN"/>
        </w:rPr>
        <w:t>工作</w:t>
      </w:r>
      <w:r>
        <w:rPr>
          <w:rFonts w:hint="default" w:ascii="Times New Roman" w:hAnsi="Times New Roman" w:eastAsia="宋体" w:cs="Times New Roman"/>
          <w:color w:val="auto"/>
          <w:spacing w:val="0"/>
          <w:w w:val="100"/>
          <w:kern w:val="0"/>
          <w:position w:val="0"/>
          <w:sz w:val="24"/>
          <w:highlight w:val="none"/>
        </w:rPr>
        <w:t>。</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rPr>
      </w:pPr>
      <w:bookmarkStart w:id="247" w:name="_Toc21409"/>
      <w:bookmarkStart w:id="248" w:name="_Toc12321"/>
      <w:bookmarkStart w:id="249" w:name="_Toc21167_WPSOffice_Level1"/>
      <w:bookmarkStart w:id="250" w:name="_Toc22696"/>
      <w:bookmarkStart w:id="251" w:name="_Toc19939"/>
      <w:bookmarkStart w:id="252" w:name="_Toc2677"/>
      <w:bookmarkStart w:id="253" w:name="_Toc7652"/>
      <w:bookmarkStart w:id="254" w:name="_Toc6568"/>
      <w:bookmarkStart w:id="255" w:name="_Toc12384"/>
      <w:bookmarkStart w:id="256" w:name="_Toc31753"/>
      <w:bookmarkStart w:id="257" w:name="_Toc16220_WPSOffice_Level1"/>
      <w:r>
        <w:rPr>
          <w:rFonts w:hint="default" w:ascii="Times New Roman" w:hAnsi="Times New Roman" w:eastAsia="宋体" w:cs="Times New Roman"/>
          <w:snapToGrid w:val="0"/>
          <w:color w:val="auto"/>
          <w:spacing w:val="0"/>
          <w:w w:val="100"/>
          <w:kern w:val="0"/>
          <w:position w:val="0"/>
          <w:highlight w:val="none"/>
          <w:lang w:val="en-US" w:eastAsia="zh-CN"/>
        </w:rPr>
        <w:t>1</w:t>
      </w:r>
      <w:r>
        <w:rPr>
          <w:rFonts w:hint="default" w:ascii="Times New Roman" w:hAnsi="Times New Roman" w:eastAsia="宋体" w:cs="Times New Roman"/>
          <w:snapToGrid w:val="0"/>
          <w:color w:val="auto"/>
          <w:spacing w:val="0"/>
          <w:w w:val="100"/>
          <w:kern w:val="0"/>
          <w:position w:val="0"/>
          <w:highlight w:val="none"/>
        </w:rPr>
        <w:t>.4评价标准</w:t>
      </w:r>
      <w:bookmarkEnd w:id="247"/>
      <w:bookmarkEnd w:id="248"/>
      <w:bookmarkEnd w:id="249"/>
      <w:bookmarkEnd w:id="250"/>
      <w:bookmarkEnd w:id="251"/>
      <w:bookmarkEnd w:id="252"/>
      <w:bookmarkEnd w:id="253"/>
      <w:bookmarkEnd w:id="254"/>
      <w:bookmarkEnd w:id="255"/>
      <w:bookmarkEnd w:id="256"/>
      <w:bookmarkEnd w:id="257"/>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258" w:name="_Toc1092"/>
      <w:bookmarkStart w:id="259" w:name="_Toc32241_WPSOffice_Level2"/>
      <w:bookmarkStart w:id="260" w:name="_Toc10176_WPSOffice_Level2"/>
      <w:bookmarkStart w:id="261" w:name="_Toc19347"/>
      <w:bookmarkStart w:id="262" w:name="_Toc9361"/>
      <w:bookmarkStart w:id="263" w:name="_Toc12781"/>
      <w:bookmarkStart w:id="264" w:name="_Toc27305"/>
      <w:bookmarkStart w:id="265" w:name="_Toc23469"/>
      <w:bookmarkStart w:id="266" w:name="_Toc15359"/>
      <w:bookmarkStart w:id="267" w:name="_Toc21130"/>
      <w:bookmarkStart w:id="268" w:name="_Toc32219"/>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.4.1区域环境功能区划</w:t>
      </w:r>
      <w:bookmarkEnd w:id="258"/>
      <w:bookmarkEnd w:id="259"/>
      <w:bookmarkEnd w:id="260"/>
      <w:bookmarkEnd w:id="261"/>
      <w:bookmarkEnd w:id="262"/>
      <w:bookmarkEnd w:id="263"/>
      <w:bookmarkEnd w:id="264"/>
      <w:bookmarkEnd w:id="265"/>
      <w:bookmarkEnd w:id="266"/>
      <w:bookmarkEnd w:id="267"/>
      <w:bookmarkEnd w:id="268"/>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269" w:name="_Toc4941_WPSOffice_Level3"/>
      <w:bookmarkStart w:id="270" w:name="_Toc7054_WPSOffice_Level3"/>
      <w:r>
        <w:rPr>
          <w:rFonts w:hint="default" w:ascii="Times New Roman" w:hAnsi="Times New Roman" w:eastAsia="宋体" w:cs="Times New Roman"/>
          <w:color w:val="auto"/>
          <w:spacing w:val="0"/>
          <w:w w:val="100"/>
          <w:kern w:val="0"/>
          <w:position w:val="0"/>
          <w:sz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highlight w:val="none"/>
          <w:lang w:val="en-US" w:eastAsia="zh-CN"/>
        </w:rPr>
        <w:instrText xml:space="preserve"> = 1 \* GB2 \* MERGEFORMAT </w:instrText>
      </w:r>
      <w:r>
        <w:rPr>
          <w:rFonts w:hint="default" w:ascii="Times New Roman" w:hAnsi="Times New Roman" w:eastAsia="宋体" w:cs="Times New Roman"/>
          <w:color w:val="auto"/>
          <w:spacing w:val="0"/>
          <w:w w:val="100"/>
          <w:kern w:val="0"/>
          <w:position w:val="0"/>
          <w:sz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highlight w:val="none"/>
        </w:rPr>
        <w:t>大气环境功能区划</w:t>
      </w:r>
      <w:bookmarkEnd w:id="269"/>
      <w:bookmarkEnd w:id="270"/>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w:t>
      </w:r>
      <w:r>
        <w:rPr>
          <w:rFonts w:hint="default" w:ascii="Times New Roman" w:hAnsi="Times New Roman" w:eastAsia="宋体" w:cs="Times New Roman"/>
          <w:color w:val="auto"/>
          <w:spacing w:val="0"/>
          <w:w w:val="100"/>
          <w:kern w:val="0"/>
          <w:position w:val="0"/>
          <w:sz w:val="24"/>
          <w:highlight w:val="none"/>
          <w:lang w:eastAsia="zh-CN"/>
        </w:rPr>
        <w:t>环境空气质量标准</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GB3095-2012</w:t>
      </w:r>
      <w:r>
        <w:rPr>
          <w:rFonts w:hint="default" w:ascii="Times New Roman" w:hAnsi="Times New Roman" w:eastAsia="宋体" w:cs="Times New Roman"/>
          <w:color w:val="auto"/>
          <w:spacing w:val="0"/>
          <w:w w:val="100"/>
          <w:kern w:val="0"/>
          <w:position w:val="0"/>
          <w:sz w:val="24"/>
          <w:highlight w:val="none"/>
          <w:lang w:eastAsia="zh-CN"/>
        </w:rPr>
        <w:t>）、《环境空气质量功能区划分原则与技术方法》（</w:t>
      </w:r>
      <w:r>
        <w:rPr>
          <w:rFonts w:hint="default" w:ascii="Times New Roman" w:hAnsi="Times New Roman" w:eastAsia="宋体" w:cs="Times New Roman"/>
          <w:color w:val="auto"/>
          <w:spacing w:val="0"/>
          <w:w w:val="100"/>
          <w:kern w:val="0"/>
          <w:position w:val="0"/>
          <w:sz w:val="24"/>
          <w:highlight w:val="none"/>
          <w:lang w:val="en-US" w:eastAsia="zh-CN"/>
        </w:rPr>
        <w:t>HJ14-1996</w:t>
      </w:r>
      <w:r>
        <w:rPr>
          <w:rFonts w:hint="default" w:ascii="Times New Roman" w:hAnsi="Times New Roman" w:eastAsia="宋体" w:cs="Times New Roman"/>
          <w:color w:val="auto"/>
          <w:spacing w:val="0"/>
          <w:w w:val="100"/>
          <w:kern w:val="0"/>
          <w:position w:val="0"/>
          <w:sz w:val="24"/>
          <w:highlight w:val="none"/>
          <w:lang w:eastAsia="zh-CN"/>
        </w:rPr>
        <w:t>）环境空气功能区分类界定</w:t>
      </w:r>
      <w:r>
        <w:rPr>
          <w:rFonts w:hint="default" w:ascii="Times New Roman" w:hAnsi="Times New Roman" w:eastAsia="宋体" w:cs="Times New Roman"/>
          <w:color w:val="auto"/>
          <w:spacing w:val="0"/>
          <w:w w:val="100"/>
          <w:kern w:val="0"/>
          <w:position w:val="0"/>
          <w:sz w:val="24"/>
          <w:highlight w:val="none"/>
        </w:rPr>
        <w:t>，本项目位于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highlight w:val="none"/>
        </w:rPr>
        <w:t>，所在区域属于环境空气二类功能区。</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271" w:name="_Toc16220_WPSOffice_Level3"/>
      <w:bookmarkStart w:id="272" w:name="_Toc21167_WPSOffice_Level3"/>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地表水环境功能区划</w:t>
      </w:r>
      <w:bookmarkEnd w:id="271"/>
      <w:bookmarkEnd w:id="272"/>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本项目评价范围内主要地表水体为苦水河</w:t>
      </w:r>
      <w:r>
        <w:rPr>
          <w:rFonts w:hint="eastAsia" w:ascii="Times New Roman" w:hAnsi="Times New Roman"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苦水河的水环境质量目标类别为《地表水环境质量标准》（GB3838-2002）IV类水体。</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273" w:name="_Toc6026_WPSOffice_Level3"/>
      <w:bookmarkStart w:id="274" w:name="_Toc1634_WPSOffice_Level3"/>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⑶</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地下水环境功能区划</w:t>
      </w:r>
      <w:bookmarkEnd w:id="273"/>
      <w:bookmarkEnd w:id="274"/>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根据《地下水质量标准》（GB/T14848-2017）地下水质量分类</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以人体健康基准值为依据</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的要求，主要适用于集中式生活饮用水水源及工、农业用水的地下水为Ⅲ类水质，所以本项目区域地下水执行《地下水质量标准》（GB/T14848-2017）中的Ⅲ类标准。</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bookmarkStart w:id="275" w:name="_Toc4329_WPSOffice_Level3"/>
      <w:bookmarkStart w:id="276" w:name="_Toc5676_WPSOffice_Level3"/>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⑷</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声环境功能区划</w:t>
      </w:r>
      <w:bookmarkEnd w:id="275"/>
      <w:bookmarkEnd w:id="276"/>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highlight w:val="none"/>
        </w:rPr>
        <w:t>，根据《声环境质量标准》（GB3096-2008）的规定和项目周围的环境状况，项目区域属于</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类声环境功能区。</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277" w:name="_Toc23344"/>
      <w:bookmarkStart w:id="278" w:name="_Toc8168_WPSOffice_Level2"/>
      <w:bookmarkStart w:id="279" w:name="_Toc14292"/>
      <w:bookmarkStart w:id="280" w:name="_Toc28883"/>
      <w:bookmarkStart w:id="281" w:name="_Toc7993"/>
      <w:bookmarkStart w:id="282" w:name="_Toc23151"/>
      <w:bookmarkStart w:id="283" w:name="_Toc31862"/>
      <w:bookmarkStart w:id="284" w:name="_Toc20496"/>
      <w:bookmarkStart w:id="285" w:name="_Toc9380"/>
      <w:bookmarkStart w:id="286" w:name="_Toc31790"/>
      <w:bookmarkStart w:id="287" w:name="_Toc8474_WPSOffice_Level2"/>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.4.2环境质量标准</w:t>
      </w:r>
      <w:bookmarkEnd w:id="277"/>
      <w:bookmarkEnd w:id="278"/>
      <w:bookmarkEnd w:id="279"/>
      <w:bookmarkEnd w:id="280"/>
      <w:bookmarkEnd w:id="281"/>
      <w:bookmarkEnd w:id="282"/>
      <w:bookmarkEnd w:id="283"/>
      <w:bookmarkEnd w:id="284"/>
      <w:bookmarkEnd w:id="285"/>
      <w:bookmarkEnd w:id="286"/>
      <w:bookmarkEnd w:id="287"/>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288" w:name="_Toc937_WPSOffice_Level3"/>
      <w:bookmarkStart w:id="289" w:name="_Toc6694_WPSOffice_Level3"/>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.4.2.1环境空气质量标准</w:t>
      </w:r>
      <w:bookmarkEnd w:id="288"/>
      <w:bookmarkEnd w:id="289"/>
    </w:p>
    <w:bookmarkEnd w:id="239"/>
    <w:bookmarkEnd w:id="240"/>
    <w:bookmarkEnd w:id="241"/>
    <w:bookmarkEnd w:id="242"/>
    <w:bookmarkEnd w:id="243"/>
    <w:bookmarkEnd w:id="244"/>
    <w:bookmarkEnd w:id="245"/>
    <w:bookmarkEnd w:id="246"/>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本次大气环境影响评价，评价区域环境空气质量因子SO</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、NO</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、PM</w:t>
      </w:r>
      <w:r>
        <w:rPr>
          <w:rFonts w:hint="default" w:ascii="Times New Roman" w:hAnsi="Times New Roman" w:eastAsia="宋体" w:cs="Times New Roman"/>
          <w:color w:val="auto"/>
          <w:spacing w:val="0"/>
          <w:w w:val="100"/>
          <w:kern w:val="0"/>
          <w:position w:val="0"/>
          <w:sz w:val="24"/>
          <w:highlight w:val="none"/>
          <w:vertAlign w:val="subscript"/>
        </w:rPr>
        <w:t>2.5</w:t>
      </w:r>
      <w:r>
        <w:rPr>
          <w:rFonts w:hint="default" w:ascii="Times New Roman" w:hAnsi="Times New Roman" w:eastAsia="宋体" w:cs="Times New Roman"/>
          <w:color w:val="auto"/>
          <w:spacing w:val="0"/>
          <w:w w:val="100"/>
          <w:kern w:val="0"/>
          <w:position w:val="0"/>
          <w:sz w:val="24"/>
          <w:highlight w:val="none"/>
        </w:rPr>
        <w:t>、PM</w:t>
      </w:r>
      <w:r>
        <w:rPr>
          <w:rFonts w:hint="default" w:ascii="Times New Roman" w:hAnsi="Times New Roman" w:eastAsia="宋体" w:cs="Times New Roman"/>
          <w:color w:val="auto"/>
          <w:spacing w:val="0"/>
          <w:w w:val="100"/>
          <w:kern w:val="0"/>
          <w:position w:val="0"/>
          <w:sz w:val="24"/>
          <w:highlight w:val="none"/>
          <w:vertAlign w:val="subscript"/>
        </w:rPr>
        <w:t>10</w:t>
      </w:r>
      <w:r>
        <w:rPr>
          <w:rFonts w:hint="default" w:ascii="Times New Roman" w:hAnsi="Times New Roman" w:eastAsia="宋体" w:cs="Times New Roman"/>
          <w:color w:val="auto"/>
          <w:spacing w:val="0"/>
          <w:w w:val="100"/>
          <w:kern w:val="0"/>
          <w:position w:val="0"/>
          <w:sz w:val="24"/>
          <w:highlight w:val="none"/>
        </w:rPr>
        <w:t>、TSP</w:t>
      </w:r>
      <w:r>
        <w:rPr>
          <w:rFonts w:hint="default" w:ascii="Times New Roman" w:hAnsi="Times New Roman" w:eastAsia="宋体" w:cs="Times New Roman"/>
          <w:color w:val="auto"/>
          <w:spacing w:val="0"/>
          <w:w w:val="100"/>
          <w:kern w:val="0"/>
          <w:position w:val="0"/>
          <w:sz w:val="24"/>
          <w:highlight w:val="none"/>
          <w:lang w:val="en-US" w:eastAsia="zh-CN"/>
        </w:rPr>
        <w:t>、CO、O</w:t>
      </w:r>
      <w:r>
        <w:rPr>
          <w:rFonts w:hint="default" w:ascii="Times New Roman" w:hAnsi="Times New Roman" w:eastAsia="宋体" w:cs="Times New Roman"/>
          <w:color w:val="auto"/>
          <w:spacing w:val="0"/>
          <w:w w:val="100"/>
          <w:kern w:val="0"/>
          <w:position w:val="0"/>
          <w:sz w:val="24"/>
          <w:highlight w:val="none"/>
          <w:vertAlign w:val="subscript"/>
          <w:lang w:val="en-US" w:eastAsia="zh-CN"/>
        </w:rPr>
        <w:t>3</w:t>
      </w:r>
      <w:r>
        <w:rPr>
          <w:rFonts w:hint="default" w:ascii="Times New Roman" w:hAnsi="Times New Roman" w:eastAsia="宋体" w:cs="Times New Roman"/>
          <w:color w:val="auto"/>
          <w:spacing w:val="0"/>
          <w:w w:val="100"/>
          <w:kern w:val="0"/>
          <w:position w:val="0"/>
          <w:sz w:val="24"/>
          <w:highlight w:val="none"/>
        </w:rPr>
        <w:t>执行《环境空气质量标准》(GB3095-2012)及2018年修改单中二级标准，H</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S、NH</w:t>
      </w:r>
      <w:r>
        <w:rPr>
          <w:rFonts w:hint="default" w:ascii="Times New Roman" w:hAnsi="Times New Roman" w:eastAsia="宋体" w:cs="Times New Roman"/>
          <w:color w:val="auto"/>
          <w:spacing w:val="0"/>
          <w:w w:val="100"/>
          <w:kern w:val="0"/>
          <w:position w:val="0"/>
          <w:sz w:val="24"/>
          <w:highlight w:val="none"/>
          <w:vertAlign w:val="subscript"/>
        </w:rPr>
        <w:t>3</w:t>
      </w:r>
      <w:r>
        <w:rPr>
          <w:rFonts w:hint="default" w:ascii="Times New Roman" w:hAnsi="Times New Roman" w:eastAsia="宋体" w:cs="Times New Roman"/>
          <w:color w:val="auto"/>
          <w:spacing w:val="0"/>
          <w:w w:val="100"/>
          <w:kern w:val="0"/>
          <w:position w:val="0"/>
          <w:sz w:val="24"/>
          <w:highlight w:val="none"/>
        </w:rPr>
        <w:t>参照《环境影响评价技术导则 大气环境》（HJ2.2-2018）中附录D其他污染物空气质量浓度限值。环境空气质量评价因子执行标准见表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.4-1。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表1.4-1   环境空气质量评价因子执行标准一览表</w:t>
      </w:r>
    </w:p>
    <w:tbl>
      <w:tblPr>
        <w:tblStyle w:val="25"/>
        <w:tblW w:w="494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88"/>
        <w:gridCol w:w="1822"/>
        <w:gridCol w:w="1311"/>
        <w:gridCol w:w="1118"/>
        <w:gridCol w:w="32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污染物名称</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取值时间</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浓度限值</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单位</w:t>
            </w:r>
          </w:p>
        </w:tc>
        <w:tc>
          <w:tcPr>
            <w:tcW w:w="32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SO</w:t>
            </w:r>
            <w:r>
              <w:rPr>
                <w:rFonts w:hint="default" w:ascii="Times New Roman" w:hAnsi="Times New Roman" w:eastAsia="宋体" w:cs="Times New Roman"/>
                <w:color w:val="auto"/>
                <w:spacing w:val="0"/>
                <w:w w:val="100"/>
                <w:kern w:val="0"/>
                <w:position w:val="0"/>
                <w:szCs w:val="21"/>
                <w:highlight w:val="none"/>
                <w:vertAlign w:val="subscript"/>
              </w:rPr>
              <w:t>2</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年均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w:t>
            </w:r>
          </w:p>
        </w:tc>
        <w:tc>
          <w:tcPr>
            <w:tcW w:w="111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μg/m</w:t>
            </w:r>
            <w:r>
              <w:rPr>
                <w:rFonts w:hint="default" w:ascii="Times New Roman" w:hAnsi="Times New Roman" w:eastAsia="宋体" w:cs="Times New Roman"/>
                <w:color w:val="auto"/>
                <w:spacing w:val="0"/>
                <w:w w:val="100"/>
                <w:kern w:val="0"/>
                <w:position w:val="0"/>
                <w:szCs w:val="21"/>
                <w:highlight w:val="none"/>
                <w:vertAlign w:val="superscript"/>
              </w:rPr>
              <w:t>3</w:t>
            </w:r>
          </w:p>
        </w:tc>
        <w:tc>
          <w:tcPr>
            <w:tcW w:w="321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《环境空气质量标准》</w:t>
            </w: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(GB3095-2012)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500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PM</w:t>
            </w:r>
            <w:r>
              <w:rPr>
                <w:rFonts w:hint="default" w:ascii="Times New Roman" w:hAnsi="Times New Roman" w:eastAsia="宋体" w:cs="Times New Roman"/>
                <w:color w:val="auto"/>
                <w:spacing w:val="0"/>
                <w:w w:val="100"/>
                <w:kern w:val="0"/>
                <w:position w:val="0"/>
                <w:szCs w:val="21"/>
                <w:highlight w:val="none"/>
                <w:vertAlign w:val="subscript"/>
              </w:rPr>
              <w:t>2.5</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年均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35</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75</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PM</w:t>
            </w:r>
            <w:r>
              <w:rPr>
                <w:rFonts w:hint="default" w:ascii="Times New Roman" w:hAnsi="Times New Roman" w:eastAsia="宋体" w:cs="Times New Roman"/>
                <w:color w:val="auto"/>
                <w:spacing w:val="0"/>
                <w:w w:val="100"/>
                <w:kern w:val="0"/>
                <w:position w:val="0"/>
                <w:szCs w:val="21"/>
                <w:highlight w:val="none"/>
                <w:vertAlign w:val="subscript"/>
              </w:rPr>
              <w:t>10</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年均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NO</w:t>
            </w:r>
            <w:r>
              <w:rPr>
                <w:rFonts w:hint="default" w:ascii="Times New Roman" w:hAnsi="Times New Roman" w:eastAsia="宋体" w:cs="Times New Roman"/>
                <w:color w:val="auto"/>
                <w:spacing w:val="0"/>
                <w:w w:val="100"/>
                <w:kern w:val="0"/>
                <w:position w:val="0"/>
                <w:szCs w:val="21"/>
                <w:highlight w:val="none"/>
                <w:vertAlign w:val="subscript"/>
              </w:rPr>
              <w:t>2</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年均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w:t>
            </w:r>
          </w:p>
        </w:tc>
        <w:tc>
          <w:tcPr>
            <w:tcW w:w="111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TSP</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年均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300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CO</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p>
        </w:tc>
        <w:tc>
          <w:tcPr>
            <w:tcW w:w="111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m</w:t>
            </w:r>
            <w:r>
              <w:rPr>
                <w:rFonts w:hint="default" w:ascii="Times New Roman" w:hAnsi="Times New Roman" w:eastAsia="宋体" w:cs="Times New Roman"/>
                <w:color w:val="auto"/>
                <w:spacing w:val="0"/>
                <w:w w:val="100"/>
                <w:kern w:val="0"/>
                <w:position w:val="0"/>
                <w:szCs w:val="21"/>
                <w:highlight w:val="none"/>
              </w:rPr>
              <w:t>g/m</w:t>
            </w:r>
            <w:r>
              <w:rPr>
                <w:rFonts w:hint="default" w:ascii="Times New Roman" w:hAnsi="Times New Roman" w:eastAsia="宋体" w:cs="Times New Roman"/>
                <w:color w:val="auto"/>
                <w:spacing w:val="0"/>
                <w:w w:val="100"/>
                <w:kern w:val="0"/>
                <w:position w:val="0"/>
                <w:szCs w:val="21"/>
                <w:highlight w:val="none"/>
                <w:vertAlign w:val="superscript"/>
              </w:rPr>
              <w:t>3</w:t>
            </w: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O</w:t>
            </w:r>
            <w:r>
              <w:rPr>
                <w:rFonts w:hint="default" w:ascii="Times New Roman" w:hAnsi="Times New Roman" w:eastAsia="宋体" w:cs="Times New Roman"/>
                <w:color w:val="auto"/>
                <w:spacing w:val="0"/>
                <w:w w:val="100"/>
                <w:kern w:val="0"/>
                <w:position w:val="0"/>
                <w:szCs w:val="21"/>
                <w:highlight w:val="none"/>
                <w:vertAlign w:val="subscript"/>
              </w:rPr>
              <w:t>3</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日最大8小时平均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160</w:t>
            </w:r>
          </w:p>
        </w:tc>
        <w:tc>
          <w:tcPr>
            <w:tcW w:w="111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μg/m</w:t>
            </w:r>
            <w:r>
              <w:rPr>
                <w:rFonts w:hint="default" w:ascii="Times New Roman" w:hAnsi="Times New Roman" w:eastAsia="宋体" w:cs="Times New Roman"/>
                <w:color w:val="auto"/>
                <w:spacing w:val="0"/>
                <w:w w:val="100"/>
                <w:kern w:val="0"/>
                <w:position w:val="0"/>
                <w:szCs w:val="21"/>
                <w:highlight w:val="none"/>
                <w:vertAlign w:val="superscript"/>
              </w:rPr>
              <w:t>3</w:t>
            </w: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H</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S</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参照《环境影响评价技术导则 大气环境》（HJ2.2-2018）中附录D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小时平均</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w:t>
            </w: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2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臭气浓度</w:t>
            </w:r>
          </w:p>
        </w:tc>
        <w:tc>
          <w:tcPr>
            <w:tcW w:w="182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32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检测值仅作为背景值</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290" w:name="1.4.2.2地表水环境质量标准"/>
      <w:bookmarkEnd w:id="290"/>
      <w:bookmarkStart w:id="291" w:name="_Toc16976_WPSOffice_Level3"/>
      <w:bookmarkStart w:id="292" w:name="_Toc30414_WPSOffice_Level3"/>
      <w:r>
        <w:rPr>
          <w:rFonts w:hint="default" w:ascii="Times New Roman" w:hAnsi="Times New Roman" w:eastAsia="宋体" w:cs="Times New Roman"/>
          <w:b/>
          <w:color w:val="auto"/>
          <w:spacing w:val="0"/>
          <w:w w:val="100"/>
          <w:kern w:val="0"/>
          <w:position w:val="0"/>
          <w:sz w:val="24"/>
          <w:highlight w:val="none"/>
          <w:lang w:val="en-US" w:eastAsia="zh-CN"/>
        </w:rPr>
        <w:t>1.4.2.2地表水环境质量标准</w:t>
      </w:r>
    </w:p>
    <w:p>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t>评价区域主要地表水体苦水河执行《地表水环境质量标准》（GB3838-2002）Ⅳ类标准，标准限值详见表1.4-2。</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表1.4-2</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地表水环境质量评价执行标准</w:t>
      </w:r>
    </w:p>
    <w:tbl>
      <w:tblPr>
        <w:tblStyle w:val="25"/>
        <w:tblW w:w="0" w:type="auto"/>
        <w:tblInd w:w="89" w:type="dxa"/>
        <w:tblLayout w:type="fixed"/>
        <w:tblCellMar>
          <w:top w:w="0" w:type="dxa"/>
          <w:left w:w="0" w:type="dxa"/>
          <w:bottom w:w="0" w:type="dxa"/>
          <w:right w:w="0" w:type="dxa"/>
        </w:tblCellMar>
      </w:tblPr>
      <w:tblGrid>
        <w:gridCol w:w="801"/>
        <w:gridCol w:w="1961"/>
        <w:gridCol w:w="1900"/>
        <w:gridCol w:w="2011"/>
        <w:gridCol w:w="2224"/>
      </w:tblGrid>
      <w:tr>
        <w:trPr>
          <w:trHeight w:val="382" w:hRule="exact"/>
        </w:trPr>
        <w:tc>
          <w:tcPr>
            <w:tcW w:w="801" w:type="dxa"/>
            <w:tcBorders>
              <w:top w:val="single" w:color="000000" w:sz="12"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序号</w:t>
            </w:r>
          </w:p>
        </w:tc>
        <w:tc>
          <w:tcPr>
            <w:tcW w:w="196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w:t>
            </w:r>
          </w:p>
        </w:tc>
        <w:tc>
          <w:tcPr>
            <w:tcW w:w="190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标准限值</w:t>
            </w:r>
          </w:p>
        </w:tc>
        <w:tc>
          <w:tcPr>
            <w:tcW w:w="20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单位</w:t>
            </w:r>
          </w:p>
        </w:tc>
        <w:tc>
          <w:tcPr>
            <w:tcW w:w="2224" w:type="dxa"/>
            <w:tcBorders>
              <w:top w:val="single" w:color="000000" w:sz="12" w:space="0"/>
              <w:left w:val="single" w:color="000000" w:sz="4" w:space="0"/>
              <w:bottom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标准来源</w:t>
            </w:r>
          </w:p>
        </w:tc>
      </w:tr>
      <w:tr>
        <w:tblPrEx>
          <w:tblCellMar>
            <w:top w:w="0" w:type="dxa"/>
            <w:left w:w="0" w:type="dxa"/>
            <w:bottom w:w="0" w:type="dxa"/>
            <w:right w:w="0" w:type="dxa"/>
          </w:tblCellMar>
        </w:tblPrEx>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水温</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2224" w:type="dxa"/>
            <w:vMerge w:val="restart"/>
            <w:tcBorders>
              <w:top w:val="single" w:color="000000" w:sz="4" w:space="0"/>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《地表水环境质量标 准》（GB3838-2002）</w:t>
            </w: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中的Ⅳ类标准</w:t>
            </w: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pH</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6-9（无量纲）</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无量纲</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CellMar>
            <w:top w:w="0" w:type="dxa"/>
            <w:left w:w="0" w:type="dxa"/>
            <w:bottom w:w="0" w:type="dxa"/>
            <w:right w:w="0" w:type="dxa"/>
          </w:tblCellMar>
        </w:tblPrEx>
        <w:trPr>
          <w:trHeight w:val="325"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溶解氧</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高锰酸盐指数</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化学需氧量</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30</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氨氮</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总磷</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0.3</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72"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总氮</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铜</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锌</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11</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铅</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12</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镉</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0.005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13</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生化需氧量</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14</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砷</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0.1</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硒</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0.02</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16</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汞</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0.001</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17</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六价铬</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18</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氟化物</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19</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氰化物</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0.2</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挥发酚</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0.01</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21</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石油类</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53"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22</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阴离子表面活性剂</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0.3</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82" w:hRule="exact"/>
        </w:trPr>
        <w:tc>
          <w:tcPr>
            <w:tcW w:w="801"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23</w:t>
            </w:r>
          </w:p>
        </w:tc>
        <w:tc>
          <w:tcPr>
            <w:tcW w:w="19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硫化物</w:t>
            </w:r>
          </w:p>
        </w:tc>
        <w:tc>
          <w:tcPr>
            <w:tcW w:w="190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0.5</w:t>
            </w:r>
          </w:p>
        </w:tc>
        <w:tc>
          <w:tcPr>
            <w:tcW w:w="201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mg/L</w:t>
            </w:r>
          </w:p>
        </w:tc>
        <w:tc>
          <w:tcPr>
            <w:tcW w:w="2224" w:type="dxa"/>
            <w:vMerge w:val="continue"/>
            <w:tcBorders>
              <w:left w:val="single" w:color="000000" w:sz="4"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rPr>
          <w:trHeight w:val="392" w:hRule="exact"/>
        </w:trPr>
        <w:tc>
          <w:tcPr>
            <w:tcW w:w="801" w:type="dxa"/>
            <w:tcBorders>
              <w:top w:val="single" w:color="000000" w:sz="4" w:space="0"/>
              <w:left w:val="single" w:color="000000" w:sz="12" w:space="0"/>
              <w:bottom w:val="single" w:color="000000" w:sz="12"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24</w:t>
            </w:r>
          </w:p>
        </w:tc>
        <w:tc>
          <w:tcPr>
            <w:tcW w:w="196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粪大肠杆菌</w:t>
            </w:r>
          </w:p>
        </w:tc>
        <w:tc>
          <w:tcPr>
            <w:tcW w:w="1900"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2000</w:t>
            </w:r>
          </w:p>
        </w:tc>
        <w:tc>
          <w:tcPr>
            <w:tcW w:w="201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个/L</w:t>
            </w:r>
          </w:p>
        </w:tc>
        <w:tc>
          <w:tcPr>
            <w:tcW w:w="2224" w:type="dxa"/>
            <w:vMerge w:val="continue"/>
            <w:tcBorders>
              <w:left w:val="single" w:color="000000" w:sz="4" w:space="0"/>
              <w:bottom w:val="single" w:color="000000" w:sz="12"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.4.2.</w:t>
      </w:r>
      <w:bookmarkEnd w:id="291"/>
      <w:bookmarkEnd w:id="292"/>
      <w:r>
        <w:rPr>
          <w:rFonts w:hint="default" w:ascii="Times New Roman" w:hAnsi="Times New Roman" w:eastAsia="宋体" w:cs="Times New Roman"/>
          <w:b/>
          <w:color w:val="auto"/>
          <w:spacing w:val="0"/>
          <w:w w:val="100"/>
          <w:kern w:val="0"/>
          <w:position w:val="0"/>
          <w:sz w:val="24"/>
          <w:highlight w:val="none"/>
          <w:lang w:val="en-US" w:eastAsia="zh-CN"/>
        </w:rPr>
        <w:t>3</w:t>
      </w:r>
      <w:r>
        <w:rPr>
          <w:rFonts w:hint="default" w:ascii="Times New Roman" w:hAnsi="Times New Roman" w:eastAsia="宋体" w:cs="Times New Roman"/>
          <w:b/>
          <w:color w:val="auto"/>
          <w:spacing w:val="0"/>
          <w:w w:val="100"/>
          <w:kern w:val="0"/>
          <w:position w:val="0"/>
          <w:sz w:val="24"/>
          <w:highlight w:val="none"/>
        </w:rPr>
        <w:t>地下水环境质量标准</w:t>
      </w:r>
    </w:p>
    <w:p>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val="zh-CN"/>
        </w:rPr>
        <w:t>本项目属于奶牛养殖，位于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highlight w:val="none"/>
          <w:lang w:val="zh-CN"/>
        </w:rPr>
        <w:t>，按照该区域地下水环境，</w:t>
      </w:r>
      <w:r>
        <w:rPr>
          <w:rFonts w:hint="default" w:ascii="Times New Roman" w:hAnsi="Times New Roman" w:eastAsia="宋体" w:cs="Times New Roman"/>
          <w:color w:val="auto"/>
          <w:spacing w:val="0"/>
          <w:w w:val="100"/>
          <w:kern w:val="0"/>
          <w:position w:val="0"/>
          <w:sz w:val="24"/>
          <w:highlight w:val="none"/>
        </w:rPr>
        <w:t>评价区域地下水环境质量执行《地下水质量标准》(GB/T14848-2017)Ⅲ类标准。地下水质量评价执行标准见表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.4-</w:t>
      </w:r>
      <w:r>
        <w:rPr>
          <w:rFonts w:hint="default" w:ascii="Times New Roman" w:hAnsi="Times New Roman" w:cs="Times New Roman"/>
          <w:color w:val="auto"/>
          <w:spacing w:val="0"/>
          <w:w w:val="100"/>
          <w:kern w:val="0"/>
          <w:position w:val="0"/>
          <w:sz w:val="24"/>
          <w:highlight w:val="none"/>
          <w:lang w:val="en-US" w:eastAsia="zh-CN"/>
        </w:rPr>
        <w:t>3</w:t>
      </w:r>
      <w:r>
        <w:rPr>
          <w:rFonts w:hint="default" w:ascii="Times New Roman" w:hAnsi="Times New Roman" w:eastAsia="宋体" w:cs="Times New Roman"/>
          <w:color w:val="auto"/>
          <w:spacing w:val="0"/>
          <w:w w:val="100"/>
          <w:kern w:val="0"/>
          <w:position w:val="0"/>
          <w:sz w:val="24"/>
          <w:highlight w:val="none"/>
        </w:rPr>
        <w:t>。</w:t>
      </w:r>
    </w:p>
    <w:p>
      <w:pPr>
        <w:pStyle w:val="32"/>
        <w:rPr>
          <w:rFonts w:hint="default"/>
          <w:color w:val="auto"/>
        </w:rPr>
      </w:pPr>
    </w:p>
    <w:p>
      <w:pPr>
        <w:rPr>
          <w:rFonts w:hint="default"/>
          <w:color w:val="auto"/>
        </w:rPr>
      </w:pPr>
    </w:p>
    <w:p>
      <w:pPr>
        <w:pStyle w:val="31"/>
        <w:rPr>
          <w:rFonts w:hint="default"/>
          <w:color w:val="auto"/>
        </w:rPr>
      </w:pPr>
    </w:p>
    <w:p>
      <w:pPr>
        <w:pStyle w:val="22"/>
        <w:rPr>
          <w:rFonts w:hint="default"/>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表1.4-3</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地下水质量评价执行标准限值   单位：mg/L</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pH无量纲</w:t>
      </w:r>
    </w:p>
    <w:tbl>
      <w:tblPr>
        <w:tblStyle w:val="25"/>
        <w:tblW w:w="88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1"/>
        <w:gridCol w:w="3173"/>
        <w:gridCol w:w="2114"/>
        <w:gridCol w:w="24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序号</w:t>
            </w:r>
          </w:p>
        </w:tc>
        <w:tc>
          <w:tcPr>
            <w:tcW w:w="317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污染物名称</w:t>
            </w:r>
          </w:p>
        </w:tc>
        <w:tc>
          <w:tcPr>
            <w:tcW w:w="2114"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标准值(mg/L)</w:t>
            </w:r>
          </w:p>
        </w:tc>
        <w:tc>
          <w:tcPr>
            <w:tcW w:w="2450"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w:t>
            </w:r>
          </w:p>
        </w:tc>
        <w:tc>
          <w:tcPr>
            <w:tcW w:w="3173"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pH</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≤6.5～8.5</w:t>
            </w:r>
          </w:p>
        </w:tc>
        <w:tc>
          <w:tcPr>
            <w:tcW w:w="245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《地下水质量标准》(GB/T14848-2017)</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Ⅲ类标准要求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2</w:t>
            </w:r>
          </w:p>
        </w:tc>
        <w:tc>
          <w:tcPr>
            <w:tcW w:w="3173" w:type="dxa"/>
            <w:noWrap w:val="0"/>
            <w:vAlign w:val="center"/>
          </w:tcPr>
          <w:p>
            <w:pPr>
              <w:keepNext w:val="0"/>
              <w:keepLines w:val="0"/>
              <w:pageBreakBefore w:val="0"/>
              <w:kinsoku/>
              <w:wordWrap/>
              <w:overflowPunct/>
              <w:topLinePunct w:val="0"/>
              <w:autoSpaceDE/>
              <w:autoSpaceDN/>
              <w:bidi w:val="0"/>
              <w:snapToGrid w:val="0"/>
              <w:spacing w:line="240" w:lineRule="exact"/>
              <w:jc w:val="both"/>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总硬度（以CaCO</w:t>
            </w:r>
            <w:r>
              <w:rPr>
                <w:rFonts w:hint="default" w:ascii="Times New Roman" w:hAnsi="Times New Roman" w:eastAsia="宋体" w:cs="Times New Roman"/>
                <w:color w:val="auto"/>
                <w:spacing w:val="0"/>
                <w:w w:val="100"/>
                <w:kern w:val="0"/>
                <w:position w:val="0"/>
                <w:szCs w:val="21"/>
                <w:highlight w:val="none"/>
                <w:vertAlign w:val="subscript"/>
              </w:rPr>
              <w:t>3</w:t>
            </w:r>
            <w:r>
              <w:rPr>
                <w:rFonts w:hint="default" w:ascii="Times New Roman" w:hAnsi="Times New Roman" w:eastAsia="宋体" w:cs="Times New Roman"/>
                <w:color w:val="auto"/>
                <w:spacing w:val="0"/>
                <w:w w:val="100"/>
                <w:kern w:val="0"/>
                <w:position w:val="0"/>
                <w:szCs w:val="21"/>
                <w:highlight w:val="none"/>
              </w:rPr>
              <w:t>计）</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≤450mg/L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3</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溶解性总固体</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4</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硫酸盐</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≤250mg/L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5</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氯化物</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≤250mg/L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6</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铁（Fe）</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≤0.3mg/L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7</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锰（Mn）</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≤0.1mg/L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8</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both"/>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挥发性酚类（以苯酚计）</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≤0.002mg/L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9</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耗氧量（COD</w:t>
            </w:r>
            <w:r>
              <w:rPr>
                <w:rFonts w:hint="default" w:ascii="Times New Roman" w:hAnsi="Times New Roman" w:eastAsia="宋体" w:cs="Times New Roman"/>
                <w:color w:val="auto"/>
                <w:spacing w:val="0"/>
                <w:w w:val="100"/>
                <w:kern w:val="0"/>
                <w:position w:val="0"/>
                <w:szCs w:val="21"/>
                <w:highlight w:val="none"/>
                <w:vertAlign w:val="subscript"/>
                <w:lang w:val="en-US" w:eastAsia="zh-CN"/>
              </w:rPr>
              <w:t>Mn</w:t>
            </w:r>
            <w:r>
              <w:rPr>
                <w:rFonts w:hint="default" w:ascii="Times New Roman" w:hAnsi="Times New Roman" w:eastAsia="宋体" w:cs="Times New Roman"/>
                <w:color w:val="auto"/>
                <w:spacing w:val="0"/>
                <w:w w:val="100"/>
                <w:kern w:val="0"/>
                <w:position w:val="0"/>
                <w:szCs w:val="21"/>
                <w:highlight w:val="none"/>
                <w:lang w:val="en-US" w:eastAsia="zh-CN"/>
              </w:rPr>
              <w:t>法，以O</w:t>
            </w:r>
            <w:r>
              <w:rPr>
                <w:rFonts w:hint="default" w:ascii="Times New Roman" w:hAnsi="Times New Roman" w:eastAsia="宋体" w:cs="Times New Roman"/>
                <w:color w:val="auto"/>
                <w:spacing w:val="0"/>
                <w:w w:val="100"/>
                <w:kern w:val="0"/>
                <w:position w:val="0"/>
                <w:szCs w:val="21"/>
                <w:highlight w:val="none"/>
                <w:vertAlign w:val="subscript"/>
                <w:lang w:val="en-US" w:eastAsia="zh-CN"/>
              </w:rPr>
              <w:t>2</w:t>
            </w:r>
            <w:r>
              <w:rPr>
                <w:rFonts w:hint="default" w:ascii="Times New Roman" w:hAnsi="Times New Roman" w:eastAsia="宋体" w:cs="Times New Roman"/>
                <w:color w:val="auto"/>
                <w:spacing w:val="0"/>
                <w:w w:val="100"/>
                <w:kern w:val="0"/>
                <w:position w:val="0"/>
                <w:szCs w:val="21"/>
                <w:highlight w:val="none"/>
                <w:lang w:val="en-US" w:eastAsia="zh-CN"/>
              </w:rPr>
              <w:t>计）</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3.0</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10</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硝酸盐（以N计）</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11</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亚硝酸盐（以N计）</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1.00</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12</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氨氮（</w:t>
            </w:r>
            <w:r>
              <w:rPr>
                <w:rFonts w:hint="default" w:ascii="Times New Roman" w:hAnsi="Times New Roman" w:eastAsia="宋体" w:cs="Times New Roman"/>
                <w:color w:val="auto"/>
                <w:spacing w:val="0"/>
                <w:w w:val="100"/>
                <w:kern w:val="0"/>
                <w:position w:val="0"/>
                <w:szCs w:val="21"/>
                <w:highlight w:val="none"/>
                <w:lang w:val="en-US" w:eastAsia="zh-CN"/>
              </w:rPr>
              <w:t>以N计</w:t>
            </w:r>
            <w:r>
              <w:rPr>
                <w:rFonts w:hint="default" w:ascii="Times New Roman" w:hAnsi="Times New Roman" w:eastAsia="宋体" w:cs="Times New Roman"/>
                <w:color w:val="auto"/>
                <w:spacing w:val="0"/>
                <w:w w:val="100"/>
                <w:kern w:val="0"/>
                <w:position w:val="0"/>
                <w:szCs w:val="21"/>
                <w:highlight w:val="none"/>
              </w:rPr>
              <w:t>）</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r>
              <w:rPr>
                <w:rFonts w:hint="default" w:ascii="Times New Roman" w:hAnsi="Times New Roman" w:eastAsia="宋体" w:cs="Times New Roman"/>
                <w:color w:val="auto"/>
                <w:spacing w:val="0"/>
                <w:w w:val="100"/>
                <w:kern w:val="0"/>
                <w:position w:val="0"/>
                <w:szCs w:val="21"/>
                <w:highlight w:val="none"/>
                <w:lang w:val="en-US" w:eastAsia="zh-CN"/>
              </w:rPr>
              <w:t>5</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13</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氟化物</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14</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氰化物</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≤0.05mg/L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15</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汞（Hg）</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≤0.001mg/L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16</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砷（As）</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17</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镉（Cd）</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w:t>
            </w:r>
            <w:r>
              <w:rPr>
                <w:rFonts w:hint="default" w:ascii="Times New Roman" w:hAnsi="Times New Roman" w:eastAsia="宋体" w:cs="Times New Roman"/>
                <w:color w:val="auto"/>
                <w:spacing w:val="0"/>
                <w:w w:val="100"/>
                <w:kern w:val="0"/>
                <w:position w:val="0"/>
                <w:szCs w:val="21"/>
                <w:highlight w:val="none"/>
                <w:lang w:val="en-US" w:eastAsia="zh-CN"/>
              </w:rPr>
              <w:t>05</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18</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铬（Cr</w:t>
            </w:r>
            <w:r>
              <w:rPr>
                <w:rFonts w:hint="default" w:ascii="Times New Roman" w:hAnsi="Times New Roman" w:eastAsia="宋体" w:cs="Times New Roman"/>
                <w:color w:val="auto"/>
                <w:spacing w:val="0"/>
                <w:w w:val="100"/>
                <w:kern w:val="0"/>
                <w:position w:val="0"/>
                <w:szCs w:val="21"/>
                <w:highlight w:val="none"/>
                <w:vertAlign w:val="superscript"/>
              </w:rPr>
              <w:t>6+</w:t>
            </w:r>
            <w:r>
              <w:rPr>
                <w:rFonts w:hint="default" w:ascii="Times New Roman" w:hAnsi="Times New Roman" w:eastAsia="宋体" w:cs="Times New Roman"/>
                <w:color w:val="auto"/>
                <w:spacing w:val="0"/>
                <w:w w:val="100"/>
                <w:kern w:val="0"/>
                <w:position w:val="0"/>
                <w:szCs w:val="21"/>
                <w:highlight w:val="none"/>
              </w:rPr>
              <w:t>）</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≤0.05mg/L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19</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铅（Pb）</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mg/L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20</w:t>
            </w:r>
          </w:p>
        </w:tc>
        <w:tc>
          <w:tcPr>
            <w:tcW w:w="317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总大肠菌群</w:t>
            </w:r>
          </w:p>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（MPN</w:t>
            </w:r>
            <w:r>
              <w:rPr>
                <w:rFonts w:hint="default" w:ascii="Times New Roman" w:hAnsi="Times New Roman" w:eastAsia="宋体" w:cs="Times New Roman"/>
                <w:color w:val="auto"/>
                <w:spacing w:val="0"/>
                <w:w w:val="100"/>
                <w:kern w:val="0"/>
                <w:position w:val="0"/>
                <w:szCs w:val="21"/>
                <w:highlight w:val="none"/>
                <w:vertAlign w:val="superscript"/>
              </w:rPr>
              <w:t>b</w:t>
            </w:r>
            <w:r>
              <w:rPr>
                <w:rFonts w:hint="default" w:ascii="Times New Roman" w:hAnsi="Times New Roman" w:eastAsia="宋体" w:cs="Times New Roman"/>
                <w:color w:val="auto"/>
                <w:spacing w:val="0"/>
                <w:w w:val="100"/>
                <w:kern w:val="0"/>
                <w:position w:val="0"/>
                <w:szCs w:val="21"/>
                <w:highlight w:val="none"/>
              </w:rPr>
              <w:t>/100mL或CFU</w:t>
            </w:r>
            <w:r>
              <w:rPr>
                <w:rFonts w:hint="default" w:ascii="Times New Roman" w:hAnsi="Times New Roman" w:eastAsia="宋体" w:cs="Times New Roman"/>
                <w:color w:val="auto"/>
                <w:spacing w:val="0"/>
                <w:w w:val="100"/>
                <w:kern w:val="0"/>
                <w:position w:val="0"/>
                <w:szCs w:val="21"/>
                <w:highlight w:val="none"/>
                <w:vertAlign w:val="superscript"/>
              </w:rPr>
              <w:t>c</w:t>
            </w:r>
            <w:r>
              <w:rPr>
                <w:rFonts w:hint="default" w:ascii="Times New Roman" w:hAnsi="Times New Roman" w:eastAsia="宋体" w:cs="Times New Roman"/>
                <w:color w:val="auto"/>
                <w:spacing w:val="0"/>
                <w:w w:val="100"/>
                <w:kern w:val="0"/>
                <w:position w:val="0"/>
                <w:szCs w:val="21"/>
                <w:highlight w:val="none"/>
              </w:rPr>
              <w:t>/100mL）</w:t>
            </w:r>
          </w:p>
        </w:tc>
        <w:tc>
          <w:tcPr>
            <w:tcW w:w="2114"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≤3.0个/L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2</w:t>
            </w:r>
            <w:r>
              <w:rPr>
                <w:rFonts w:hint="default" w:ascii="Times New Roman" w:hAnsi="Times New Roman" w:eastAsia="宋体" w:cs="Times New Roman"/>
                <w:bCs/>
                <w:color w:val="auto"/>
                <w:spacing w:val="0"/>
                <w:w w:val="100"/>
                <w:kern w:val="0"/>
                <w:position w:val="0"/>
                <w:szCs w:val="21"/>
                <w:highlight w:val="none"/>
                <w:lang w:val="en-US" w:eastAsia="zh-CN"/>
              </w:rPr>
              <w:t>1</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菌落总数（CFU/mL）</w:t>
            </w:r>
          </w:p>
        </w:tc>
        <w:tc>
          <w:tcPr>
            <w:tcW w:w="211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w:t>
            </w:r>
            <w:r>
              <w:rPr>
                <w:rFonts w:hint="default" w:ascii="Times New Roman" w:hAnsi="Times New Roman" w:eastAsia="宋体" w:cs="Times New Roman"/>
                <w:color w:val="auto"/>
                <w:spacing w:val="0"/>
                <w:w w:val="100"/>
                <w:kern w:val="0"/>
                <w:position w:val="0"/>
                <w:szCs w:val="21"/>
                <w:highlight w:val="none"/>
                <w:lang w:val="en-US" w:eastAsia="zh-CN"/>
              </w:rPr>
              <w:t>CFU</w:t>
            </w:r>
            <w:r>
              <w:rPr>
                <w:rFonts w:hint="default" w:ascii="Times New Roman" w:hAnsi="Times New Roman" w:eastAsia="宋体" w:cs="Times New Roman"/>
                <w:color w:val="auto"/>
                <w:spacing w:val="0"/>
                <w:w w:val="100"/>
                <w:kern w:val="0"/>
                <w:position w:val="0"/>
                <w:szCs w:val="21"/>
                <w:highlight w:val="none"/>
              </w:rPr>
              <w:t>/L</w:t>
            </w:r>
          </w:p>
        </w:tc>
        <w:tc>
          <w:tcPr>
            <w:tcW w:w="24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spacing w:val="0"/>
                <w:w w:val="100"/>
                <w:kern w:val="0"/>
                <w:position w:val="0"/>
                <w:szCs w:val="21"/>
                <w:highlight w:val="none"/>
              </w:rPr>
            </w:pP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1.4.2.4声环境质量标准</w:t>
      </w:r>
    </w:p>
    <w:p>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本次声环境影响评价区域声环境质量执行《声环境质量标准》(GB3096-2008)</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类区标准。声环境质量评价因子执行标准见表1.4-</w:t>
      </w:r>
      <w:r>
        <w:rPr>
          <w:rFonts w:hint="default" w:ascii="Times New Roman" w:hAnsi="Times New Roman" w:cs="Times New Roman"/>
          <w:color w:val="auto"/>
          <w:spacing w:val="0"/>
          <w:w w:val="100"/>
          <w:kern w:val="0"/>
          <w:position w:val="0"/>
          <w:sz w:val="24"/>
          <w:highlight w:val="none"/>
          <w:lang w:val="en-US" w:eastAsia="zh-CN"/>
        </w:rPr>
        <w:t>4</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表1.4-4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声环境质量执行标准   单位：dB(A)</w:t>
      </w:r>
    </w:p>
    <w:tbl>
      <w:tblPr>
        <w:tblStyle w:val="25"/>
        <w:tblW w:w="89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5"/>
        <w:gridCol w:w="1778"/>
        <w:gridCol w:w="1864"/>
        <w:gridCol w:w="3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65" w:type="dxa"/>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评价因子</w:t>
            </w:r>
          </w:p>
        </w:tc>
        <w:tc>
          <w:tcPr>
            <w:tcW w:w="1778" w:type="dxa"/>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标准限值</w:t>
            </w:r>
          </w:p>
        </w:tc>
        <w:tc>
          <w:tcPr>
            <w:tcW w:w="1864" w:type="dxa"/>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单位</w:t>
            </w:r>
          </w:p>
        </w:tc>
        <w:tc>
          <w:tcPr>
            <w:tcW w:w="3531" w:type="dxa"/>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昼间</w:t>
            </w:r>
          </w:p>
        </w:tc>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55</w:t>
            </w:r>
          </w:p>
        </w:tc>
        <w:tc>
          <w:tcPr>
            <w:tcW w:w="18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dB(A)</w:t>
            </w:r>
          </w:p>
        </w:tc>
        <w:tc>
          <w:tcPr>
            <w:tcW w:w="353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《声环境质量标准》（GB3096-2008）中</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类区标准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夜间</w:t>
            </w:r>
          </w:p>
        </w:tc>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45</w:t>
            </w:r>
          </w:p>
        </w:tc>
        <w:tc>
          <w:tcPr>
            <w:tcW w:w="18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dB(A)</w:t>
            </w:r>
          </w:p>
        </w:tc>
        <w:tc>
          <w:tcPr>
            <w:tcW w:w="3531" w:type="dxa"/>
            <w:vMerge w:val="continue"/>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pacing w:val="0"/>
                <w:w w:val="100"/>
                <w:kern w:val="0"/>
                <w:position w:val="0"/>
                <w:szCs w:val="21"/>
                <w:highlight w:val="none"/>
              </w:rPr>
            </w:pP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1.4.2.4土壤环境质量标准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本项目属于奶牛养殖，位于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highlight w:val="none"/>
          <w:lang w:val="zh-CN"/>
        </w:rPr>
        <w:t>，项目用地为设施农用地，项目周边均为农田</w:t>
      </w:r>
      <w:r>
        <w:rPr>
          <w:rFonts w:hint="default" w:ascii="Times New Roman" w:hAnsi="Times New Roman" w:eastAsia="宋体" w:cs="Times New Roman"/>
          <w:color w:val="auto"/>
          <w:spacing w:val="0"/>
          <w:w w:val="100"/>
          <w:kern w:val="0"/>
          <w:position w:val="0"/>
          <w:sz w:val="24"/>
          <w:highlight w:val="none"/>
          <w:lang w:val="zh-CN" w:eastAsia="zh-CN"/>
        </w:rPr>
        <w:t>，</w:t>
      </w:r>
      <w:r>
        <w:rPr>
          <w:rFonts w:hint="default" w:ascii="Times New Roman" w:hAnsi="Times New Roman" w:eastAsia="宋体" w:cs="Times New Roman"/>
          <w:color w:val="auto"/>
          <w:spacing w:val="0"/>
          <w:w w:val="100"/>
          <w:kern w:val="0"/>
          <w:position w:val="0"/>
          <w:sz w:val="24"/>
          <w:highlight w:val="none"/>
          <w:lang w:val="zh-CN"/>
        </w:rPr>
        <w:t>故评价区域土壤环境质量执行《土壤环境质量标准 农用地土壤污染风险管控标准》（GB15618－2018）中的风险筛选值。土壤环境质量评价因子执行标准见表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eastAsia" w:ascii="Times New Roman" w:hAnsi="Times New Roman" w:cs="Times New Roman"/>
          <w:color w:val="auto"/>
          <w:spacing w:val="0"/>
          <w:w w:val="100"/>
          <w:kern w:val="0"/>
          <w:position w:val="0"/>
          <w:sz w:val="24"/>
          <w:highlight w:val="none"/>
          <w:lang w:val="en-US" w:eastAsia="zh-CN"/>
        </w:rPr>
        <w:t>5</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5</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土壤环境质量评价执行标准   单位：mg/kg</w:t>
      </w:r>
    </w:p>
    <w:tbl>
      <w:tblPr>
        <w:tblStyle w:val="25"/>
        <w:tblW w:w="87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851"/>
        <w:gridCol w:w="1881"/>
        <w:gridCol w:w="42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vMerge w:val="restart"/>
            <w:noWrap w:val="0"/>
            <w:vAlign w:val="center"/>
          </w:tcPr>
          <w:p>
            <w:pPr>
              <w:pStyle w:val="39"/>
              <w:spacing w:before="128" w:line="240" w:lineRule="auto"/>
              <w:ind w:firstLine="0" w:firstLineChars="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序号</w:t>
            </w:r>
          </w:p>
        </w:tc>
        <w:tc>
          <w:tcPr>
            <w:tcW w:w="3732" w:type="dxa"/>
            <w:gridSpan w:val="2"/>
            <w:vMerge w:val="restart"/>
            <w:noWrap w:val="0"/>
            <w:vAlign w:val="center"/>
          </w:tcPr>
          <w:p>
            <w:pPr>
              <w:pStyle w:val="39"/>
              <w:spacing w:line="240" w:lineRule="auto"/>
              <w:ind w:firstLine="0" w:firstLineChars="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污染物项目</w:t>
            </w:r>
          </w:p>
        </w:tc>
        <w:tc>
          <w:tcPr>
            <w:tcW w:w="4287" w:type="dxa"/>
            <w:noWrap w:val="0"/>
            <w:vAlign w:val="center"/>
          </w:tcPr>
          <w:p>
            <w:pPr>
              <w:pStyle w:val="39"/>
              <w:spacing w:before="6" w:line="240" w:lineRule="auto"/>
              <w:ind w:firstLine="0" w:firstLineChars="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风险筛选值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vMerge w:val="continue"/>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p>
        </w:tc>
        <w:tc>
          <w:tcPr>
            <w:tcW w:w="3732" w:type="dxa"/>
            <w:gridSpan w:val="2"/>
            <w:vMerge w:val="continue"/>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p>
        </w:tc>
        <w:tc>
          <w:tcPr>
            <w:tcW w:w="4287" w:type="dxa"/>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pH&gt;7.5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before="1"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1851" w:type="dxa"/>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镉</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1851"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汞</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before="1"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1851"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砷</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p>
        </w:tc>
        <w:tc>
          <w:tcPr>
            <w:tcW w:w="1851"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铅</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w:t>
            </w:r>
          </w:p>
        </w:tc>
        <w:tc>
          <w:tcPr>
            <w:tcW w:w="1851"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铬</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before="1"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w:t>
            </w:r>
          </w:p>
        </w:tc>
        <w:tc>
          <w:tcPr>
            <w:tcW w:w="1851"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铜</w:t>
            </w:r>
          </w:p>
        </w:tc>
        <w:tc>
          <w:tcPr>
            <w:tcW w:w="18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w:t>
            </w:r>
          </w:p>
        </w:tc>
        <w:tc>
          <w:tcPr>
            <w:tcW w:w="428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before="51"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w:t>
            </w:r>
          </w:p>
        </w:tc>
        <w:tc>
          <w:tcPr>
            <w:tcW w:w="3732" w:type="dxa"/>
            <w:gridSpan w:val="2"/>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镍</w:t>
            </w:r>
          </w:p>
        </w:tc>
        <w:tc>
          <w:tcPr>
            <w:tcW w:w="4287"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9" w:type="dxa"/>
            <w:noWrap w:val="0"/>
            <w:vAlign w:val="center"/>
          </w:tcPr>
          <w:p>
            <w:pPr>
              <w:pStyle w:val="39"/>
              <w:spacing w:before="51"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w:t>
            </w:r>
          </w:p>
        </w:tc>
        <w:tc>
          <w:tcPr>
            <w:tcW w:w="3732" w:type="dxa"/>
            <w:gridSpan w:val="2"/>
            <w:noWrap w:val="0"/>
            <w:vAlign w:val="center"/>
          </w:tcPr>
          <w:p>
            <w:pPr>
              <w:pStyle w:val="39"/>
              <w:spacing w:line="240" w:lineRule="auto"/>
              <w:ind w:firstLine="0" w:firstLineChars="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锌</w:t>
            </w:r>
          </w:p>
        </w:tc>
        <w:tc>
          <w:tcPr>
            <w:tcW w:w="4287" w:type="dxa"/>
            <w:noWrap w:val="0"/>
            <w:vAlign w:val="center"/>
          </w:tcPr>
          <w:p>
            <w:pPr>
              <w:pStyle w:val="39"/>
              <w:keepNext w:val="0"/>
              <w:keepLines w:val="0"/>
              <w:pageBreakBefore w:val="0"/>
              <w:widowControl w:val="0"/>
              <w:kinsoku/>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18" w:type="dxa"/>
            <w:gridSpan w:val="4"/>
            <w:noWrap w:val="0"/>
            <w:vAlign w:val="center"/>
          </w:tcPr>
          <w:p>
            <w:pPr>
              <w:pStyle w:val="39"/>
              <w:spacing w:line="240" w:lineRule="auto"/>
              <w:ind w:firstLine="0" w:firstLineChars="0"/>
              <w:jc w:val="both"/>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注：①重金属和类金属砷均按元素总量计。</w:t>
            </w:r>
          </w:p>
          <w:p>
            <w:pPr>
              <w:pStyle w:val="39"/>
              <w:spacing w:line="240" w:lineRule="auto"/>
              <w:ind w:firstLine="420"/>
              <w:jc w:val="both"/>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②对于水旱轮作地，采用其中较严格的风险筛选值。</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293" w:name="_Toc26731"/>
      <w:bookmarkStart w:id="294" w:name="_Toc1858"/>
      <w:bookmarkStart w:id="295" w:name="_Toc21966"/>
      <w:bookmarkStart w:id="296" w:name="_Toc31567"/>
      <w:bookmarkStart w:id="297" w:name="_Toc5501"/>
      <w:bookmarkStart w:id="298" w:name="_Toc31826"/>
      <w:bookmarkStart w:id="299" w:name="_Toc17249"/>
      <w:bookmarkStart w:id="300" w:name="_Toc16351"/>
      <w:bookmarkStart w:id="301" w:name="_Toc32059"/>
      <w:bookmarkStart w:id="302" w:name="_Toc20132"/>
      <w:bookmarkStart w:id="303" w:name="_Toc6099"/>
      <w:r>
        <w:rPr>
          <w:rFonts w:hint="default" w:ascii="Times New Roman" w:hAnsi="Times New Roman" w:eastAsia="宋体" w:cs="Times New Roman"/>
          <w:snapToGrid w:val="0"/>
          <w:color w:val="auto"/>
          <w:spacing w:val="0"/>
          <w:w w:val="100"/>
          <w:kern w:val="0"/>
          <w:position w:val="0"/>
          <w:sz w:val="28"/>
          <w:szCs w:val="28"/>
          <w:highlight w:val="none"/>
          <w:lang w:val="en-US" w:eastAsia="zh-CN"/>
        </w:rPr>
        <w:t>1.4.3污染物排放标准</w:t>
      </w:r>
      <w:bookmarkEnd w:id="293"/>
      <w:bookmarkEnd w:id="294"/>
      <w:bookmarkEnd w:id="295"/>
      <w:bookmarkEnd w:id="296"/>
      <w:bookmarkEnd w:id="297"/>
      <w:bookmarkEnd w:id="298"/>
      <w:bookmarkEnd w:id="299"/>
      <w:bookmarkEnd w:id="300"/>
      <w:bookmarkEnd w:id="301"/>
      <w:bookmarkEnd w:id="302"/>
      <w:bookmarkEnd w:id="303"/>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.4.3.1废气</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本项目饲料加工颗粒物排放浓度、排放速率执行《大气污染物综合排放标准》（GB16297-1996）表2中二级标准及无组织排放监控浓度限值要求；臭气浓度执行《畜禽养殖业污染物排放标准》（GB18596-2001）表</w:t>
      </w:r>
      <w:r>
        <w:rPr>
          <w:rFonts w:hint="default" w:ascii="Times New Roman" w:hAnsi="Times New Roman" w:eastAsia="宋体" w:cs="Times New Roman"/>
          <w:color w:val="auto"/>
          <w:spacing w:val="0"/>
          <w:w w:val="100"/>
          <w:kern w:val="0"/>
          <w:position w:val="0"/>
          <w:sz w:val="24"/>
          <w:highlight w:val="none"/>
          <w:lang w:val="en-US" w:eastAsia="zh-CN"/>
        </w:rPr>
        <w:t>7</w:t>
      </w:r>
      <w:r>
        <w:rPr>
          <w:rFonts w:hint="default" w:ascii="Times New Roman" w:hAnsi="Times New Roman" w:eastAsia="宋体" w:cs="Times New Roman"/>
          <w:color w:val="auto"/>
          <w:spacing w:val="0"/>
          <w:w w:val="100"/>
          <w:kern w:val="0"/>
          <w:position w:val="0"/>
          <w:sz w:val="24"/>
          <w:highlight w:val="none"/>
          <w:lang w:val="zh-CN"/>
        </w:rPr>
        <w:t>中标准限值；恶臭污染物NH</w:t>
      </w:r>
      <w:r>
        <w:rPr>
          <w:rFonts w:hint="default" w:ascii="Times New Roman" w:hAnsi="Times New Roman" w:eastAsia="宋体" w:cs="Times New Roman"/>
          <w:color w:val="auto"/>
          <w:spacing w:val="0"/>
          <w:w w:val="100"/>
          <w:kern w:val="0"/>
          <w:position w:val="0"/>
          <w:sz w:val="24"/>
          <w:highlight w:val="none"/>
          <w:vertAlign w:val="subscript"/>
          <w:lang w:val="zh-CN"/>
        </w:rPr>
        <w:t>3</w:t>
      </w:r>
      <w:r>
        <w:rPr>
          <w:rFonts w:hint="default" w:ascii="Times New Roman" w:hAnsi="Times New Roman" w:eastAsia="宋体" w:cs="Times New Roman"/>
          <w:color w:val="auto"/>
          <w:spacing w:val="0"/>
          <w:w w:val="100"/>
          <w:kern w:val="0"/>
          <w:position w:val="0"/>
          <w:sz w:val="24"/>
          <w:highlight w:val="none"/>
          <w:lang w:val="zh-CN"/>
        </w:rPr>
        <w:t>、H</w:t>
      </w:r>
      <w:r>
        <w:rPr>
          <w:rFonts w:hint="default" w:ascii="Times New Roman" w:hAnsi="Times New Roman" w:eastAsia="宋体" w:cs="Times New Roman"/>
          <w:color w:val="auto"/>
          <w:spacing w:val="0"/>
          <w:w w:val="100"/>
          <w:kern w:val="0"/>
          <w:position w:val="0"/>
          <w:sz w:val="24"/>
          <w:highlight w:val="none"/>
          <w:vertAlign w:val="subscript"/>
          <w:lang w:val="zh-CN"/>
        </w:rPr>
        <w:t>2</w:t>
      </w:r>
      <w:r>
        <w:rPr>
          <w:rFonts w:hint="default" w:ascii="Times New Roman" w:hAnsi="Times New Roman" w:eastAsia="宋体" w:cs="Times New Roman"/>
          <w:color w:val="auto"/>
          <w:spacing w:val="0"/>
          <w:w w:val="100"/>
          <w:kern w:val="0"/>
          <w:position w:val="0"/>
          <w:sz w:val="24"/>
          <w:highlight w:val="none"/>
          <w:lang w:val="zh-CN"/>
        </w:rPr>
        <w:t>S执行《恶臭污染物排放标准》（GB14554-93）表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中恶臭污染物场界二级（新改扩建）标准。标准值见表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eastAsia" w:ascii="Times New Roman" w:hAnsi="Times New Roman" w:cs="Times New Roman"/>
          <w:color w:val="auto"/>
          <w:spacing w:val="0"/>
          <w:w w:val="100"/>
          <w:kern w:val="0"/>
          <w:position w:val="0"/>
          <w:sz w:val="24"/>
          <w:highlight w:val="none"/>
          <w:lang w:val="en-US" w:eastAsia="zh-CN"/>
        </w:rPr>
        <w:t>6</w:t>
      </w:r>
      <w:r>
        <w:rPr>
          <w:rFonts w:hint="default" w:ascii="Times New Roman" w:hAnsi="Times New Roman" w:eastAsia="宋体" w:cs="Times New Roman"/>
          <w:color w:val="auto"/>
          <w:spacing w:val="0"/>
          <w:w w:val="100"/>
          <w:kern w:val="0"/>
          <w:position w:val="0"/>
          <w:sz w:val="24"/>
          <w:highlight w:val="none"/>
          <w:lang w:val="zh-CN"/>
        </w:rPr>
        <w:t>、表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eastAsia" w:ascii="Times New Roman" w:hAnsi="Times New Roman" w:cs="Times New Roman"/>
          <w:color w:val="auto"/>
          <w:spacing w:val="0"/>
          <w:w w:val="100"/>
          <w:kern w:val="0"/>
          <w:position w:val="0"/>
          <w:sz w:val="24"/>
          <w:highlight w:val="none"/>
          <w:lang w:val="en-US" w:eastAsia="zh-CN"/>
        </w:rPr>
        <w:t>7</w:t>
      </w:r>
      <w:r>
        <w:rPr>
          <w:rFonts w:hint="default" w:ascii="Times New Roman" w:hAnsi="Times New Roman" w:eastAsia="宋体" w:cs="Times New Roman"/>
          <w:color w:val="auto"/>
          <w:spacing w:val="0"/>
          <w:w w:val="100"/>
          <w:kern w:val="0"/>
          <w:position w:val="0"/>
          <w:sz w:val="24"/>
          <w:highlight w:val="none"/>
          <w:lang w:val="zh-CN"/>
        </w:rPr>
        <w:t>及表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eastAsia" w:ascii="Times New Roman" w:hAnsi="Times New Roman" w:cs="Times New Roman"/>
          <w:color w:val="auto"/>
          <w:spacing w:val="0"/>
          <w:w w:val="100"/>
          <w:kern w:val="0"/>
          <w:position w:val="0"/>
          <w:sz w:val="24"/>
          <w:highlight w:val="none"/>
          <w:lang w:val="en-US" w:eastAsia="zh-CN"/>
        </w:rPr>
        <w:t>8</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6</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大气污染物综合排放标准</w:t>
      </w:r>
    </w:p>
    <w:tbl>
      <w:tblPr>
        <w:tblStyle w:val="25"/>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6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9" w:hRule="atLeast"/>
          <w:jc w:val="center"/>
        </w:trPr>
        <w:tc>
          <w:tcPr>
            <w:tcW w:w="24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污染物</w:t>
            </w:r>
          </w:p>
        </w:tc>
        <w:tc>
          <w:tcPr>
            <w:tcW w:w="657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0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颗粒物</w:t>
            </w:r>
          </w:p>
        </w:tc>
        <w:tc>
          <w:tcPr>
            <w:tcW w:w="657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1.0mg/m</w:t>
            </w:r>
            <w:r>
              <w:rPr>
                <w:rFonts w:hint="default" w:ascii="Times New Roman" w:hAnsi="Times New Roman" w:eastAsia="宋体" w:cs="Times New Roman"/>
                <w:color w:val="auto"/>
                <w:spacing w:val="0"/>
                <w:w w:val="100"/>
                <w:kern w:val="0"/>
                <w:position w:val="0"/>
                <w:szCs w:val="21"/>
                <w:highlight w:val="none"/>
                <w:vertAlign w:val="superscript"/>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7</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畜禽养殖业污染物排放标准</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96"/>
        <w:gridCol w:w="3127"/>
        <w:gridCol w:w="2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296"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控制项目</w:t>
            </w:r>
          </w:p>
        </w:tc>
        <w:tc>
          <w:tcPr>
            <w:tcW w:w="312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标准值</w:t>
            </w:r>
          </w:p>
        </w:tc>
        <w:tc>
          <w:tcPr>
            <w:tcW w:w="2515"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296"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臭气浓度</w:t>
            </w:r>
          </w:p>
        </w:tc>
        <w:tc>
          <w:tcPr>
            <w:tcW w:w="312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w:t>
            </w:r>
          </w:p>
        </w:tc>
        <w:tc>
          <w:tcPr>
            <w:tcW w:w="25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无量纲</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8</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恶臭污染物排放标准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2385"/>
        <w:gridCol w:w="2743"/>
        <w:gridCol w:w="22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6" w:type="dxa"/>
            <w:gridSpan w:val="2"/>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控制项目</w:t>
            </w:r>
          </w:p>
        </w:tc>
        <w:tc>
          <w:tcPr>
            <w:tcW w:w="2782"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标准值</w:t>
            </w:r>
          </w:p>
        </w:tc>
        <w:tc>
          <w:tcPr>
            <w:tcW w:w="2323"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9" w:type="dxa"/>
            <w:vMerge w:val="restart"/>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恶臭污染物</w:t>
            </w:r>
          </w:p>
        </w:tc>
        <w:tc>
          <w:tcPr>
            <w:tcW w:w="24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p>
        </w:tc>
        <w:tc>
          <w:tcPr>
            <w:tcW w:w="2782"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1.5(场界)</w:t>
            </w:r>
          </w:p>
        </w:tc>
        <w:tc>
          <w:tcPr>
            <w:tcW w:w="232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mg/m</w:t>
            </w:r>
            <w:r>
              <w:rPr>
                <w:rFonts w:hint="default" w:ascii="Times New Roman" w:hAnsi="Times New Roman" w:eastAsia="宋体" w:cs="Times New Roman"/>
                <w:color w:val="auto"/>
                <w:spacing w:val="0"/>
                <w:w w:val="100"/>
                <w:kern w:val="0"/>
                <w:position w:val="0"/>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9"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24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H</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S</w:t>
            </w:r>
          </w:p>
        </w:tc>
        <w:tc>
          <w:tcPr>
            <w:tcW w:w="2782"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0.06(场界)</w:t>
            </w:r>
          </w:p>
        </w:tc>
        <w:tc>
          <w:tcPr>
            <w:tcW w:w="232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mg/m</w:t>
            </w:r>
            <w:r>
              <w:rPr>
                <w:rFonts w:hint="default" w:ascii="Times New Roman" w:hAnsi="Times New Roman" w:eastAsia="宋体" w:cs="Times New Roman"/>
                <w:color w:val="auto"/>
                <w:spacing w:val="0"/>
                <w:w w:val="100"/>
                <w:kern w:val="0"/>
                <w:position w:val="0"/>
                <w:szCs w:val="21"/>
                <w:highlight w:val="none"/>
                <w:vertAlign w:val="superscript"/>
              </w:rPr>
              <w:t>3</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4.3.2废水</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left"/>
        <w:textAlignment w:val="auto"/>
        <w:rPr>
          <w:rFonts w:hint="default" w:ascii="Times New Roman" w:hAnsi="Times New Roman" w:eastAsia="宋体" w:cs="Times New Roman"/>
          <w:color w:val="auto"/>
          <w:spacing w:val="0"/>
          <w:w w:val="100"/>
          <w:kern w:val="0"/>
          <w:position w:val="0"/>
          <w:sz w:val="24"/>
          <w:szCs w:val="24"/>
          <w:highlight w:val="none"/>
          <w:lang w:val="zh-CN" w:eastAsia="zh-CN" w:bidi="ar-SA"/>
        </w:rPr>
      </w:pPr>
      <w:r>
        <w:rPr>
          <w:rFonts w:hint="default" w:ascii="Times New Roman" w:hAnsi="Times New Roman" w:eastAsia="宋体" w:cs="Times New Roman"/>
          <w:color w:val="auto"/>
          <w:spacing w:val="0"/>
          <w:w w:val="100"/>
          <w:kern w:val="0"/>
          <w:position w:val="0"/>
          <w:sz w:val="24"/>
          <w:szCs w:val="24"/>
          <w:highlight w:val="none"/>
          <w:lang w:val="zh-CN" w:eastAsia="zh-CN" w:bidi="ar-SA"/>
        </w:rPr>
        <w:t>项目废水主要为生产废水和生活污水，生活污水经化粪池处理后同生产废水一并进入自建污水处理站处理，</w:t>
      </w:r>
      <w:r>
        <w:rPr>
          <w:rFonts w:hint="eastAsia" w:ascii="Times New Roman" w:hAnsi="Times New Roman" w:cs="Times New Roman"/>
          <w:color w:val="auto"/>
          <w:spacing w:val="0"/>
          <w:w w:val="100"/>
          <w:kern w:val="0"/>
          <w:position w:val="0"/>
          <w:sz w:val="24"/>
          <w:szCs w:val="24"/>
          <w:highlight w:val="none"/>
          <w:lang w:val="zh-CN" w:eastAsia="zh-CN" w:bidi="ar-SA"/>
        </w:rPr>
        <w:t>出水用于农田灌溉，</w:t>
      </w:r>
      <w:r>
        <w:rPr>
          <w:rFonts w:hint="default" w:ascii="Times New Roman" w:hAnsi="Times New Roman" w:eastAsia="宋体" w:cs="Times New Roman"/>
          <w:color w:val="auto"/>
          <w:spacing w:val="0"/>
          <w:w w:val="100"/>
          <w:kern w:val="0"/>
          <w:position w:val="0"/>
          <w:sz w:val="24"/>
          <w:szCs w:val="24"/>
          <w:highlight w:val="none"/>
          <w:lang w:val="zh-CN" w:eastAsia="zh-CN" w:bidi="ar-SA"/>
        </w:rPr>
        <w:t>出水排放标准执行《农田灌溉水质标准》（GB5084-2005）中“旱作”标准中的相关要求。标准值分别见表</w:t>
      </w:r>
      <w:r>
        <w:rPr>
          <w:rFonts w:hint="default" w:ascii="Times New Roman" w:hAnsi="Times New Roman" w:eastAsia="宋体" w:cs="Times New Roman"/>
          <w:color w:val="auto"/>
          <w:spacing w:val="0"/>
          <w:w w:val="100"/>
          <w:kern w:val="0"/>
          <w:position w:val="0"/>
          <w:sz w:val="24"/>
          <w:szCs w:val="24"/>
          <w:highlight w:val="none"/>
          <w:lang w:val="en-US" w:eastAsia="zh-CN" w:bidi="ar-SA"/>
        </w:rPr>
        <w:t>1.4-</w:t>
      </w:r>
      <w:r>
        <w:rPr>
          <w:rFonts w:hint="eastAsia" w:ascii="Times New Roman" w:hAnsi="Times New Roman" w:cs="Times New Roman"/>
          <w:color w:val="auto"/>
          <w:spacing w:val="0"/>
          <w:w w:val="100"/>
          <w:kern w:val="0"/>
          <w:position w:val="0"/>
          <w:sz w:val="24"/>
          <w:szCs w:val="24"/>
          <w:highlight w:val="none"/>
          <w:lang w:val="en-US" w:eastAsia="zh-CN" w:bidi="ar-SA"/>
        </w:rPr>
        <w:t>9</w:t>
      </w:r>
      <w:r>
        <w:rPr>
          <w:rFonts w:hint="default" w:ascii="Times New Roman" w:hAnsi="Times New Roman" w:eastAsia="宋体" w:cs="Times New Roman"/>
          <w:color w:val="auto"/>
          <w:spacing w:val="0"/>
          <w:w w:val="100"/>
          <w:kern w:val="0"/>
          <w:position w:val="0"/>
          <w:sz w:val="24"/>
          <w:szCs w:val="24"/>
          <w:highlight w:val="none"/>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9</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《农田灌溉水质标准》（GB5084-2005）</w:t>
      </w:r>
    </w:p>
    <w:tbl>
      <w:tblPr>
        <w:tblStyle w:val="25"/>
        <w:tblW w:w="903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30"/>
        <w:gridCol w:w="4686"/>
        <w:gridCol w:w="28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jc w:val="center"/>
        </w:trPr>
        <w:tc>
          <w:tcPr>
            <w:tcW w:w="1530" w:type="dxa"/>
            <w:tcBorders>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532" w:right="516"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序号</w:t>
            </w:r>
          </w:p>
        </w:tc>
        <w:tc>
          <w:tcPr>
            <w:tcW w:w="4686" w:type="dxa"/>
            <w:tcBorders>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1491" w:right="1460"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污染项目</w:t>
            </w:r>
          </w:p>
        </w:tc>
        <w:tc>
          <w:tcPr>
            <w:tcW w:w="2822" w:type="dxa"/>
            <w:tcBorders>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633" w:right="594"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标准限值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3"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44"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1</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7" w:line="240" w:lineRule="auto"/>
              <w:ind w:left="1491"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pH（无量纲）</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44" w:line="240" w:lineRule="auto"/>
              <w:ind w:left="632"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5.5~8.5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4"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2</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91"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化学需氧量</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200mg/L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3"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3</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91" w:right="1462"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五日生化需氧量</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100mg/L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5"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4</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6" w:line="240" w:lineRule="auto"/>
              <w:ind w:left="1491" w:right="1462"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悬浮物</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100mg/L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4"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5</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8" w:line="240" w:lineRule="auto"/>
              <w:ind w:left="1491"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阴离子表面活性剂</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2"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8mg/L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4"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6</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91" w:right="1462"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氯化物</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350mg/L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3"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7</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91" w:right="1462"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硫化物</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5"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8</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6" w:line="240" w:lineRule="auto"/>
              <w:ind w:left="1489"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总汞</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628"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0.001mg/L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4" w:line="240" w:lineRule="auto"/>
              <w:ind w:left="18"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9</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8" w:line="240" w:lineRule="auto"/>
              <w:ind w:left="27"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镉</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2"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0.01mg/L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4" w:line="240" w:lineRule="auto"/>
              <w:ind w:left="532" w:right="514"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10</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89"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总砷</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0.1mg/L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3" w:line="240" w:lineRule="auto"/>
              <w:ind w:left="532" w:right="510"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11</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7" w:line="240" w:lineRule="auto"/>
              <w:ind w:left="1491" w:right="1462"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六价铬</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1"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0.1mg/L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530" w:type="dxa"/>
            <w:tcBorders>
              <w:top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5" w:line="240" w:lineRule="auto"/>
              <w:ind w:left="532" w:right="514"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12</w:t>
            </w:r>
          </w:p>
        </w:tc>
        <w:tc>
          <w:tcPr>
            <w:tcW w:w="4686" w:type="dxa"/>
            <w:tcBorders>
              <w:top w:val="single" w:color="000000" w:sz="4" w:space="0"/>
              <w:left w:val="single" w:color="000000" w:sz="4" w:space="0"/>
              <w:bottom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6" w:line="240" w:lineRule="auto"/>
              <w:ind w:left="27"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铅</w:t>
            </w:r>
          </w:p>
        </w:tc>
        <w:tc>
          <w:tcPr>
            <w:tcW w:w="2822" w:type="dxa"/>
            <w:tcBorders>
              <w:top w:val="single" w:color="000000" w:sz="4" w:space="0"/>
              <w:left w:val="single" w:color="000000" w:sz="4" w:space="0"/>
              <w:bottom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0" w:line="240" w:lineRule="auto"/>
              <w:ind w:left="631"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0.2mg/L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3" w:hRule="atLeast"/>
          <w:jc w:val="center"/>
        </w:trPr>
        <w:tc>
          <w:tcPr>
            <w:tcW w:w="1530" w:type="dxa"/>
            <w:tcBorders>
              <w:top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39" w:line="240" w:lineRule="auto"/>
              <w:ind w:left="532" w:right="514" w:firstLine="0" w:firstLineChars="0"/>
              <w:jc w:val="center"/>
              <w:textAlignment w:val="auto"/>
              <w:rPr>
                <w:rFonts w:hint="default" w:ascii="Times New Roman" w:hAnsi="Times New Roman" w:eastAsia="宋体" w:cs="Times New Roman"/>
                <w:b/>
                <w:color w:val="auto"/>
                <w:spacing w:val="0"/>
                <w:w w:val="100"/>
                <w:kern w:val="0"/>
                <w:position w:val="0"/>
                <w:sz w:val="21"/>
              </w:rPr>
            </w:pPr>
            <w:r>
              <w:rPr>
                <w:rFonts w:hint="default" w:ascii="Times New Roman" w:hAnsi="Times New Roman" w:eastAsia="宋体" w:cs="Times New Roman"/>
                <w:b/>
                <w:color w:val="auto"/>
                <w:spacing w:val="0"/>
                <w:w w:val="100"/>
                <w:kern w:val="0"/>
                <w:position w:val="0"/>
                <w:sz w:val="21"/>
              </w:rPr>
              <w:t>13</w:t>
            </w:r>
          </w:p>
        </w:tc>
        <w:tc>
          <w:tcPr>
            <w:tcW w:w="4686" w:type="dxa"/>
            <w:tcBorders>
              <w:top w:val="single" w:color="000000" w:sz="4" w:space="0"/>
              <w:left w:val="single" w:color="000000" w:sz="4" w:space="0"/>
              <w:righ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2" w:line="240" w:lineRule="auto"/>
              <w:ind w:left="1491" w:right="1465"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粪大肠菌群</w:t>
            </w:r>
          </w:p>
        </w:tc>
        <w:tc>
          <w:tcPr>
            <w:tcW w:w="2822" w:type="dxa"/>
            <w:tcBorders>
              <w:top w:val="single" w:color="000000" w:sz="4" w:space="0"/>
              <w:left w:val="single" w:color="000000" w:sz="4" w:space="0"/>
            </w:tcBorders>
          </w:tcPr>
          <w:p>
            <w:pPr>
              <w:pStyle w:val="39"/>
              <w:keepNext w:val="0"/>
              <w:keepLines w:val="0"/>
              <w:pageBreakBefore w:val="0"/>
              <w:widowControl w:val="0"/>
              <w:kinsoku/>
              <w:wordWrap/>
              <w:overflowPunct w:val="0"/>
              <w:topLinePunct w:val="0"/>
              <w:autoSpaceDE w:val="0"/>
              <w:autoSpaceDN w:val="0"/>
              <w:bidi w:val="0"/>
              <w:adjustRightInd w:val="0"/>
              <w:snapToGrid w:val="0"/>
              <w:spacing w:before="22" w:line="240" w:lineRule="auto"/>
              <w:ind w:left="633" w:right="594" w:firstLine="0" w:firstLineChars="0"/>
              <w:jc w:val="center"/>
              <w:textAlignment w:val="auto"/>
              <w:rPr>
                <w:rFonts w:hint="default" w:ascii="Times New Roman" w:hAnsi="Times New Roman" w:eastAsia="宋体" w:cs="Times New Roman"/>
                <w:color w:val="auto"/>
                <w:spacing w:val="0"/>
                <w:w w:val="100"/>
                <w:kern w:val="0"/>
                <w:position w:val="0"/>
                <w:sz w:val="21"/>
              </w:rPr>
            </w:pPr>
            <w:r>
              <w:rPr>
                <w:rFonts w:hint="default" w:ascii="Times New Roman" w:hAnsi="Times New Roman" w:eastAsia="宋体" w:cs="Times New Roman"/>
                <w:color w:val="auto"/>
                <w:spacing w:val="0"/>
                <w:w w:val="100"/>
                <w:kern w:val="0"/>
                <w:position w:val="0"/>
                <w:sz w:val="21"/>
              </w:rPr>
              <w:t>4000（个/100ml）</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.4.3.3噪声</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本项目施工期施工场界噪声排放标准执行《建筑施工场界环境噪声排放标准》（GB12523-2011）相关标准限值，具体见表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eastAsia" w:ascii="Times New Roman" w:hAnsi="Times New Roman" w:cs="Times New Roman"/>
          <w:color w:val="auto"/>
          <w:spacing w:val="0"/>
          <w:w w:val="100"/>
          <w:kern w:val="0"/>
          <w:position w:val="0"/>
          <w:sz w:val="24"/>
          <w:highlight w:val="none"/>
          <w:lang w:val="en-US" w:eastAsia="zh-CN"/>
        </w:rPr>
        <w:t>10</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10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《建筑施工场界环境噪声排放标准》（GB12523-2011）   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885" w:type="dxa"/>
            <w:gridSpan w:val="2"/>
            <w:noWrap w:val="0"/>
            <w:vAlign w:val="center"/>
          </w:tcPr>
          <w:p>
            <w:pPr>
              <w:pStyle w:val="40"/>
              <w:snapToGrid w:val="0"/>
              <w:spacing w:before="0" w:line="240" w:lineRule="auto"/>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噪声限值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763" w:type="dxa"/>
            <w:noWrap w:val="0"/>
            <w:vAlign w:val="center"/>
          </w:tcPr>
          <w:p>
            <w:pPr>
              <w:pStyle w:val="40"/>
              <w:snapToGrid w:val="0"/>
              <w:spacing w:before="0" w:line="240" w:lineRule="auto"/>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昼间</w:t>
            </w:r>
          </w:p>
        </w:tc>
        <w:tc>
          <w:tcPr>
            <w:tcW w:w="4122" w:type="dxa"/>
            <w:noWrap w:val="0"/>
            <w:vAlign w:val="center"/>
          </w:tcPr>
          <w:p>
            <w:pPr>
              <w:pStyle w:val="40"/>
              <w:snapToGrid w:val="0"/>
              <w:spacing w:before="0" w:line="240" w:lineRule="auto"/>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763" w:type="dxa"/>
            <w:noWrap w:val="0"/>
            <w:vAlign w:val="center"/>
          </w:tcPr>
          <w:p>
            <w:pPr>
              <w:pStyle w:val="40"/>
              <w:snapToGrid w:val="0"/>
              <w:spacing w:before="0" w:line="240" w:lineRule="auto"/>
              <w:textAlignment w:val="auto"/>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70</w:t>
            </w:r>
          </w:p>
        </w:tc>
        <w:tc>
          <w:tcPr>
            <w:tcW w:w="4122" w:type="dxa"/>
            <w:noWrap w:val="0"/>
            <w:vAlign w:val="center"/>
          </w:tcPr>
          <w:p>
            <w:pPr>
              <w:pStyle w:val="40"/>
              <w:snapToGrid w:val="0"/>
              <w:spacing w:before="0" w:line="240" w:lineRule="auto"/>
              <w:textAlignment w:val="auto"/>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55</w:t>
            </w:r>
          </w:p>
        </w:tc>
      </w:tr>
    </w:tbl>
    <w:p>
      <w:pPr>
        <w:adjustRightInd w:val="0"/>
        <w:snapToGrid w:val="0"/>
        <w:spacing w:line="360" w:lineRule="auto"/>
        <w:ind w:firstLine="480" w:firstLineChars="200"/>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val="zh-CN"/>
        </w:rPr>
        <w:t>运营期场界噪声执行《工业企业厂界环境噪声排放标准》（GB12348-2008）</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类标准，具体见表</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.4-</w:t>
      </w:r>
      <w:r>
        <w:rPr>
          <w:rFonts w:hint="default" w:ascii="Times New Roman" w:hAnsi="Times New Roman" w:eastAsia="宋体" w:cs="Times New Roman"/>
          <w:color w:val="auto"/>
          <w:spacing w:val="0"/>
          <w:w w:val="100"/>
          <w:kern w:val="0"/>
          <w:position w:val="0"/>
          <w:sz w:val="24"/>
          <w:highlight w:val="none"/>
          <w:lang w:val="en-US" w:eastAsia="zh-CN"/>
        </w:rPr>
        <w:t>1</w:t>
      </w:r>
      <w:r>
        <w:rPr>
          <w:rFonts w:hint="eastAsia" w:ascii="Times New Roman" w:hAnsi="Times New Roman"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表1.4-1</w:t>
      </w:r>
      <w:r>
        <w:rPr>
          <w:rFonts w:hint="eastAsia" w:ascii="Times New Roman" w:hAnsi="Times New Roman" w:cs="Times New Roman"/>
          <w:b/>
          <w:bCs w:val="0"/>
          <w:color w:val="auto"/>
          <w:spacing w:val="0"/>
          <w:w w:val="100"/>
          <w:kern w:val="0"/>
          <w:position w:val="0"/>
          <w:sz w:val="24"/>
          <w:szCs w:val="24"/>
          <w:highlight w:val="none"/>
          <w:lang w:val="en-US" w:eastAsia="zh-CN" w:bidi="ar-SA"/>
        </w:rPr>
        <w:t>1</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工业企业厂界环境噪声排放标准   单位：dB(A)</w:t>
      </w:r>
    </w:p>
    <w:tbl>
      <w:tblPr>
        <w:tblStyle w:val="25"/>
        <w:tblW w:w="492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2"/>
        <w:gridCol w:w="3258"/>
        <w:gridCol w:w="3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32" w:type="dxa"/>
            <w:vMerge w:val="restart"/>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类别</w:t>
            </w:r>
          </w:p>
        </w:tc>
        <w:tc>
          <w:tcPr>
            <w:tcW w:w="7187" w:type="dxa"/>
            <w:gridSpan w:val="2"/>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噪声限值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632" w:type="dxa"/>
            <w:vMerge w:val="continue"/>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p>
        </w:tc>
        <w:tc>
          <w:tcPr>
            <w:tcW w:w="325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昼间</w:t>
            </w:r>
          </w:p>
        </w:tc>
        <w:tc>
          <w:tcPr>
            <w:tcW w:w="392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8" w:hRule="atLeast"/>
          <w:jc w:val="center"/>
        </w:trPr>
        <w:tc>
          <w:tcPr>
            <w:tcW w:w="1632"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1</w:t>
            </w:r>
          </w:p>
        </w:tc>
        <w:tc>
          <w:tcPr>
            <w:tcW w:w="325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55</w:t>
            </w:r>
          </w:p>
        </w:tc>
        <w:tc>
          <w:tcPr>
            <w:tcW w:w="392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45</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.4.3.4固废</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highlight w:val="none"/>
          <w:lang w:val="en-US" w:eastAsia="zh-CN"/>
        </w:rPr>
        <w:instrText xml:space="preserve"> = 1 \* GB2 \* MERGEFORMAT </w:instrText>
      </w:r>
      <w:r>
        <w:rPr>
          <w:rFonts w:hint="default" w:ascii="Times New Roman" w:hAnsi="Times New Roman" w:eastAsia="宋体" w:cs="Times New Roman"/>
          <w:color w:val="auto"/>
          <w:spacing w:val="0"/>
          <w:w w:val="100"/>
          <w:kern w:val="0"/>
          <w:position w:val="0"/>
          <w:sz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highlight w:val="none"/>
          <w:lang w:val="zh-CN"/>
        </w:rPr>
        <w:t>⑴</w:t>
      </w:r>
      <w:r>
        <w:rPr>
          <w:rFonts w:hint="default" w:ascii="Times New Roman" w:hAnsi="Times New Roman" w:eastAsia="宋体" w:cs="Times New Roman"/>
          <w:color w:val="auto"/>
          <w:spacing w:val="0"/>
          <w:w w:val="100"/>
          <w:kern w:val="0"/>
          <w:position w:val="0"/>
          <w:sz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highlight w:val="none"/>
          <w:lang w:val="en-US" w:eastAsia="zh-CN"/>
        </w:rPr>
        <w:t>牛粪等一般固体废物贮存、处置执行《畜禽养殖业污染物排放标准》（GB18596-2001）标准，《畜禽粪便贮存设施设计要求》（GB/T272622-2011）、《畜禽粪便无害化处理技术规范》(NY/T1168-2006)、《畜禽粪便还田技术规范》（GB/T25246-2010）《畜禽养殖业污染物防治技术规范》（HJ/T81-2001）、《畜禽养殖业污染治理工程技术规范》（HJ497-2009）等；</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highlight w:val="none"/>
          <w:lang w:val="en-US" w:eastAsia="zh-CN"/>
        </w:rPr>
        <w:instrText xml:space="preserve"> = 2 \* GB2 \* MERGEFORMAT </w:instrText>
      </w:r>
      <w:r>
        <w:rPr>
          <w:rFonts w:hint="default" w:ascii="Times New Roman" w:hAnsi="Times New Roman" w:eastAsia="宋体" w:cs="Times New Roman"/>
          <w:color w:val="auto"/>
          <w:spacing w:val="0"/>
          <w:w w:val="100"/>
          <w:kern w:val="0"/>
          <w:position w:val="0"/>
          <w:sz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highlight w:val="none"/>
          <w:lang w:val="zh-CN"/>
        </w:rPr>
        <w:t>⑵</w:t>
      </w:r>
      <w:r>
        <w:rPr>
          <w:rFonts w:hint="default" w:ascii="Times New Roman" w:hAnsi="Times New Roman" w:eastAsia="宋体" w:cs="Times New Roman"/>
          <w:color w:val="auto"/>
          <w:spacing w:val="0"/>
          <w:w w:val="100"/>
          <w:kern w:val="0"/>
          <w:position w:val="0"/>
          <w:sz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highlight w:val="none"/>
          <w:lang w:val="en-US" w:eastAsia="zh-CN"/>
        </w:rPr>
        <w:t>危险废物的贮存、处置《危险废物贮存污染控制标准》(GB18597-2001)及2013年修改单、《危险废物收集、贮存、运输技术规范》（HJ2025-2012）及《危险废物污染防治技术政策》(环发〔2001〕199号)中相关要求进行妥善收集、贮存和运输。此外还需按照《病害动物和病害动物产品生物安全处理规程》(GB16548-2006)对项目畜禽病害肉尸及其产品进行安全处置。具体见表1.4-1</w:t>
      </w:r>
      <w:r>
        <w:rPr>
          <w:rFonts w:hint="eastAsia" w:ascii="Times New Roman" w:hAnsi="Times New Roman" w:cs="Times New Roman"/>
          <w:color w:val="auto"/>
          <w:spacing w:val="0"/>
          <w:w w:val="100"/>
          <w:kern w:val="0"/>
          <w:position w:val="0"/>
          <w:sz w:val="24"/>
          <w:highlight w:val="none"/>
          <w:lang w:val="en-US" w:eastAsia="zh-CN"/>
        </w:rPr>
        <w:t>2</w:t>
      </w:r>
      <w:r>
        <w:rPr>
          <w:rFonts w:hint="default" w:ascii="Times New Roman" w:hAnsi="Times New Roman" w:eastAsia="宋体" w:cs="Times New Roman"/>
          <w:color w:val="auto"/>
          <w:spacing w:val="0"/>
          <w:w w:val="100"/>
          <w:kern w:val="0"/>
          <w:positio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表1.4-1</w:t>
      </w:r>
      <w:r>
        <w:rPr>
          <w:rFonts w:hint="eastAsia" w:ascii="Times New Roman" w:hAnsi="Times New Roman" w:cs="Times New Roman"/>
          <w:b/>
          <w:bCs w:val="0"/>
          <w:color w:val="auto"/>
          <w:spacing w:val="0"/>
          <w:w w:val="100"/>
          <w:kern w:val="0"/>
          <w:position w:val="0"/>
          <w:sz w:val="24"/>
          <w:szCs w:val="24"/>
          <w:highlight w:val="none"/>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《畜禽养殖业污染物排放标准》（GB18596-2001）</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79"/>
        <w:gridCol w:w="4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779" w:type="dxa"/>
            <w:noWrap w:val="0"/>
            <w:vAlign w:val="center"/>
          </w:tcPr>
          <w:p>
            <w:pPr>
              <w:pStyle w:val="40"/>
              <w:snapToGrid w:val="0"/>
              <w:spacing w:before="0" w:line="240" w:lineRule="auto"/>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控制项目</w:t>
            </w:r>
          </w:p>
        </w:tc>
        <w:tc>
          <w:tcPr>
            <w:tcW w:w="4292" w:type="dxa"/>
            <w:noWrap w:val="0"/>
            <w:vAlign w:val="center"/>
          </w:tcPr>
          <w:p>
            <w:pPr>
              <w:pStyle w:val="40"/>
              <w:snapToGrid w:val="0"/>
              <w:spacing w:before="0" w:line="240" w:lineRule="auto"/>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779" w:type="dxa"/>
            <w:noWrap w:val="0"/>
            <w:vAlign w:val="center"/>
          </w:tcPr>
          <w:p>
            <w:pPr>
              <w:pStyle w:val="40"/>
              <w:snapToGrid w:val="0"/>
              <w:spacing w:before="0" w:line="240" w:lineRule="auto"/>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蛔虫卵</w:t>
            </w:r>
          </w:p>
        </w:tc>
        <w:tc>
          <w:tcPr>
            <w:tcW w:w="4292" w:type="dxa"/>
            <w:noWrap w:val="0"/>
            <w:vAlign w:val="center"/>
          </w:tcPr>
          <w:p>
            <w:pPr>
              <w:pStyle w:val="40"/>
              <w:snapToGrid w:val="0"/>
              <w:spacing w:before="0" w:line="240" w:lineRule="auto"/>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779" w:type="dxa"/>
            <w:noWrap w:val="0"/>
            <w:vAlign w:val="center"/>
          </w:tcPr>
          <w:p>
            <w:pPr>
              <w:pStyle w:val="40"/>
              <w:snapToGrid w:val="0"/>
              <w:spacing w:before="0" w:line="240" w:lineRule="auto"/>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粪大肠菌群</w:t>
            </w:r>
          </w:p>
        </w:tc>
        <w:tc>
          <w:tcPr>
            <w:tcW w:w="4292" w:type="dxa"/>
            <w:noWrap w:val="0"/>
            <w:vAlign w:val="center"/>
          </w:tcPr>
          <w:p>
            <w:pPr>
              <w:pStyle w:val="40"/>
              <w:snapToGrid w:val="0"/>
              <w:spacing w:before="0" w:line="240" w:lineRule="auto"/>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≤10</w:t>
            </w:r>
            <w:r>
              <w:rPr>
                <w:rFonts w:hint="default" w:ascii="Times New Roman" w:hAnsi="Times New Roman" w:eastAsia="宋体" w:cs="Times New Roman"/>
                <w:bCs/>
                <w:color w:val="auto"/>
                <w:spacing w:val="0"/>
                <w:w w:val="100"/>
                <w:kern w:val="0"/>
                <w:position w:val="0"/>
                <w:sz w:val="21"/>
                <w:szCs w:val="21"/>
                <w:highlight w:val="none"/>
                <w:vertAlign w:val="superscript"/>
              </w:rPr>
              <w:t>5</w:t>
            </w:r>
            <w:r>
              <w:rPr>
                <w:rFonts w:hint="default" w:ascii="Times New Roman" w:hAnsi="Times New Roman" w:eastAsia="宋体" w:cs="Times New Roman"/>
                <w:bCs/>
                <w:color w:val="auto"/>
                <w:spacing w:val="0"/>
                <w:w w:val="100"/>
                <w:kern w:val="0"/>
                <w:position w:val="0"/>
                <w:sz w:val="21"/>
                <w:szCs w:val="21"/>
                <w:highlight w:val="none"/>
              </w:rPr>
              <w:t>个/kg</w:t>
            </w:r>
          </w:p>
        </w:tc>
      </w:tr>
    </w:tbl>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highlight w:val="none"/>
          <w:lang w:val="en-US" w:eastAsia="zh-CN"/>
        </w:rPr>
        <w:instrText xml:space="preserve"> = 3 \* GB2 \* MERGEFORMAT </w:instrText>
      </w:r>
      <w:r>
        <w:rPr>
          <w:rFonts w:hint="default" w:ascii="Times New Roman" w:hAnsi="Times New Roman" w:eastAsia="宋体" w:cs="Times New Roman"/>
          <w:color w:val="auto"/>
          <w:spacing w:val="0"/>
          <w:w w:val="100"/>
          <w:kern w:val="0"/>
          <w:position w:val="0"/>
          <w:sz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highlight w:val="none"/>
          <w:lang w:val="zh-CN"/>
        </w:rPr>
        <w:t>⑶</w:t>
      </w:r>
      <w:r>
        <w:rPr>
          <w:rFonts w:hint="default" w:ascii="Times New Roman" w:hAnsi="Times New Roman" w:eastAsia="宋体" w:cs="Times New Roman"/>
          <w:color w:val="auto"/>
          <w:spacing w:val="0"/>
          <w:w w:val="100"/>
          <w:kern w:val="0"/>
          <w:position w:val="0"/>
          <w:sz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highlight w:val="none"/>
          <w:lang w:val="en-US" w:eastAsia="zh-CN"/>
        </w:rPr>
        <w:t>生活垃圾的管理执行《中华人民共和国固体废物污染环境防治法》（2020年9月1日）相关规定。</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304" w:name="_Toc26315"/>
      <w:bookmarkStart w:id="305" w:name="_Toc9631"/>
      <w:bookmarkStart w:id="306" w:name="_Toc30754"/>
      <w:bookmarkStart w:id="307" w:name="_Toc23056"/>
      <w:bookmarkStart w:id="308" w:name="_Toc1634_WPSOffice_Level1"/>
      <w:bookmarkStart w:id="309" w:name="_Toc10569"/>
      <w:bookmarkStart w:id="310" w:name="_Toc622"/>
      <w:bookmarkStart w:id="311" w:name="_Toc22796"/>
      <w:bookmarkStart w:id="312" w:name="_Toc6026_WPSOffice_Level1"/>
      <w:bookmarkStart w:id="313" w:name="_Toc25528"/>
      <w:bookmarkStart w:id="314" w:name="_Toc17560"/>
      <w:bookmarkStart w:id="315" w:name="_Toc21443"/>
      <w:bookmarkStart w:id="316" w:name="_Toc26661"/>
      <w:bookmarkStart w:id="317" w:name="_Toc6108"/>
      <w:r>
        <w:rPr>
          <w:rFonts w:hint="default" w:ascii="Times New Roman" w:hAnsi="Times New Roman" w:eastAsia="宋体" w:cs="Times New Roman"/>
          <w:snapToGrid w:val="0"/>
          <w:color w:val="auto"/>
          <w:spacing w:val="0"/>
          <w:w w:val="100"/>
          <w:kern w:val="0"/>
          <w:position w:val="0"/>
          <w:highlight w:val="none"/>
          <w:lang w:val="en-US" w:eastAsia="zh-CN"/>
        </w:rPr>
        <w:t>1.5评价工作等级及评价范围</w:t>
      </w:r>
      <w:bookmarkEnd w:id="304"/>
      <w:bookmarkEnd w:id="305"/>
      <w:bookmarkEnd w:id="306"/>
      <w:bookmarkEnd w:id="307"/>
      <w:bookmarkEnd w:id="308"/>
      <w:bookmarkEnd w:id="309"/>
      <w:bookmarkEnd w:id="310"/>
      <w:bookmarkEnd w:id="311"/>
      <w:bookmarkEnd w:id="312"/>
      <w:bookmarkEnd w:id="313"/>
      <w:bookmarkEnd w:id="314"/>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18" w:name="_Toc27437"/>
      <w:bookmarkStart w:id="319" w:name="_Toc14280"/>
      <w:bookmarkStart w:id="320" w:name="_Toc25979"/>
      <w:bookmarkStart w:id="321" w:name="_Toc28403"/>
      <w:bookmarkStart w:id="322" w:name="_Toc22449"/>
      <w:bookmarkStart w:id="323" w:name="_Toc25909"/>
      <w:bookmarkStart w:id="324" w:name="_Toc15960"/>
      <w:bookmarkStart w:id="325" w:name="_Toc16220_WPSOffice_Level2"/>
      <w:bookmarkStart w:id="326" w:name="_Toc5266"/>
      <w:bookmarkStart w:id="327" w:name="_Toc21167_WPSOffice_Level2"/>
      <w:bookmarkStart w:id="328" w:name="_Toc13028"/>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.5.1环境空气</w:t>
      </w:r>
      <w:bookmarkEnd w:id="318"/>
      <w:bookmarkEnd w:id="319"/>
      <w:bookmarkEnd w:id="320"/>
      <w:bookmarkEnd w:id="321"/>
      <w:bookmarkEnd w:id="322"/>
      <w:bookmarkEnd w:id="323"/>
      <w:bookmarkEnd w:id="324"/>
      <w:bookmarkEnd w:id="325"/>
      <w:bookmarkEnd w:id="326"/>
      <w:bookmarkEnd w:id="327"/>
      <w:bookmarkEnd w:id="328"/>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329" w:name="_Toc24424_WPSOffice_Level3"/>
      <w:bookmarkStart w:id="330" w:name="_Toc184_WPSOffice_Level3"/>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.5.1.1评级因子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en-US" w:eastAsia="zh-CN"/>
        </w:rPr>
        <w:t>按《建设项目环境影响评价技术导则 总纲》（HJ2.1-2016）的要求及根据工程分析识别大气环境影响因素，本项目的预测因子为TSP、NH</w:t>
      </w:r>
      <w:r>
        <w:rPr>
          <w:rFonts w:hint="default" w:ascii="Times New Roman" w:hAnsi="Times New Roman" w:eastAsia="宋体" w:cs="Times New Roman"/>
          <w:color w:val="auto"/>
          <w:spacing w:val="0"/>
          <w:w w:val="100"/>
          <w:kern w:val="0"/>
          <w:position w:val="0"/>
          <w:sz w:val="24"/>
          <w:highlight w:val="none"/>
          <w:vertAlign w:val="subscript"/>
          <w:lang w:val="en-US" w:eastAsia="zh-CN"/>
        </w:rPr>
        <w:t>3</w:t>
      </w:r>
      <w:r>
        <w:rPr>
          <w:rFonts w:hint="default" w:ascii="Times New Roman" w:hAnsi="Times New Roman" w:eastAsia="宋体" w:cs="Times New Roman"/>
          <w:color w:val="auto"/>
          <w:spacing w:val="0"/>
          <w:w w:val="100"/>
          <w:kern w:val="0"/>
          <w:position w:val="0"/>
          <w:sz w:val="24"/>
          <w:highlight w:val="none"/>
          <w:lang w:val="en-US" w:eastAsia="zh-CN"/>
        </w:rPr>
        <w:t>、H</w:t>
      </w:r>
      <w:r>
        <w:rPr>
          <w:rFonts w:hint="default" w:ascii="Times New Roman" w:hAnsi="Times New Roman" w:eastAsia="宋体" w:cs="Times New Roman"/>
          <w:color w:val="auto"/>
          <w:spacing w:val="0"/>
          <w:w w:val="100"/>
          <w:kern w:val="0"/>
          <w:position w:val="0"/>
          <w:sz w:val="24"/>
          <w:highlight w:val="none"/>
          <w:vertAlign w:val="subscript"/>
          <w:lang w:val="en-US" w:eastAsia="zh-CN"/>
        </w:rPr>
        <w:t>2</w:t>
      </w:r>
      <w:r>
        <w:rPr>
          <w:rFonts w:hint="default" w:ascii="Times New Roman" w:hAnsi="Times New Roman" w:eastAsia="宋体" w:cs="Times New Roman"/>
          <w:color w:val="auto"/>
          <w:spacing w:val="0"/>
          <w:w w:val="100"/>
          <w:kern w:val="0"/>
          <w:position w:val="0"/>
          <w:sz w:val="24"/>
          <w:highlight w:val="none"/>
          <w:lang w:val="en-US" w:eastAsia="zh-CN"/>
        </w:rPr>
        <w:t>S。</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331" w:name="_Toc29321_WPSOffice_Level3"/>
      <w:bookmarkStart w:id="332" w:name="_Toc20411_WPSOffice_Level3"/>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.5.1.2评价工作等级</w:t>
      </w:r>
      <w:bookmarkEnd w:id="331"/>
      <w:bookmarkEnd w:id="332"/>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t>(1)评价等级划分依据</w:t>
      </w:r>
      <w:bookmarkEnd w:id="329"/>
      <w:bookmarkEnd w:id="330"/>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lang w:val="en-US" w:eastAsia="zh-CN"/>
        </w:rPr>
        <w:t>环境空气影响评价工作等级划分依据见表1.5-</w:t>
      </w:r>
      <w:r>
        <w:rPr>
          <w:rFonts w:hint="eastAsia" w:ascii="Times New Roman" w:hAnsi="Times New Roman"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1</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评价工作等级划分依据</w:t>
      </w:r>
    </w:p>
    <w:tbl>
      <w:tblPr>
        <w:tblStyle w:val="25"/>
        <w:tblW w:w="90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4265"/>
        <w:gridCol w:w="2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899" w:type="dxa"/>
            <w:noWrap w:val="0"/>
            <w:vAlign w:val="center"/>
          </w:tcPr>
          <w:p>
            <w:pPr>
              <w:pStyle w:val="15"/>
              <w:spacing w:line="240" w:lineRule="auto"/>
              <w:ind w:firstLine="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评价工作等级</w:t>
            </w:r>
          </w:p>
        </w:tc>
        <w:tc>
          <w:tcPr>
            <w:tcW w:w="4265" w:type="dxa"/>
            <w:noWrap w:val="0"/>
            <w:vAlign w:val="center"/>
          </w:tcPr>
          <w:p>
            <w:pPr>
              <w:pStyle w:val="15"/>
              <w:spacing w:line="240" w:lineRule="auto"/>
              <w:ind w:firstLine="479" w:firstLineChars="227"/>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评价工作分级判据</w:t>
            </w:r>
          </w:p>
        </w:tc>
        <w:tc>
          <w:tcPr>
            <w:tcW w:w="2876" w:type="dxa"/>
            <w:noWrap w:val="0"/>
            <w:vAlign w:val="center"/>
          </w:tcPr>
          <w:p>
            <w:pPr>
              <w:pStyle w:val="15"/>
              <w:tabs>
                <w:tab w:val="left" w:pos="477"/>
              </w:tabs>
              <w:spacing w:line="240" w:lineRule="auto"/>
              <w:ind w:firstLine="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899" w:type="dxa"/>
            <w:noWrap w:val="0"/>
            <w:vAlign w:val="center"/>
          </w:tcPr>
          <w:p>
            <w:pPr>
              <w:pStyle w:val="15"/>
              <w:spacing w:line="240" w:lineRule="auto"/>
              <w:ind w:firstLine="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一级</w:t>
            </w:r>
          </w:p>
        </w:tc>
        <w:tc>
          <w:tcPr>
            <w:tcW w:w="4265" w:type="dxa"/>
            <w:noWrap w:val="0"/>
            <w:vAlign w:val="center"/>
          </w:tcPr>
          <w:p>
            <w:pPr>
              <w:pStyle w:val="15"/>
              <w:spacing w:line="240" w:lineRule="auto"/>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iCs/>
                <w:color w:val="auto"/>
                <w:spacing w:val="0"/>
                <w:w w:val="100"/>
                <w:kern w:val="0"/>
                <w:position w:val="0"/>
                <w:sz w:val="21"/>
                <w:szCs w:val="21"/>
                <w:highlight w:val="none"/>
              </w:rPr>
              <w:t>P</w:t>
            </w:r>
            <w:r>
              <w:rPr>
                <w:rFonts w:hint="default" w:ascii="Times New Roman" w:hAnsi="Times New Roman" w:eastAsia="宋体" w:cs="Times New Roman"/>
                <w:bCs/>
                <w:iCs/>
                <w:color w:val="auto"/>
                <w:spacing w:val="0"/>
                <w:w w:val="100"/>
                <w:kern w:val="0"/>
                <w:position w:val="0"/>
                <w:sz w:val="21"/>
                <w:szCs w:val="21"/>
                <w:highlight w:val="none"/>
                <w:vertAlign w:val="subscript"/>
              </w:rPr>
              <w:t>max</w:t>
            </w:r>
            <w:r>
              <w:rPr>
                <w:rFonts w:hint="default" w:ascii="Times New Roman" w:hAnsi="Times New Roman" w:eastAsia="宋体" w:cs="Times New Roman"/>
                <w:bCs/>
                <w:color w:val="auto"/>
                <w:spacing w:val="0"/>
                <w:w w:val="100"/>
                <w:kern w:val="0"/>
                <w:position w:val="0"/>
                <w:sz w:val="21"/>
                <w:szCs w:val="21"/>
                <w:highlight w:val="none"/>
              </w:rPr>
              <w:t>≥10%</w:t>
            </w:r>
          </w:p>
        </w:tc>
        <w:tc>
          <w:tcPr>
            <w:tcW w:w="2876" w:type="dxa"/>
            <w:vMerge w:val="restart"/>
            <w:noWrap w:val="0"/>
            <w:vAlign w:val="center"/>
          </w:tcPr>
          <w:p>
            <w:pPr>
              <w:pStyle w:val="15"/>
              <w:spacing w:line="240" w:lineRule="auto"/>
              <w:ind w:firstLine="0"/>
              <w:jc w:val="center"/>
              <w:rPr>
                <w:rFonts w:hint="default" w:ascii="Times New Roman" w:hAnsi="Times New Roman" w:eastAsia="宋体" w:cs="Times New Roman"/>
                <w:bCs/>
                <w:iCs/>
                <w:color w:val="auto"/>
                <w:spacing w:val="0"/>
                <w:w w:val="100"/>
                <w:kern w:val="0"/>
                <w:position w:val="0"/>
                <w:sz w:val="21"/>
                <w:szCs w:val="21"/>
                <w:highlight w:val="none"/>
              </w:rPr>
            </w:pPr>
            <w:r>
              <w:rPr>
                <w:rFonts w:hint="default" w:ascii="Times New Roman" w:hAnsi="Times New Roman" w:eastAsia="宋体" w:cs="Times New Roman"/>
                <w:bCs/>
                <w:iCs/>
                <w:color w:val="auto"/>
                <w:spacing w:val="0"/>
                <w:w w:val="100"/>
                <w:kern w:val="0"/>
                <w:position w:val="0"/>
                <w:sz w:val="21"/>
                <w:szCs w:val="21"/>
                <w:highlight w:val="none"/>
              </w:rPr>
              <w:t>HJ 2.2-2018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899" w:type="dxa"/>
            <w:noWrap w:val="0"/>
            <w:vAlign w:val="center"/>
          </w:tcPr>
          <w:p>
            <w:pPr>
              <w:pStyle w:val="15"/>
              <w:spacing w:line="240" w:lineRule="auto"/>
              <w:ind w:firstLine="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二级</w:t>
            </w:r>
          </w:p>
        </w:tc>
        <w:tc>
          <w:tcPr>
            <w:tcW w:w="4265" w:type="dxa"/>
            <w:noWrap w:val="0"/>
            <w:vAlign w:val="center"/>
          </w:tcPr>
          <w:p>
            <w:pPr>
              <w:pStyle w:val="15"/>
              <w:spacing w:line="240" w:lineRule="auto"/>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iCs/>
                <w:color w:val="auto"/>
                <w:spacing w:val="0"/>
                <w:w w:val="100"/>
                <w:kern w:val="0"/>
                <w:position w:val="0"/>
                <w:sz w:val="21"/>
                <w:szCs w:val="21"/>
                <w:highlight w:val="none"/>
              </w:rPr>
              <w:t>1%≤P</w:t>
            </w:r>
            <w:r>
              <w:rPr>
                <w:rFonts w:hint="default" w:ascii="Times New Roman" w:hAnsi="Times New Roman" w:eastAsia="宋体" w:cs="Times New Roman"/>
                <w:bCs/>
                <w:iCs/>
                <w:color w:val="auto"/>
                <w:spacing w:val="0"/>
                <w:w w:val="100"/>
                <w:kern w:val="0"/>
                <w:position w:val="0"/>
                <w:sz w:val="21"/>
                <w:szCs w:val="21"/>
                <w:highlight w:val="none"/>
                <w:vertAlign w:val="subscript"/>
              </w:rPr>
              <w:t>max</w:t>
            </w:r>
            <w:r>
              <w:rPr>
                <w:rFonts w:hint="default" w:ascii="Times New Roman" w:hAnsi="Times New Roman" w:eastAsia="宋体" w:cs="Times New Roman"/>
                <w:bCs/>
                <w:color w:val="auto"/>
                <w:spacing w:val="0"/>
                <w:w w:val="100"/>
                <w:kern w:val="0"/>
                <w:position w:val="0"/>
                <w:sz w:val="21"/>
                <w:szCs w:val="21"/>
                <w:highlight w:val="none"/>
              </w:rPr>
              <w:t>＜10%</w:t>
            </w:r>
          </w:p>
        </w:tc>
        <w:tc>
          <w:tcPr>
            <w:tcW w:w="2876" w:type="dxa"/>
            <w:vMerge w:val="continue"/>
            <w:noWrap w:val="0"/>
            <w:vAlign w:val="center"/>
          </w:tcPr>
          <w:p>
            <w:pPr>
              <w:pStyle w:val="15"/>
              <w:spacing w:line="240" w:lineRule="auto"/>
              <w:jc w:val="center"/>
              <w:rPr>
                <w:rFonts w:hint="default" w:ascii="Times New Roman" w:hAnsi="Times New Roman" w:eastAsia="宋体" w:cs="Times New Roman"/>
                <w:bCs/>
                <w:iCs/>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899" w:type="dxa"/>
            <w:noWrap w:val="0"/>
            <w:vAlign w:val="center"/>
          </w:tcPr>
          <w:p>
            <w:pPr>
              <w:pStyle w:val="15"/>
              <w:spacing w:line="240" w:lineRule="auto"/>
              <w:ind w:firstLine="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三级</w:t>
            </w:r>
          </w:p>
        </w:tc>
        <w:tc>
          <w:tcPr>
            <w:tcW w:w="4265" w:type="dxa"/>
            <w:noWrap w:val="0"/>
            <w:vAlign w:val="center"/>
          </w:tcPr>
          <w:p>
            <w:pPr>
              <w:pStyle w:val="15"/>
              <w:spacing w:line="240" w:lineRule="auto"/>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iCs/>
                <w:color w:val="auto"/>
                <w:spacing w:val="0"/>
                <w:w w:val="100"/>
                <w:kern w:val="0"/>
                <w:position w:val="0"/>
                <w:sz w:val="21"/>
                <w:szCs w:val="21"/>
                <w:highlight w:val="none"/>
              </w:rPr>
              <w:t>P</w:t>
            </w:r>
            <w:r>
              <w:rPr>
                <w:rFonts w:hint="default" w:ascii="Times New Roman" w:hAnsi="Times New Roman" w:eastAsia="宋体" w:cs="Times New Roman"/>
                <w:bCs/>
                <w:iCs/>
                <w:color w:val="auto"/>
                <w:spacing w:val="0"/>
                <w:w w:val="100"/>
                <w:kern w:val="0"/>
                <w:position w:val="0"/>
                <w:sz w:val="21"/>
                <w:szCs w:val="21"/>
                <w:highlight w:val="none"/>
                <w:vertAlign w:val="subscript"/>
              </w:rPr>
              <w:t>max</w:t>
            </w:r>
            <w:r>
              <w:rPr>
                <w:rFonts w:hint="default" w:ascii="Times New Roman" w:hAnsi="Times New Roman" w:eastAsia="宋体" w:cs="Times New Roman"/>
                <w:bCs/>
                <w:color w:val="auto"/>
                <w:spacing w:val="0"/>
                <w:w w:val="100"/>
                <w:kern w:val="0"/>
                <w:position w:val="0"/>
                <w:sz w:val="21"/>
                <w:szCs w:val="21"/>
                <w:highlight w:val="none"/>
              </w:rPr>
              <w:t>＜1%</w:t>
            </w:r>
          </w:p>
        </w:tc>
        <w:tc>
          <w:tcPr>
            <w:tcW w:w="2876" w:type="dxa"/>
            <w:vMerge w:val="continue"/>
            <w:noWrap w:val="0"/>
            <w:vAlign w:val="center"/>
          </w:tcPr>
          <w:p>
            <w:pPr>
              <w:pStyle w:val="15"/>
              <w:spacing w:line="240" w:lineRule="auto"/>
              <w:jc w:val="center"/>
              <w:rPr>
                <w:rFonts w:hint="default" w:ascii="Times New Roman" w:hAnsi="Times New Roman" w:eastAsia="宋体" w:cs="Times New Roman"/>
                <w:bCs/>
                <w:iCs/>
                <w:color w:val="auto"/>
                <w:spacing w:val="0"/>
                <w:w w:val="100"/>
                <w:kern w:val="0"/>
                <w:position w:val="0"/>
                <w:sz w:val="21"/>
                <w:szCs w:val="21"/>
                <w:highlight w:val="none"/>
              </w:rPr>
            </w:pPr>
          </w:p>
        </w:tc>
      </w:tr>
    </w:tbl>
    <w:p>
      <w:pPr>
        <w:pStyle w:val="22"/>
        <w:spacing w:after="0"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pP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根据本项目工程分析结果，分别计算每一种污染物的最大地面浓度占标率P</w:t>
      </w:r>
      <w:r>
        <w:rPr>
          <w:rFonts w:hint="default" w:ascii="Times New Roman" w:hAnsi="Times New Roman" w:eastAsia="宋体" w:cs="Times New Roman"/>
          <w:snapToGrid w:val="0"/>
          <w:color w:val="auto"/>
          <w:spacing w:val="0"/>
          <w:w w:val="100"/>
          <w:kern w:val="0"/>
          <w:position w:val="0"/>
          <w:sz w:val="24"/>
          <w:szCs w:val="24"/>
          <w:highlight w:val="none"/>
          <w:vertAlign w:val="subscript"/>
          <w:lang w:val="en-US" w:eastAsia="zh-CN" w:bidi="ar-SA"/>
        </w:rPr>
        <w:t>i</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(第i个污染物)，及第i个污染物的地面浓度达标准限值10%时，所对应的最远距离D</w:t>
      </w:r>
      <w:r>
        <w:rPr>
          <w:rFonts w:hint="default" w:ascii="Times New Roman" w:hAnsi="Times New Roman" w:eastAsia="宋体" w:cs="Times New Roman"/>
          <w:snapToGrid w:val="0"/>
          <w:color w:val="auto"/>
          <w:spacing w:val="0"/>
          <w:w w:val="100"/>
          <w:kern w:val="0"/>
          <w:position w:val="0"/>
          <w:sz w:val="24"/>
          <w:szCs w:val="24"/>
          <w:highlight w:val="none"/>
          <w:vertAlign w:val="subscript"/>
          <w:lang w:val="en-US" w:eastAsia="zh-CN" w:bidi="ar-SA"/>
        </w:rPr>
        <w:t>10%</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。其中P</w:t>
      </w:r>
      <w:r>
        <w:rPr>
          <w:rFonts w:hint="default" w:ascii="Times New Roman" w:hAnsi="Times New Roman" w:eastAsia="宋体" w:cs="Times New Roman"/>
          <w:snapToGrid w:val="0"/>
          <w:color w:val="auto"/>
          <w:spacing w:val="0"/>
          <w:w w:val="100"/>
          <w:kern w:val="0"/>
          <w:position w:val="0"/>
          <w:sz w:val="24"/>
          <w:szCs w:val="24"/>
          <w:highlight w:val="none"/>
          <w:vertAlign w:val="subscript"/>
          <w:lang w:val="en-US" w:eastAsia="zh-CN" w:bidi="ar-SA"/>
        </w:rPr>
        <w:t>i</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定义为：</w:t>
      </w:r>
    </w:p>
    <w:p>
      <w:pPr>
        <w:adjustRightInd w:val="0"/>
        <w:snapToGrid w:val="0"/>
        <w:spacing w:line="360" w:lineRule="auto"/>
        <w:ind w:firstLine="720" w:firstLineChars="3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P</w:t>
      </w:r>
      <w:r>
        <w:rPr>
          <w:rFonts w:hint="default" w:ascii="Times New Roman" w:hAnsi="Times New Roman" w:eastAsia="宋体" w:cs="Times New Roman"/>
          <w:snapToGrid w:val="0"/>
          <w:color w:val="auto"/>
          <w:spacing w:val="0"/>
          <w:w w:val="100"/>
          <w:kern w:val="0"/>
          <w:position w:val="0"/>
          <w:sz w:val="24"/>
          <w:highlight w:val="none"/>
          <w:vertAlign w:val="subscript"/>
        </w:rPr>
        <w:t>i</w:t>
      </w:r>
      <w:r>
        <w:rPr>
          <w:rFonts w:hint="default" w:ascii="Times New Roman" w:hAnsi="Times New Roman" w:eastAsia="宋体" w:cs="Times New Roman"/>
          <w:snapToGrid w:val="0"/>
          <w:color w:val="auto"/>
          <w:spacing w:val="0"/>
          <w:w w:val="100"/>
          <w:kern w:val="0"/>
          <w:position w:val="0"/>
          <w:sz w:val="24"/>
          <w:highlight w:val="none"/>
        </w:rPr>
        <w:t>＝(C</w:t>
      </w:r>
      <w:r>
        <w:rPr>
          <w:rFonts w:hint="default" w:ascii="Times New Roman" w:hAnsi="Times New Roman" w:eastAsia="宋体" w:cs="Times New Roman"/>
          <w:snapToGrid w:val="0"/>
          <w:color w:val="auto"/>
          <w:spacing w:val="0"/>
          <w:w w:val="100"/>
          <w:kern w:val="0"/>
          <w:position w:val="0"/>
          <w:sz w:val="24"/>
          <w:highlight w:val="none"/>
          <w:vertAlign w:val="subscript"/>
        </w:rPr>
        <w:t>i</w:t>
      </w:r>
      <w:r>
        <w:rPr>
          <w:rFonts w:hint="default" w:ascii="Times New Roman" w:hAnsi="Times New Roman" w:eastAsia="宋体" w:cs="Times New Roman"/>
          <w:snapToGrid w:val="0"/>
          <w:color w:val="auto"/>
          <w:spacing w:val="0"/>
          <w:w w:val="100"/>
          <w:kern w:val="0"/>
          <w:position w:val="0"/>
          <w:sz w:val="24"/>
          <w:highlight w:val="none"/>
        </w:rPr>
        <w:t>/C</w:t>
      </w:r>
      <w:r>
        <w:rPr>
          <w:rFonts w:hint="default" w:ascii="Times New Roman" w:hAnsi="Times New Roman" w:eastAsia="宋体" w:cs="Times New Roman"/>
          <w:snapToGrid w:val="0"/>
          <w:color w:val="auto"/>
          <w:spacing w:val="0"/>
          <w:w w:val="100"/>
          <w:kern w:val="0"/>
          <w:position w:val="0"/>
          <w:sz w:val="24"/>
          <w:highlight w:val="none"/>
          <w:vertAlign w:val="subscript"/>
        </w:rPr>
        <w:t>0i</w:t>
      </w:r>
      <w:r>
        <w:rPr>
          <w:rFonts w:hint="default" w:ascii="Times New Roman" w:hAnsi="Times New Roman" w:eastAsia="宋体" w:cs="Times New Roman"/>
          <w:snapToGrid w:val="0"/>
          <w:color w:val="auto"/>
          <w:spacing w:val="0"/>
          <w:w w:val="100"/>
          <w:kern w:val="0"/>
          <w:position w:val="0"/>
          <w:sz w:val="24"/>
          <w:highlight w:val="none"/>
        </w:rPr>
        <w:t>)×100%</w:t>
      </w:r>
    </w:p>
    <w:p>
      <w:pPr>
        <w:adjustRightInd w:val="0"/>
        <w:snapToGrid w:val="0"/>
        <w:spacing w:line="360" w:lineRule="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式中：P</w:t>
      </w:r>
      <w:r>
        <w:rPr>
          <w:rFonts w:hint="default" w:ascii="Times New Roman" w:hAnsi="Times New Roman" w:eastAsia="宋体" w:cs="Times New Roman"/>
          <w:snapToGrid w:val="0"/>
          <w:color w:val="auto"/>
          <w:spacing w:val="0"/>
          <w:w w:val="100"/>
          <w:kern w:val="0"/>
          <w:position w:val="0"/>
          <w:sz w:val="24"/>
          <w:highlight w:val="none"/>
          <w:vertAlign w:val="subscript"/>
        </w:rPr>
        <w:t>i</w:t>
      </w:r>
      <w:r>
        <w:rPr>
          <w:rFonts w:hint="default" w:ascii="Times New Roman" w:hAnsi="Times New Roman" w:eastAsia="宋体" w:cs="Times New Roman"/>
          <w:snapToGrid w:val="0"/>
          <w:color w:val="auto"/>
          <w:spacing w:val="0"/>
          <w:w w:val="100"/>
          <w:kern w:val="0"/>
          <w:position w:val="0"/>
          <w:sz w:val="24"/>
          <w:highlight w:val="none"/>
        </w:rPr>
        <w:t>－第i个污染物的最大地面浓度占标率，%；</w:t>
      </w:r>
    </w:p>
    <w:p>
      <w:pPr>
        <w:adjustRightInd w:val="0"/>
        <w:snapToGrid w:val="0"/>
        <w:spacing w:line="360" w:lineRule="auto"/>
        <w:ind w:firstLine="720" w:firstLineChars="3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C</w:t>
      </w:r>
      <w:r>
        <w:rPr>
          <w:rFonts w:hint="default" w:ascii="Times New Roman" w:hAnsi="Times New Roman" w:eastAsia="宋体" w:cs="Times New Roman"/>
          <w:snapToGrid w:val="0"/>
          <w:color w:val="auto"/>
          <w:spacing w:val="0"/>
          <w:w w:val="100"/>
          <w:kern w:val="0"/>
          <w:position w:val="0"/>
          <w:sz w:val="24"/>
          <w:highlight w:val="none"/>
          <w:vertAlign w:val="subscript"/>
        </w:rPr>
        <w:t>i</w:t>
      </w:r>
      <w:r>
        <w:rPr>
          <w:rFonts w:hint="default" w:ascii="Times New Roman" w:hAnsi="Times New Roman" w:eastAsia="宋体" w:cs="Times New Roman"/>
          <w:snapToGrid w:val="0"/>
          <w:color w:val="auto"/>
          <w:spacing w:val="0"/>
          <w:w w:val="100"/>
          <w:kern w:val="0"/>
          <w:position w:val="0"/>
          <w:sz w:val="24"/>
          <w:highlight w:val="none"/>
        </w:rPr>
        <w:t>－采用估算模式计算出的第i个污染物的最大地面浓度，mg/m</w:t>
      </w:r>
      <w:r>
        <w:rPr>
          <w:rFonts w:hint="default" w:ascii="Times New Roman" w:hAnsi="Times New Roman" w:eastAsia="宋体" w:cs="Times New Roman"/>
          <w:snapToGrid w:val="0"/>
          <w:color w:val="auto"/>
          <w:spacing w:val="0"/>
          <w:w w:val="100"/>
          <w:kern w:val="0"/>
          <w:position w:val="0"/>
          <w:sz w:val="24"/>
          <w:highlight w:val="none"/>
          <w:vertAlign w:val="superscript"/>
        </w:rPr>
        <w:t>3</w:t>
      </w:r>
      <w:r>
        <w:rPr>
          <w:rFonts w:hint="default" w:ascii="Times New Roman" w:hAnsi="Times New Roman" w:eastAsia="宋体" w:cs="Times New Roman"/>
          <w:snapToGrid w:val="0"/>
          <w:color w:val="auto"/>
          <w:spacing w:val="0"/>
          <w:w w:val="100"/>
          <w:kern w:val="0"/>
          <w:position w:val="0"/>
          <w:sz w:val="24"/>
          <w:highlight w:val="none"/>
        </w:rPr>
        <w:t>；</w:t>
      </w:r>
    </w:p>
    <w:p>
      <w:pPr>
        <w:adjustRightInd w:val="0"/>
        <w:snapToGrid w:val="0"/>
        <w:spacing w:line="360" w:lineRule="auto"/>
        <w:ind w:firstLine="708" w:firstLineChars="295"/>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C</w:t>
      </w:r>
      <w:r>
        <w:rPr>
          <w:rFonts w:hint="default" w:ascii="Times New Roman" w:hAnsi="Times New Roman" w:eastAsia="宋体" w:cs="Times New Roman"/>
          <w:snapToGrid w:val="0"/>
          <w:color w:val="auto"/>
          <w:spacing w:val="0"/>
          <w:w w:val="100"/>
          <w:kern w:val="0"/>
          <w:position w:val="0"/>
          <w:sz w:val="24"/>
          <w:highlight w:val="none"/>
          <w:vertAlign w:val="subscript"/>
        </w:rPr>
        <w:t>0i</w:t>
      </w:r>
      <w:r>
        <w:rPr>
          <w:rFonts w:hint="default" w:ascii="Times New Roman" w:hAnsi="Times New Roman" w:eastAsia="宋体" w:cs="Times New Roman"/>
          <w:snapToGrid w:val="0"/>
          <w:color w:val="auto"/>
          <w:spacing w:val="0"/>
          <w:w w:val="100"/>
          <w:kern w:val="0"/>
          <w:position w:val="0"/>
          <w:sz w:val="24"/>
          <w:highlight w:val="none"/>
        </w:rPr>
        <w:t>－第i个污染物的环境空气质量标准，mg/m</w:t>
      </w:r>
      <w:r>
        <w:rPr>
          <w:rFonts w:hint="default" w:ascii="Times New Roman" w:hAnsi="Times New Roman" w:eastAsia="宋体" w:cs="Times New Roman"/>
          <w:snapToGrid w:val="0"/>
          <w:color w:val="auto"/>
          <w:spacing w:val="0"/>
          <w:w w:val="100"/>
          <w:kern w:val="0"/>
          <w:position w:val="0"/>
          <w:sz w:val="24"/>
          <w:highlight w:val="none"/>
          <w:vertAlign w:val="superscript"/>
        </w:rPr>
        <w:t>3</w:t>
      </w:r>
      <w:r>
        <w:rPr>
          <w:rFonts w:hint="default" w:ascii="Times New Roman" w:hAnsi="Times New Roman" w:eastAsia="宋体" w:cs="Times New Roman"/>
          <w:snapToGrid w:val="0"/>
          <w:color w:val="auto"/>
          <w:spacing w:val="0"/>
          <w:w w:val="100"/>
          <w:kern w:val="0"/>
          <w:position w:val="0"/>
          <w:sz w:val="24"/>
          <w:highlight w:val="none"/>
        </w:rPr>
        <w:t>；</w:t>
      </w:r>
    </w:p>
    <w:p>
      <w:pPr>
        <w:adjustRightInd w:val="0"/>
        <w:snapToGrid w:val="0"/>
        <w:spacing w:line="360" w:lineRule="auto"/>
        <w:ind w:firstLine="708" w:firstLineChars="295"/>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C</w:t>
      </w:r>
      <w:r>
        <w:rPr>
          <w:rFonts w:hint="default" w:ascii="Times New Roman" w:hAnsi="Times New Roman" w:eastAsia="宋体" w:cs="Times New Roman"/>
          <w:snapToGrid w:val="0"/>
          <w:color w:val="auto"/>
          <w:spacing w:val="0"/>
          <w:w w:val="100"/>
          <w:kern w:val="0"/>
          <w:position w:val="0"/>
          <w:sz w:val="24"/>
          <w:highlight w:val="none"/>
          <w:vertAlign w:val="subscript"/>
        </w:rPr>
        <w:t>0i</w:t>
      </w:r>
      <w:r>
        <w:rPr>
          <w:rFonts w:hint="default" w:ascii="Times New Roman" w:hAnsi="Times New Roman" w:eastAsia="宋体" w:cs="Times New Roman"/>
          <w:snapToGrid w:val="0"/>
          <w:color w:val="auto"/>
          <w:spacing w:val="0"/>
          <w:w w:val="100"/>
          <w:kern w:val="0"/>
          <w:position w:val="0"/>
          <w:sz w:val="24"/>
          <w:highlight w:val="none"/>
        </w:rPr>
        <w:t>一般选用GB3095-2012中1小时平均取样时间的二级标准的浓度限值，对该标准中未包含的污染物，使用《环境影响评价技术导则 大气环境》(HJ2.2-2018)5.2确定的</w:t>
      </w:r>
      <w:r>
        <w:rPr>
          <w:rFonts w:hint="default" w:ascii="Times New Roman" w:hAnsi="Times New Roman" w:eastAsia="宋体" w:cs="Times New Roman"/>
          <w:snapToGrid w:val="0"/>
          <w:color w:val="auto"/>
          <w:spacing w:val="0"/>
          <w:w w:val="100"/>
          <w:kern w:val="0"/>
          <w:position w:val="0"/>
          <w:sz w:val="24"/>
          <w:highlight w:val="none"/>
          <w:lang w:eastAsia="zh-CN"/>
        </w:rPr>
        <w:t>各</w:t>
      </w:r>
      <w:r>
        <w:rPr>
          <w:rFonts w:hint="default" w:ascii="Times New Roman" w:hAnsi="Times New Roman" w:eastAsia="宋体" w:cs="Times New Roman"/>
          <w:snapToGrid w:val="0"/>
          <w:color w:val="auto"/>
          <w:spacing w:val="0"/>
          <w:w w:val="100"/>
          <w:kern w:val="0"/>
          <w:position w:val="0"/>
          <w:sz w:val="24"/>
          <w:highlight w:val="none"/>
        </w:rPr>
        <w:t>评价因子1h排平均质量浓度限值。</w:t>
      </w:r>
    </w:p>
    <w:p>
      <w:pPr>
        <w:pStyle w:val="22"/>
        <w:spacing w:after="0"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pP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对仅有8h平均质量浓度限值、日平均质量浓度限值或年平均质量浓度限值的，可分别按2倍、3倍、6倍折算为1h平均质量浓度限值。</w:t>
      </w:r>
    </w:p>
    <w:p>
      <w:pPr>
        <w:pStyle w:val="22"/>
        <w:spacing w:after="0"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pPr>
      <w:bookmarkStart w:id="333" w:name="_Toc6441_WPSOffice_Level3"/>
      <w:bookmarkStart w:id="334" w:name="_Toc20789_WPSOffice_Level3"/>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(2)估算模型</w:t>
      </w:r>
      <w:bookmarkEnd w:id="333"/>
      <w:bookmarkEnd w:id="334"/>
    </w:p>
    <w:p>
      <w:pPr>
        <w:pStyle w:val="22"/>
        <w:spacing w:after="0"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pP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结合项目环境影响预测范围、预测因子及推荐模型的适用范围等，本次评价选择AERSCREEN模型进行预测。</w:t>
      </w:r>
    </w:p>
    <w:p>
      <w:pPr>
        <w:pStyle w:val="22"/>
        <w:spacing w:after="0"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pP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估算模式是一种单源预测模式，可计算点源、面源和体源等污染物的最大落地浓度，以及建筑物下洗和岸边熏烟等特殊条件下的最大地面浓度。估算模式中嵌入了多种预设的气象组合条件，包括一些最不利的气象条件，此类气象条件在某个地区有可能发生，也有可能不发生。经估算模式计算出的最大地面浓度大于或等于进一步预测模式的计算结果。</w:t>
      </w:r>
    </w:p>
    <w:p>
      <w:pPr>
        <w:pStyle w:val="22"/>
        <w:spacing w:after="0" w:line="360" w:lineRule="auto"/>
        <w:ind w:firstLine="480" w:firstLineChars="200"/>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项目主要废气污染物排放参数见表1.5-</w:t>
      </w:r>
      <w:r>
        <w:rPr>
          <w:rFonts w:hint="eastAsia" w:cs="Times New Roman"/>
          <w:snapToGrid w:val="0"/>
          <w:color w:val="auto"/>
          <w:spacing w:val="0"/>
          <w:w w:val="100"/>
          <w:kern w:val="0"/>
          <w:position w:val="0"/>
          <w:sz w:val="24"/>
          <w:szCs w:val="24"/>
          <w:highlight w:val="none"/>
          <w:lang w:val="en-US" w:eastAsia="zh-CN" w:bidi="ar-SA"/>
        </w:rPr>
        <w:t>2</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，估算模式所需参数见表1.5-</w:t>
      </w:r>
      <w:r>
        <w:rPr>
          <w:rFonts w:hint="eastAsia" w:cs="Times New Roman"/>
          <w:snapToGrid w:val="0"/>
          <w:color w:val="auto"/>
          <w:spacing w:val="0"/>
          <w:w w:val="100"/>
          <w:kern w:val="0"/>
          <w:position w:val="0"/>
          <w:sz w:val="24"/>
          <w:szCs w:val="24"/>
          <w:highlight w:val="none"/>
          <w:lang w:val="en-US" w:eastAsia="zh-CN" w:bidi="ar-SA"/>
        </w:rPr>
        <w:t>3</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、本项目所有污染源的正常排放的污染物的P</w:t>
      </w:r>
      <w:r>
        <w:rPr>
          <w:rFonts w:hint="default" w:ascii="Times New Roman" w:hAnsi="Times New Roman" w:eastAsia="宋体" w:cs="Times New Roman"/>
          <w:snapToGrid w:val="0"/>
          <w:color w:val="auto"/>
          <w:spacing w:val="0"/>
          <w:w w:val="100"/>
          <w:kern w:val="0"/>
          <w:position w:val="0"/>
          <w:sz w:val="24"/>
          <w:szCs w:val="24"/>
          <w:highlight w:val="none"/>
          <w:vertAlign w:val="subscript"/>
          <w:lang w:val="en-US" w:eastAsia="zh-CN" w:bidi="ar-SA"/>
        </w:rPr>
        <w:t>max</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和D</w:t>
      </w:r>
      <w:r>
        <w:rPr>
          <w:rFonts w:hint="default" w:ascii="Times New Roman" w:hAnsi="Times New Roman" w:eastAsia="宋体" w:cs="Times New Roman"/>
          <w:snapToGrid w:val="0"/>
          <w:color w:val="auto"/>
          <w:spacing w:val="0"/>
          <w:w w:val="100"/>
          <w:kern w:val="0"/>
          <w:position w:val="0"/>
          <w:sz w:val="24"/>
          <w:szCs w:val="24"/>
          <w:highlight w:val="none"/>
          <w:vertAlign w:val="subscript"/>
          <w:lang w:val="en-US" w:eastAsia="zh-CN" w:bidi="ar-SA"/>
        </w:rPr>
        <w:t>10%</w:t>
      </w:r>
      <w:r>
        <w:rPr>
          <w:rFonts w:hint="default" w:ascii="Times New Roman" w:hAnsi="Times New Roman" w:eastAsia="宋体" w:cs="Times New Roman"/>
          <w:snapToGrid w:val="0"/>
          <w:color w:val="auto"/>
          <w:spacing w:val="0"/>
          <w:w w:val="100"/>
          <w:kern w:val="0"/>
          <w:position w:val="0"/>
          <w:sz w:val="24"/>
          <w:szCs w:val="24"/>
          <w:highlight w:val="none"/>
          <w:lang w:val="en-US" w:eastAsia="zh-CN" w:bidi="ar-SA"/>
        </w:rPr>
        <w:t>预测结果见表1.5-</w:t>
      </w:r>
      <w:r>
        <w:rPr>
          <w:rFonts w:hint="eastAsia" w:cs="Times New Roman"/>
          <w:snapToGrid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无组织面源污染物排放源强及参数一览表</w:t>
      </w:r>
    </w:p>
    <w:tbl>
      <w:tblPr>
        <w:tblStyle w:val="25"/>
        <w:tblW w:w="8974"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95"/>
        <w:gridCol w:w="1447"/>
        <w:gridCol w:w="1305"/>
        <w:gridCol w:w="765"/>
        <w:gridCol w:w="900"/>
        <w:gridCol w:w="1030"/>
        <w:gridCol w:w="967"/>
        <w:gridCol w:w="941"/>
        <w:gridCol w:w="7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vMerge w:val="restart"/>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污染源名称</w:t>
            </w:r>
          </w:p>
        </w:tc>
        <w:tc>
          <w:tcPr>
            <w:tcW w:w="2752"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坐标(°)</w:t>
            </w:r>
          </w:p>
        </w:tc>
        <w:tc>
          <w:tcPr>
            <w:tcW w:w="765"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海拔高度(m)</w:t>
            </w:r>
          </w:p>
        </w:tc>
        <w:tc>
          <w:tcPr>
            <w:tcW w:w="193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0"/>
                <w:w w:val="100"/>
                <w:kern w:val="0"/>
                <w:position w:val="0"/>
                <w:sz w:val="21"/>
                <w:szCs w:val="21"/>
                <w:lang w:val="en-US" w:eastAsia="zh-CN"/>
              </w:rPr>
            </w:pPr>
            <w:r>
              <w:rPr>
                <w:rFonts w:hint="eastAsia" w:ascii="Times New Roman" w:hAnsi="Times New Roman" w:cs="Times New Roman"/>
                <w:b/>
                <w:bCs/>
                <w:color w:val="auto"/>
                <w:spacing w:val="0"/>
                <w:w w:val="100"/>
                <w:kern w:val="0"/>
                <w:position w:val="0"/>
                <w:sz w:val="21"/>
                <w:szCs w:val="21"/>
                <w:lang w:val="en-US" w:eastAsia="zh-CN"/>
              </w:rPr>
              <w:t>等效圆形面源</w:t>
            </w:r>
          </w:p>
        </w:tc>
        <w:tc>
          <w:tcPr>
            <w:tcW w:w="2632" w:type="dxa"/>
            <w:gridSpan w:val="3"/>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经度</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纬度</w:t>
            </w:r>
          </w:p>
        </w:tc>
        <w:tc>
          <w:tcPr>
            <w:tcW w:w="76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p>
        </w:tc>
        <w:tc>
          <w:tcPr>
            <w:tcW w:w="90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有效高度</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/m</w:t>
            </w:r>
          </w:p>
        </w:tc>
        <w:tc>
          <w:tcPr>
            <w:tcW w:w="103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圆形面</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源半径</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(m)</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NH</w:t>
            </w:r>
            <w:r>
              <w:rPr>
                <w:rFonts w:hint="default" w:ascii="Times New Roman" w:hAnsi="Times New Roman" w:eastAsia="宋体" w:cs="Times New Roman"/>
                <w:b/>
                <w:bCs/>
                <w:color w:val="auto"/>
                <w:spacing w:val="0"/>
                <w:w w:val="100"/>
                <w:kern w:val="0"/>
                <w:position w:val="0"/>
                <w:sz w:val="21"/>
                <w:szCs w:val="21"/>
                <w:vertAlign w:val="subscript"/>
              </w:rPr>
              <w:t>3</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H</w:t>
            </w:r>
            <w:r>
              <w:rPr>
                <w:rFonts w:hint="default" w:ascii="Times New Roman" w:hAnsi="Times New Roman" w:eastAsia="宋体" w:cs="Times New Roman"/>
                <w:b/>
                <w:bCs/>
                <w:color w:val="auto"/>
                <w:spacing w:val="0"/>
                <w:w w:val="100"/>
                <w:kern w:val="0"/>
                <w:position w:val="0"/>
                <w:sz w:val="21"/>
                <w:szCs w:val="21"/>
                <w:vertAlign w:val="subscript"/>
              </w:rPr>
              <w:t>2</w:t>
            </w:r>
            <w:r>
              <w:rPr>
                <w:rFonts w:hint="default" w:ascii="Times New Roman" w:hAnsi="Times New Roman" w:eastAsia="宋体" w:cs="Times New Roman"/>
                <w:b/>
                <w:bCs/>
                <w:color w:val="auto"/>
                <w:spacing w:val="0"/>
                <w:w w:val="100"/>
                <w:kern w:val="0"/>
                <w:position w:val="0"/>
                <w:sz w:val="21"/>
                <w:szCs w:val="21"/>
              </w:rPr>
              <w:t>S</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highlight w:val="none"/>
                <w:lang w:val="en-US" w:eastAsia="zh-CN"/>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eastAsia" w:ascii="Times New Roman" w:hAnsi="Times New Roman" w:cs="Times New Roman"/>
                <w:color w:val="auto"/>
                <w:spacing w:val="0"/>
                <w:w w:val="100"/>
                <w:kern w:val="0"/>
                <w:position w:val="0"/>
                <w:sz w:val="21"/>
                <w:szCs w:val="21"/>
                <w:highlight w:val="none"/>
                <w:lang w:val="en-US" w:eastAsia="zh-CN" w:bidi="ar-SA"/>
              </w:rPr>
              <w:t>牛舍</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1466</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210</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29</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03</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cs="Times New Roman"/>
                <w:b w:val="0"/>
                <w:color w:val="auto"/>
                <w:spacing w:val="0"/>
                <w:w w:val="100"/>
                <w:kern w:val="0"/>
                <w:position w:val="0"/>
                <w:sz w:val="21"/>
                <w:szCs w:val="21"/>
                <w:highlight w:val="none"/>
                <w:lang w:eastAsia="zh-CN"/>
              </w:rPr>
              <w:t>堆粪棚</w:t>
            </w:r>
            <w:r>
              <w:rPr>
                <w:rFonts w:hint="default" w:ascii="Times New Roman" w:hAnsi="Times New Roman" w:eastAsia="宋体" w:cs="Times New Roman"/>
                <w:b w:val="0"/>
                <w:color w:val="auto"/>
                <w:spacing w:val="0"/>
                <w:w w:val="100"/>
                <w:kern w:val="0"/>
                <w:position w:val="0"/>
                <w:sz w:val="21"/>
                <w:szCs w:val="21"/>
                <w:highlight w:val="none"/>
              </w:rPr>
              <w:t>恶臭</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1455</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10</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036</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0.00</w:t>
            </w:r>
            <w:r>
              <w:rPr>
                <w:rFonts w:hint="eastAsia" w:ascii="Times New Roman" w:hAnsi="Times New Roman" w:cs="Times New Roman"/>
                <w:b w:val="0"/>
                <w:color w:val="auto"/>
                <w:spacing w:val="0"/>
                <w:w w:val="100"/>
                <w:kern w:val="0"/>
                <w:position w:val="0"/>
                <w:sz w:val="21"/>
                <w:szCs w:val="21"/>
                <w:lang w:val="en-US" w:eastAsia="zh-CN"/>
              </w:rPr>
              <w:t>034</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bidi="ar-SA"/>
              </w:rPr>
              <w:t>污水处理站恶臭</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1455</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25</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12</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0.00</w:t>
            </w:r>
            <w:r>
              <w:rPr>
                <w:rFonts w:hint="eastAsia" w:ascii="Times New Roman" w:hAnsi="Times New Roman" w:cs="Times New Roman"/>
                <w:b w:val="0"/>
                <w:color w:val="auto"/>
                <w:spacing w:val="0"/>
                <w:w w:val="100"/>
                <w:kern w:val="0"/>
                <w:position w:val="0"/>
                <w:sz w:val="21"/>
                <w:szCs w:val="21"/>
                <w:lang w:val="en-US" w:eastAsia="zh-CN"/>
              </w:rPr>
              <w:t>05</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highlight w:val="none"/>
              </w:rPr>
              <w:t>饲料加工</w:t>
            </w:r>
          </w:p>
        </w:tc>
        <w:tc>
          <w:tcPr>
            <w:tcW w:w="1447" w:type="dxa"/>
            <w:tcBorders>
              <w:top w:val="single" w:color="auto" w:sz="4" w:space="0"/>
              <w:left w:val="single" w:color="auto" w:sz="4" w:space="0"/>
              <w:bottom w:val="single" w:color="auto" w:sz="12"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12"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1466</w:t>
            </w:r>
          </w:p>
        </w:tc>
        <w:tc>
          <w:tcPr>
            <w:tcW w:w="90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20</w:t>
            </w:r>
          </w:p>
        </w:tc>
        <w:tc>
          <w:tcPr>
            <w:tcW w:w="967"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c>
          <w:tcPr>
            <w:tcW w:w="941"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lang w:val="en-US" w:eastAsia="zh-CN"/>
              </w:rPr>
              <w:t>-</w:t>
            </w:r>
          </w:p>
        </w:tc>
        <w:tc>
          <w:tcPr>
            <w:tcW w:w="724" w:type="dxa"/>
            <w:tcBorders>
              <w:top w:val="single" w:color="auto" w:sz="4" w:space="0"/>
              <w:left w:val="single" w:color="auto" w:sz="4"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cs="Times New Roman"/>
                <w:b w:val="0"/>
                <w:color w:val="auto"/>
                <w:spacing w:val="0"/>
                <w:w w:val="100"/>
                <w:kern w:val="0"/>
                <w:position w:val="0"/>
                <w:sz w:val="21"/>
                <w:szCs w:val="21"/>
                <w:highlight w:val="none"/>
                <w:lang w:val="en-US" w:eastAsia="zh-CN"/>
              </w:rPr>
              <w:t>0.006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w:t>
      </w:r>
      <w:r>
        <w:rPr>
          <w:rFonts w:hint="eastAsia" w:ascii="Times New Roman" w:hAnsi="Times New Roman" w:cs="Times New Roman"/>
          <w:b/>
          <w:bCs w:val="0"/>
          <w:color w:val="auto"/>
          <w:spacing w:val="0"/>
          <w:w w:val="100"/>
          <w:kern w:val="0"/>
          <w:position w:val="0"/>
          <w:sz w:val="24"/>
          <w:szCs w:val="24"/>
          <w:highlight w:val="none"/>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估算模式所需参数一览表</w:t>
      </w:r>
    </w:p>
    <w:tbl>
      <w:tblPr>
        <w:tblStyle w:val="25"/>
        <w:tblW w:w="89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1661"/>
        <w:gridCol w:w="1804"/>
        <w:gridCol w:w="2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99" w:type="dxa"/>
            <w:gridSpan w:val="2"/>
            <w:tcBorders>
              <w:tl2br w:val="nil"/>
              <w:tr2bl w:val="nil"/>
            </w:tcBorders>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bookmarkStart w:id="335" w:name="_Toc9982_WPSOffice_Level3"/>
            <w:bookmarkStart w:id="336" w:name="_Toc1996_WPSOffice_Level3"/>
            <w:r>
              <w:rPr>
                <w:rFonts w:hint="default" w:ascii="Times New Roman" w:hAnsi="Times New Roman" w:eastAsia="宋体" w:cs="Times New Roman"/>
                <w:b/>
                <w:bCs/>
                <w:color w:val="auto"/>
                <w:spacing w:val="0"/>
                <w:w w:val="100"/>
                <w:kern w:val="0"/>
                <w:position w:val="0"/>
                <w:sz w:val="21"/>
                <w:szCs w:val="21"/>
                <w:highlight w:val="none"/>
              </w:rPr>
              <w:t>参数</w:t>
            </w:r>
          </w:p>
        </w:tc>
        <w:tc>
          <w:tcPr>
            <w:tcW w:w="4680" w:type="dxa"/>
            <w:gridSpan w:val="2"/>
            <w:tcBorders>
              <w:tl2br w:val="nil"/>
              <w:tr2bl w:val="nil"/>
            </w:tcBorders>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38" w:type="dxa"/>
            <w:vMerge w:val="restart"/>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城市/农村选项</w:t>
            </w: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城市/农村</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38" w:type="dxa"/>
            <w:vMerge w:val="continue"/>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人口数(城市人口数)</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299"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最高环境温度</w:t>
            </w:r>
          </w:p>
        </w:tc>
        <w:tc>
          <w:tcPr>
            <w:tcW w:w="4680" w:type="dxa"/>
            <w:gridSpan w:val="2"/>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rPr>
              <w:t>38.2</w:t>
            </w:r>
            <w:r>
              <w:rPr>
                <w:rFonts w:hint="eastAsia" w:ascii="Times New Roman" w:hAnsi="Times New Roman" w:eastAsia="宋体" w:cs="Times New Roman"/>
                <w:color w:val="auto"/>
                <w:spacing w:val="0"/>
                <w:w w:val="100"/>
                <w:kern w:val="0"/>
                <w:positio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299"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最低环境温度</w:t>
            </w:r>
          </w:p>
        </w:tc>
        <w:tc>
          <w:tcPr>
            <w:tcW w:w="4680" w:type="dxa"/>
            <w:gridSpan w:val="2"/>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rPr>
              <w:t>-26.8</w:t>
            </w:r>
            <w:r>
              <w:rPr>
                <w:rFonts w:hint="eastAsia" w:ascii="Times New Roman" w:hAnsi="Times New Roman" w:eastAsia="宋体" w:cs="Times New Roman"/>
                <w:color w:val="auto"/>
                <w:spacing w:val="0"/>
                <w:w w:val="100"/>
                <w:kern w:val="0"/>
                <w:positio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299"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土地利用类型</w:t>
            </w:r>
          </w:p>
        </w:tc>
        <w:tc>
          <w:tcPr>
            <w:tcW w:w="4680"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b w:val="0"/>
                <w:color w:val="auto"/>
                <w:spacing w:val="0"/>
                <w:w w:val="100"/>
                <w:kern w:val="0"/>
                <w:position w:val="0"/>
                <w:sz w:val="21"/>
                <w:szCs w:val="21"/>
                <w:highlight w:val="none"/>
                <w:lang w:eastAsia="zh-CN"/>
              </w:rPr>
              <w:t>设施农用地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299"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区域湿度条件</w:t>
            </w:r>
          </w:p>
        </w:tc>
        <w:tc>
          <w:tcPr>
            <w:tcW w:w="4680"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干燥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38" w:type="dxa"/>
            <w:vMerge w:val="restart"/>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是否考虑地形</w:t>
            </w: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考虑地形</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638" w:type="dxa"/>
            <w:vMerge w:val="continue"/>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地形数据分辨率(m)</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38" w:type="dxa"/>
            <w:vMerge w:val="restart"/>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是否考虑岸线熏烟</w:t>
            </w: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考虑岸线熏烟</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38" w:type="dxa"/>
            <w:vMerge w:val="continue"/>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岸线距离/m</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38" w:type="dxa"/>
            <w:vMerge w:val="continue"/>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3465" w:type="dxa"/>
            <w:gridSpan w:val="2"/>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岸线方向/°</w:t>
            </w:r>
          </w:p>
        </w:tc>
        <w:tc>
          <w:tcPr>
            <w:tcW w:w="287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本项目所有污染源的正常排放的污染物的P</w:t>
      </w:r>
      <w:r>
        <w:rPr>
          <w:rFonts w:hint="default" w:ascii="Times New Roman" w:hAnsi="Times New Roman" w:eastAsia="宋体" w:cs="Times New Roman"/>
          <w:color w:val="auto"/>
          <w:spacing w:val="0"/>
          <w:w w:val="100"/>
          <w:kern w:val="0"/>
          <w:position w:val="0"/>
          <w:sz w:val="24"/>
          <w:szCs w:val="32"/>
          <w:highlight w:val="none"/>
          <w:vertAlign w:val="subscript"/>
        </w:rPr>
        <w:t>max</w:t>
      </w:r>
      <w:r>
        <w:rPr>
          <w:rFonts w:hint="default" w:ascii="Times New Roman" w:hAnsi="Times New Roman" w:eastAsia="宋体" w:cs="Times New Roman"/>
          <w:color w:val="auto"/>
          <w:spacing w:val="0"/>
          <w:w w:val="100"/>
          <w:kern w:val="0"/>
          <w:position w:val="0"/>
          <w:sz w:val="24"/>
          <w:szCs w:val="32"/>
          <w:highlight w:val="none"/>
        </w:rPr>
        <w:t>和D</w:t>
      </w:r>
      <w:r>
        <w:rPr>
          <w:rFonts w:hint="default" w:ascii="Times New Roman" w:hAnsi="Times New Roman" w:eastAsia="宋体" w:cs="Times New Roman"/>
          <w:color w:val="auto"/>
          <w:spacing w:val="0"/>
          <w:w w:val="100"/>
          <w:kern w:val="0"/>
          <w:position w:val="0"/>
          <w:sz w:val="24"/>
          <w:szCs w:val="32"/>
          <w:highlight w:val="none"/>
          <w:vertAlign w:val="subscript"/>
        </w:rPr>
        <w:t>10%</w:t>
      </w:r>
      <w:r>
        <w:rPr>
          <w:rFonts w:hint="default" w:ascii="Times New Roman" w:hAnsi="Times New Roman" w:eastAsia="宋体" w:cs="Times New Roman"/>
          <w:color w:val="auto"/>
          <w:spacing w:val="0"/>
          <w:w w:val="100"/>
          <w:kern w:val="0"/>
          <w:position w:val="0"/>
          <w:sz w:val="24"/>
          <w:szCs w:val="32"/>
          <w:highlight w:val="none"/>
        </w:rPr>
        <w:t>预测结果如下：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w:t>
      </w:r>
      <w:r>
        <w:rPr>
          <w:rFonts w:hint="default" w:ascii="Times New Roman" w:hAnsi="Times New Roman"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P</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max</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和D</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10%</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预测和计算结果一览表</w:t>
      </w:r>
    </w:p>
    <w:bookmarkEnd w:id="335"/>
    <w:bookmarkEnd w:id="336"/>
    <w:tbl>
      <w:tblPr>
        <w:tblStyle w:val="25"/>
        <w:tblW w:w="493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40"/>
        <w:gridCol w:w="1423"/>
        <w:gridCol w:w="1759"/>
        <w:gridCol w:w="1611"/>
        <w:gridCol w:w="1138"/>
        <w:gridCol w:w="116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7" w:hRule="atLeast"/>
          <w:jc w:val="center"/>
        </w:trPr>
        <w:tc>
          <w:tcPr>
            <w:tcW w:w="1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污染源名称</w:t>
            </w: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评价因子</w:t>
            </w:r>
          </w:p>
        </w:tc>
        <w:tc>
          <w:tcPr>
            <w:tcW w:w="17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评价标准(μg/m³)</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Cmax(μg/m³)</w:t>
            </w:r>
          </w:p>
        </w:tc>
        <w:tc>
          <w:tcPr>
            <w:tcW w:w="11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Pmax(%)</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D10%(m)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eastAsia" w:ascii="Times New Roman" w:hAnsi="Times New Roman" w:cs="Times New Roman"/>
                <w:color w:val="auto"/>
                <w:spacing w:val="0"/>
                <w:w w:val="100"/>
                <w:kern w:val="0"/>
                <w:position w:val="0"/>
                <w:sz w:val="21"/>
                <w:szCs w:val="21"/>
                <w:highlight w:val="none"/>
                <w:lang w:val="en-US" w:eastAsia="zh-CN" w:bidi="ar-SA"/>
              </w:rPr>
              <w:t>牛舍</w:t>
            </w: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NH</w:t>
            </w:r>
            <w:r>
              <w:rPr>
                <w:rFonts w:hint="default" w:ascii="Times New Roman" w:hAnsi="Times New Roman" w:eastAsia="宋体" w:cs="Times New Roman"/>
                <w:b w:val="0"/>
                <w:color w:val="auto"/>
                <w:spacing w:val="0"/>
                <w:w w:val="100"/>
                <w:kern w:val="0"/>
                <w:position w:val="0"/>
                <w:sz w:val="21"/>
                <w:szCs w:val="21"/>
                <w:highlight w:val="none"/>
                <w:vertAlign w:val="subscript"/>
              </w:rPr>
              <w:t>3</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3.62874</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1.81</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H</w:t>
            </w:r>
            <w:r>
              <w:rPr>
                <w:rFonts w:hint="default" w:ascii="Times New Roman" w:hAnsi="Times New Roman" w:eastAsia="宋体" w:cs="Times New Roman"/>
                <w:b w:val="0"/>
                <w:color w:val="auto"/>
                <w:spacing w:val="0"/>
                <w:w w:val="100"/>
                <w:kern w:val="0"/>
                <w:position w:val="0"/>
                <w:sz w:val="21"/>
                <w:szCs w:val="21"/>
                <w:highlight w:val="none"/>
                <w:vertAlign w:val="subscript"/>
              </w:rPr>
              <w:t>2</w:t>
            </w:r>
            <w:r>
              <w:rPr>
                <w:rFonts w:hint="default" w:ascii="Times New Roman" w:hAnsi="Times New Roman" w:eastAsia="宋体" w:cs="Times New Roman"/>
                <w:b w:val="0"/>
                <w:color w:val="auto"/>
                <w:spacing w:val="0"/>
                <w:w w:val="100"/>
                <w:kern w:val="0"/>
                <w:position w:val="0"/>
                <w:sz w:val="21"/>
                <w:szCs w:val="21"/>
                <w:highlight w:val="none"/>
              </w:rPr>
              <w:t>S</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10.0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0.39252</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3.92</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b w:val="0"/>
                <w:color w:val="auto"/>
                <w:spacing w:val="0"/>
                <w:w w:val="100"/>
                <w:kern w:val="0"/>
                <w:position w:val="0"/>
                <w:sz w:val="21"/>
                <w:szCs w:val="21"/>
                <w:highlight w:val="none"/>
                <w:lang w:eastAsia="zh-CN"/>
              </w:rPr>
              <w:t>堆粪棚</w:t>
            </w:r>
            <w:r>
              <w:rPr>
                <w:rFonts w:hint="default" w:ascii="Times New Roman" w:hAnsi="Times New Roman" w:eastAsia="宋体" w:cs="Times New Roman"/>
                <w:b w:val="0"/>
                <w:color w:val="auto"/>
                <w:spacing w:val="0"/>
                <w:w w:val="100"/>
                <w:kern w:val="0"/>
                <w:position w:val="0"/>
                <w:sz w:val="21"/>
                <w:szCs w:val="21"/>
                <w:highlight w:val="none"/>
              </w:rPr>
              <w:t>恶臭</w:t>
            </w: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NH</w:t>
            </w:r>
            <w:r>
              <w:rPr>
                <w:rFonts w:hint="default" w:ascii="Times New Roman" w:hAnsi="Times New Roman" w:eastAsia="宋体" w:cs="Times New Roman"/>
                <w:b w:val="0"/>
                <w:color w:val="auto"/>
                <w:spacing w:val="0"/>
                <w:w w:val="100"/>
                <w:kern w:val="0"/>
                <w:position w:val="0"/>
                <w:sz w:val="21"/>
                <w:szCs w:val="21"/>
                <w:highlight w:val="none"/>
                <w:vertAlign w:val="subscript"/>
              </w:rPr>
              <w:t>3</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1611"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3.6867</w:t>
            </w:r>
          </w:p>
        </w:tc>
        <w:tc>
          <w:tcPr>
            <w:tcW w:w="1138"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1.84</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H</w:t>
            </w:r>
            <w:r>
              <w:rPr>
                <w:rFonts w:hint="default" w:ascii="Times New Roman" w:hAnsi="Times New Roman" w:eastAsia="宋体" w:cs="Times New Roman"/>
                <w:b w:val="0"/>
                <w:color w:val="auto"/>
                <w:spacing w:val="0"/>
                <w:w w:val="100"/>
                <w:kern w:val="0"/>
                <w:position w:val="0"/>
                <w:sz w:val="21"/>
                <w:szCs w:val="21"/>
                <w:highlight w:val="none"/>
                <w:vertAlign w:val="subscript"/>
              </w:rPr>
              <w:t>2</w:t>
            </w:r>
            <w:r>
              <w:rPr>
                <w:rFonts w:hint="default" w:ascii="Times New Roman" w:hAnsi="Times New Roman" w:eastAsia="宋体" w:cs="Times New Roman"/>
                <w:b w:val="0"/>
                <w:color w:val="auto"/>
                <w:spacing w:val="0"/>
                <w:w w:val="100"/>
                <w:kern w:val="0"/>
                <w:position w:val="0"/>
                <w:sz w:val="21"/>
                <w:szCs w:val="21"/>
                <w:highlight w:val="none"/>
              </w:rPr>
              <w:t>S</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10.0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0.32328</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3.23</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bidi="ar-SA"/>
              </w:rPr>
              <w:t>污水处理站恶臭</w:t>
            </w: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NH</w:t>
            </w:r>
            <w:r>
              <w:rPr>
                <w:rFonts w:hint="default" w:ascii="Times New Roman" w:hAnsi="Times New Roman" w:eastAsia="宋体" w:cs="Times New Roman"/>
                <w:b w:val="0"/>
                <w:color w:val="auto"/>
                <w:spacing w:val="0"/>
                <w:w w:val="100"/>
                <w:kern w:val="0"/>
                <w:position w:val="0"/>
                <w:sz w:val="21"/>
                <w:szCs w:val="21"/>
                <w:highlight w:val="none"/>
                <w:vertAlign w:val="subscript"/>
              </w:rPr>
              <w:t>3</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5.71752</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2.86</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7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H</w:t>
            </w:r>
            <w:r>
              <w:rPr>
                <w:rFonts w:hint="default" w:ascii="Times New Roman" w:hAnsi="Times New Roman" w:eastAsia="宋体" w:cs="Times New Roman"/>
                <w:b w:val="0"/>
                <w:color w:val="auto"/>
                <w:spacing w:val="0"/>
                <w:w w:val="100"/>
                <w:kern w:val="0"/>
                <w:position w:val="0"/>
                <w:sz w:val="21"/>
                <w:szCs w:val="21"/>
                <w:highlight w:val="none"/>
                <w:vertAlign w:val="subscript"/>
              </w:rPr>
              <w:t>2</w:t>
            </w:r>
            <w:r>
              <w:rPr>
                <w:rFonts w:hint="default" w:ascii="Times New Roman" w:hAnsi="Times New Roman" w:eastAsia="宋体" w:cs="Times New Roman"/>
                <w:b w:val="0"/>
                <w:color w:val="auto"/>
                <w:spacing w:val="0"/>
                <w:w w:val="100"/>
                <w:kern w:val="0"/>
                <w:position w:val="0"/>
                <w:sz w:val="21"/>
                <w:szCs w:val="21"/>
                <w:highlight w:val="none"/>
              </w:rPr>
              <w:t>S</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10.0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0.2199</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2.20</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9" w:hRule="atLeast"/>
          <w:jc w:val="center"/>
        </w:trPr>
        <w:tc>
          <w:tcPr>
            <w:tcW w:w="1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饲料加工</w:t>
            </w: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TSP</w:t>
            </w:r>
          </w:p>
        </w:tc>
        <w:tc>
          <w:tcPr>
            <w:tcW w:w="1760"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900.0</w:t>
            </w:r>
          </w:p>
        </w:tc>
        <w:tc>
          <w:tcPr>
            <w:tcW w:w="161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10.4778</w:t>
            </w:r>
          </w:p>
        </w:tc>
        <w:tc>
          <w:tcPr>
            <w:tcW w:w="113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1.16</w:t>
            </w:r>
          </w:p>
        </w:tc>
        <w:tc>
          <w:tcPr>
            <w:tcW w:w="116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color w:val="auto"/>
                <w:spacing w:val="0"/>
                <w:w w:val="100"/>
                <w:kern w:val="0"/>
                <w:position w:val="0"/>
                <w:sz w:val="21"/>
                <w:szCs w:val="21"/>
                <w:highlight w:val="none"/>
              </w:rPr>
              <w:t>/</w:t>
            </w:r>
          </w:p>
        </w:tc>
      </w:tr>
    </w:tbl>
    <w:p>
      <w:pPr>
        <w:pStyle w:val="16"/>
        <w:adjustRightInd w:val="0"/>
        <w:spacing w:line="360" w:lineRule="auto"/>
        <w:ind w:firstLine="480" w:firstLineChars="200"/>
        <w:jc w:val="both"/>
        <w:rPr>
          <w:rFonts w:hint="default" w:ascii="Times New Roman" w:hAnsi="Times New Roman" w:eastAsia="宋体" w:cs="Times New Roman"/>
          <w:b w:val="0"/>
          <w:bCs/>
          <w:color w:val="auto"/>
          <w:spacing w:val="0"/>
          <w:w w:val="100"/>
          <w:kern w:val="0"/>
          <w:position w:val="0"/>
          <w:sz w:val="24"/>
          <w:szCs w:val="28"/>
          <w:highlight w:val="none"/>
          <w:lang w:val="en-US" w:eastAsia="zh-CN" w:bidi="ar-SA"/>
        </w:rPr>
      </w:pP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本项目P</w:t>
      </w:r>
      <w:r>
        <w:rPr>
          <w:rFonts w:hint="default" w:ascii="Times New Roman" w:hAnsi="Times New Roman" w:eastAsia="宋体" w:cs="Times New Roman"/>
          <w:b w:val="0"/>
          <w:bCs/>
          <w:color w:val="auto"/>
          <w:spacing w:val="0"/>
          <w:w w:val="100"/>
          <w:kern w:val="0"/>
          <w:position w:val="0"/>
          <w:sz w:val="24"/>
          <w:szCs w:val="28"/>
          <w:highlight w:val="none"/>
          <w:vertAlign w:val="subscript"/>
          <w:lang w:val="en-US" w:eastAsia="zh-CN" w:bidi="ar-SA"/>
        </w:rPr>
        <w:t>max</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最大值出现为</w:t>
      </w:r>
      <w:r>
        <w:rPr>
          <w:rFonts w:hint="eastAsia" w:ascii="Times New Roman" w:hAnsi="Times New Roman" w:cs="Times New Roman"/>
          <w:b w:val="0"/>
          <w:bCs/>
          <w:color w:val="auto"/>
          <w:spacing w:val="0"/>
          <w:w w:val="100"/>
          <w:kern w:val="0"/>
          <w:position w:val="0"/>
          <w:sz w:val="24"/>
          <w:szCs w:val="28"/>
          <w:highlight w:val="none"/>
          <w:lang w:val="en-US" w:eastAsia="zh-CN" w:bidi="ar-SA"/>
        </w:rPr>
        <w:t>牛舍</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产生的的H</w:t>
      </w:r>
      <w:r>
        <w:rPr>
          <w:rFonts w:hint="default" w:ascii="Times New Roman" w:hAnsi="Times New Roman" w:eastAsia="宋体" w:cs="Times New Roman"/>
          <w:b w:val="0"/>
          <w:bCs/>
          <w:color w:val="auto"/>
          <w:spacing w:val="0"/>
          <w:w w:val="100"/>
          <w:kern w:val="0"/>
          <w:position w:val="0"/>
          <w:sz w:val="24"/>
          <w:szCs w:val="28"/>
          <w:highlight w:val="none"/>
          <w:vertAlign w:val="subscript"/>
          <w:lang w:val="en-US" w:eastAsia="zh-CN" w:bidi="ar-SA"/>
        </w:rPr>
        <w:t>2</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S值为</w:t>
      </w:r>
      <w:r>
        <w:rPr>
          <w:rFonts w:hint="eastAsia" w:ascii="Times New Roman" w:hAnsi="Times New Roman" w:cs="Times New Roman"/>
          <w:b w:val="0"/>
          <w:bCs/>
          <w:color w:val="auto"/>
          <w:spacing w:val="0"/>
          <w:w w:val="100"/>
          <w:kern w:val="0"/>
          <w:position w:val="0"/>
          <w:sz w:val="24"/>
          <w:szCs w:val="28"/>
          <w:highlight w:val="none"/>
          <w:lang w:val="en-US" w:eastAsia="zh-CN" w:bidi="ar-SA"/>
        </w:rPr>
        <w:t>3.92</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%，C</w:t>
      </w:r>
      <w:r>
        <w:rPr>
          <w:rFonts w:hint="default" w:ascii="Times New Roman" w:hAnsi="Times New Roman" w:eastAsia="宋体" w:cs="Times New Roman"/>
          <w:b w:val="0"/>
          <w:bCs/>
          <w:color w:val="auto"/>
          <w:spacing w:val="0"/>
          <w:w w:val="100"/>
          <w:kern w:val="0"/>
          <w:position w:val="0"/>
          <w:sz w:val="24"/>
          <w:szCs w:val="28"/>
          <w:highlight w:val="none"/>
          <w:vertAlign w:val="subscript"/>
          <w:lang w:val="en-US" w:eastAsia="zh-CN" w:bidi="ar-SA"/>
        </w:rPr>
        <w:t>max</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为0.</w:t>
      </w:r>
      <w:r>
        <w:rPr>
          <w:rFonts w:hint="eastAsia" w:ascii="Times New Roman" w:hAnsi="Times New Roman" w:cs="Times New Roman"/>
          <w:b w:val="0"/>
          <w:bCs/>
          <w:color w:val="auto"/>
          <w:spacing w:val="0"/>
          <w:w w:val="100"/>
          <w:kern w:val="0"/>
          <w:position w:val="0"/>
          <w:sz w:val="24"/>
          <w:szCs w:val="28"/>
          <w:highlight w:val="none"/>
          <w:lang w:val="en-US" w:eastAsia="zh-CN" w:bidi="ar-SA"/>
        </w:rPr>
        <w:t>39252</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μg/m³，根据《环境影响评价技术导则 大气环境》（HJ2.2-2018）分级判据，确定本项目大气环境影响评价工作等级为二级。</w:t>
      </w:r>
    </w:p>
    <w:bookmarkEnd w:id="315"/>
    <w:bookmarkEnd w:id="316"/>
    <w:bookmarkEnd w:id="317"/>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w:t>
      </w:r>
      <w:r>
        <w:rPr>
          <w:rFonts w:hint="default" w:ascii="Times New Roman" w:hAnsi="Times New Roman" w:eastAsia="宋体" w:cs="Times New Roman"/>
          <w:b/>
          <w:color w:val="auto"/>
          <w:spacing w:val="0"/>
          <w:w w:val="100"/>
          <w:kern w:val="0"/>
          <w:position w:val="0"/>
          <w:sz w:val="24"/>
          <w:highlight w:val="none"/>
          <w:lang w:val="en-US" w:eastAsia="zh-CN"/>
        </w:rPr>
        <w:t>5</w:t>
      </w:r>
      <w:r>
        <w:rPr>
          <w:rFonts w:hint="default" w:ascii="Times New Roman" w:hAnsi="Times New Roman" w:eastAsia="宋体" w:cs="Times New Roman"/>
          <w:b/>
          <w:color w:val="auto"/>
          <w:spacing w:val="0"/>
          <w:w w:val="100"/>
          <w:kern w:val="0"/>
          <w:position w:val="0"/>
          <w:sz w:val="24"/>
          <w:highlight w:val="none"/>
        </w:rPr>
        <w:t>.1.3评价范围</w:t>
      </w:r>
    </w:p>
    <w:p>
      <w:pPr>
        <w:pStyle w:val="16"/>
        <w:adjustRightInd w:val="0"/>
        <w:spacing w:line="360" w:lineRule="auto"/>
        <w:ind w:firstLine="480" w:firstLineChars="200"/>
        <w:jc w:val="both"/>
        <w:rPr>
          <w:rFonts w:hint="default" w:ascii="Times New Roman" w:hAnsi="Times New Roman" w:eastAsia="宋体" w:cs="Times New Roman"/>
          <w:b w:val="0"/>
          <w:bCs/>
          <w:color w:val="auto"/>
          <w:spacing w:val="0"/>
          <w:w w:val="100"/>
          <w:kern w:val="0"/>
          <w:position w:val="0"/>
          <w:sz w:val="24"/>
          <w:szCs w:val="28"/>
          <w:highlight w:val="none"/>
          <w:lang w:val="en-US" w:eastAsia="zh-CN" w:bidi="ar-SA"/>
        </w:rPr>
      </w:pP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根据《环境影响评价技术导则 大气环境》（HJ2.2-2018）的规定，二级评价项目大气环境影响评价范围边长取5km，则该项目最终评价范围确定为以项目场址为中心，边长5×5km的矩形范围内，项目评价范围详见图1.5-1。</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37" w:name="_Toc23850"/>
      <w:bookmarkStart w:id="338" w:name="_Toc6026_WPSOffice_Level2"/>
      <w:bookmarkStart w:id="339" w:name="_Toc29035"/>
      <w:bookmarkStart w:id="340" w:name="_Toc30869"/>
      <w:bookmarkStart w:id="341" w:name="_Toc28773"/>
      <w:bookmarkStart w:id="342" w:name="_Toc1634_WPSOffice_Level2"/>
      <w:bookmarkStart w:id="343" w:name="_Toc16626"/>
      <w:bookmarkStart w:id="344" w:name="_Toc19084"/>
      <w:bookmarkStart w:id="345" w:name="_Toc20064"/>
      <w:bookmarkStart w:id="346" w:name="_Toc9902"/>
      <w:bookmarkStart w:id="347" w:name="_Toc31157"/>
      <w:bookmarkStart w:id="348" w:name="_Toc387745560"/>
      <w:bookmarkStart w:id="349" w:name="_Toc2254"/>
      <w:bookmarkStart w:id="350" w:name="_Toc16242"/>
      <w:bookmarkStart w:id="351" w:name="_Toc30732"/>
      <w:bookmarkStart w:id="352" w:name="_Toc491609962"/>
      <w:bookmarkStart w:id="353" w:name="_Toc388619978"/>
      <w:bookmarkStart w:id="354" w:name="_Toc484463386"/>
      <w:bookmarkStart w:id="355" w:name="_Toc332203169"/>
      <w:bookmarkStart w:id="356" w:name="_Toc23141"/>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.5.2地表水环境</w:t>
      </w:r>
      <w:bookmarkEnd w:id="337"/>
      <w:bookmarkEnd w:id="338"/>
      <w:bookmarkEnd w:id="339"/>
      <w:bookmarkEnd w:id="340"/>
      <w:bookmarkEnd w:id="341"/>
      <w:bookmarkEnd w:id="342"/>
      <w:bookmarkEnd w:id="343"/>
      <w:bookmarkEnd w:id="344"/>
      <w:bookmarkEnd w:id="345"/>
      <w:bookmarkEnd w:id="346"/>
      <w:bookmarkEnd w:id="347"/>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357" w:name="_Toc23569_WPSOffice_Level3"/>
      <w:bookmarkStart w:id="358" w:name="_Toc7041_WPSOffice_Level3"/>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.5.2.1评价工作等级</w:t>
      </w:r>
      <w:bookmarkEnd w:id="357"/>
      <w:bookmarkEnd w:id="358"/>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b w:val="0"/>
          <w:bCs/>
          <w:color w:val="auto"/>
          <w:spacing w:val="0"/>
          <w:w w:val="100"/>
          <w:kern w:val="0"/>
          <w:position w:val="0"/>
          <w:sz w:val="24"/>
          <w:szCs w:val="28"/>
          <w:highlight w:val="none"/>
          <w:lang w:val="en-US" w:eastAsia="zh-CN" w:bidi="ar-SA"/>
        </w:rPr>
      </w:pP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通过工程分析可知，本项目产生的废水主要是生活污水及生产废水，生产废水及生活污水经建设单位自建污水处理站处理后达到《农田灌溉水质标准》（GB5084-2005）</w:t>
      </w:r>
      <w:r>
        <w:rPr>
          <w:rFonts w:hint="default" w:ascii="Times New Roman" w:hAnsi="Times New Roman" w:eastAsia="宋体" w:cs="Times New Roman"/>
          <w:b w:val="0"/>
          <w:bCs/>
          <w:color w:val="auto"/>
          <w:spacing w:val="0"/>
          <w:w w:val="100"/>
          <w:kern w:val="0"/>
          <w:position w:val="0"/>
          <w:sz w:val="24"/>
          <w:szCs w:val="28"/>
          <w:highlight w:val="none"/>
          <w:lang w:val="zh-CN" w:eastAsia="zh-CN" w:bidi="ar-SA"/>
        </w:rPr>
        <w:t>中“旱作”标准后，用于</w:t>
      </w:r>
      <w:r>
        <w:rPr>
          <w:rFonts w:hint="eastAsia" w:ascii="Times New Roman" w:hAnsi="Times New Roman" w:cs="Times New Roman"/>
          <w:b w:val="0"/>
          <w:bCs/>
          <w:color w:val="auto"/>
          <w:spacing w:val="0"/>
          <w:w w:val="100"/>
          <w:kern w:val="0"/>
          <w:position w:val="0"/>
          <w:sz w:val="24"/>
          <w:szCs w:val="28"/>
          <w:highlight w:val="none"/>
          <w:lang w:val="zh-CN" w:eastAsia="zh-CN" w:bidi="ar-SA"/>
        </w:rPr>
        <w:t>周边农田</w:t>
      </w:r>
      <w:r>
        <w:rPr>
          <w:rFonts w:hint="default" w:ascii="Times New Roman" w:hAnsi="Times New Roman" w:eastAsia="宋体" w:cs="Times New Roman"/>
          <w:b w:val="0"/>
          <w:bCs/>
          <w:color w:val="auto"/>
          <w:spacing w:val="0"/>
          <w:w w:val="100"/>
          <w:kern w:val="0"/>
          <w:position w:val="0"/>
          <w:sz w:val="24"/>
          <w:szCs w:val="28"/>
          <w:highlight w:val="none"/>
          <w:lang w:val="zh-CN" w:eastAsia="zh-CN" w:bidi="ar-SA"/>
        </w:rPr>
        <w:t>灌溉。</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冬季储存项目氧化塘（总容积</w:t>
      </w:r>
      <w:r>
        <w:rPr>
          <w:rFonts w:hint="default" w:ascii="Times New Roman" w:hAnsi="Times New Roman" w:cs="Times New Roman"/>
          <w:b w:val="0"/>
          <w:bCs/>
          <w:color w:val="auto"/>
          <w:spacing w:val="0"/>
          <w:w w:val="100"/>
          <w:kern w:val="0"/>
          <w:position w:val="0"/>
          <w:sz w:val="24"/>
          <w:szCs w:val="28"/>
          <w:highlight w:val="none"/>
          <w:lang w:val="en-US" w:eastAsia="zh-CN" w:bidi="ar-SA"/>
        </w:rPr>
        <w:t>16000m</w:t>
      </w:r>
      <w:r>
        <w:rPr>
          <w:rFonts w:hint="default" w:ascii="Times New Roman" w:hAnsi="Times New Roman" w:eastAsia="宋体" w:cs="Times New Roman"/>
          <w:b w:val="0"/>
          <w:bCs/>
          <w:color w:val="auto"/>
          <w:spacing w:val="0"/>
          <w:w w:val="100"/>
          <w:kern w:val="0"/>
          <w:position w:val="0"/>
          <w:sz w:val="24"/>
          <w:szCs w:val="28"/>
          <w:highlight w:val="none"/>
          <w:vertAlign w:val="superscript"/>
          <w:lang w:val="en-US" w:eastAsia="zh-CN" w:bidi="ar-SA"/>
        </w:rPr>
        <w:t>3</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），待春季用于</w:t>
      </w:r>
      <w:r>
        <w:rPr>
          <w:rFonts w:hint="eastAsia" w:ascii="Times New Roman" w:hAnsi="Times New Roman" w:cs="Times New Roman"/>
          <w:b w:val="0"/>
          <w:bCs/>
          <w:color w:val="auto"/>
          <w:spacing w:val="0"/>
          <w:w w:val="100"/>
          <w:kern w:val="0"/>
          <w:position w:val="0"/>
          <w:sz w:val="24"/>
          <w:szCs w:val="28"/>
          <w:highlight w:val="none"/>
          <w:lang w:val="zh-CN" w:eastAsia="zh-CN" w:bidi="ar-SA"/>
        </w:rPr>
        <w:t>周边农田</w:t>
      </w:r>
      <w:r>
        <w:rPr>
          <w:rFonts w:hint="default" w:ascii="Times New Roman" w:hAnsi="Times New Roman" w:eastAsia="宋体" w:cs="Times New Roman"/>
          <w:b w:val="0"/>
          <w:bCs/>
          <w:color w:val="auto"/>
          <w:spacing w:val="0"/>
          <w:w w:val="100"/>
          <w:kern w:val="0"/>
          <w:position w:val="0"/>
          <w:sz w:val="24"/>
          <w:szCs w:val="28"/>
          <w:highlight w:val="none"/>
          <w:lang w:val="zh-CN" w:eastAsia="zh-CN" w:bidi="ar-SA"/>
        </w:rPr>
        <w:t>灌溉</w:t>
      </w: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b w:val="0"/>
          <w:bCs/>
          <w:color w:val="auto"/>
          <w:spacing w:val="0"/>
          <w:w w:val="100"/>
          <w:kern w:val="0"/>
          <w:position w:val="0"/>
          <w:sz w:val="24"/>
          <w:szCs w:val="28"/>
          <w:highlight w:val="none"/>
          <w:lang w:val="en-US" w:eastAsia="zh-CN" w:bidi="ar-SA"/>
        </w:rPr>
        <w:t>根据《环境影响评价技术导则 地表水环境》（HJ2.3-2018）中规定，水污染影响型建设项目根据排放方式和废水排放量划分评价等级，判定依据见表1.5-6。</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表1.5-6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评价工作等级划分依据</w:t>
      </w:r>
    </w:p>
    <w:tbl>
      <w:tblPr>
        <w:tblStyle w:val="25"/>
        <w:tblW w:w="500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83"/>
        <w:gridCol w:w="1811"/>
        <w:gridCol w:w="5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1183" w:type="dxa"/>
            <w:vMerge w:val="restart"/>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评价等级</w:t>
            </w:r>
          </w:p>
        </w:tc>
        <w:tc>
          <w:tcPr>
            <w:tcW w:w="7675" w:type="dxa"/>
            <w:gridSpan w:val="2"/>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183" w:type="dxa"/>
            <w:vMerge w:val="continue"/>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p>
        </w:tc>
        <w:tc>
          <w:tcPr>
            <w:tcW w:w="1811" w:type="dxa"/>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排放方式</w:t>
            </w:r>
          </w:p>
        </w:tc>
        <w:tc>
          <w:tcPr>
            <w:tcW w:w="5864"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废水排放量Q/（m</w:t>
            </w:r>
            <w:r>
              <w:rPr>
                <w:rFonts w:hint="default" w:ascii="Times New Roman" w:hAnsi="Times New Roman" w:eastAsia="宋体" w:cs="Times New Roman"/>
                <w:b/>
                <w:bCs/>
                <w:color w:val="auto"/>
                <w:spacing w:val="0"/>
                <w:w w:val="100"/>
                <w:kern w:val="0"/>
                <w:position w:val="0"/>
                <w:szCs w:val="21"/>
                <w:highlight w:val="none"/>
                <w:vertAlign w:val="superscript"/>
              </w:rPr>
              <w:t>3</w:t>
            </w:r>
            <w:r>
              <w:rPr>
                <w:rFonts w:hint="default" w:ascii="Times New Roman" w:hAnsi="Times New Roman" w:eastAsia="宋体" w:cs="Times New Roman"/>
                <w:b/>
                <w:bCs/>
                <w:color w:val="auto"/>
                <w:spacing w:val="0"/>
                <w:w w:val="100"/>
                <w:kern w:val="0"/>
                <w:position w:val="0"/>
                <w:szCs w:val="21"/>
                <w:highlight w:val="none"/>
              </w:rPr>
              <w:t>/d）；</w:t>
            </w:r>
            <w:r>
              <w:rPr>
                <w:rFonts w:hint="default" w:ascii="Times New Roman" w:hAnsi="Times New Roman" w:eastAsia="宋体" w:cs="Times New Roman"/>
                <w:b/>
                <w:color w:val="auto"/>
                <w:spacing w:val="0"/>
                <w:w w:val="100"/>
                <w:kern w:val="0"/>
                <w:position w:val="0"/>
                <w:szCs w:val="21"/>
                <w:highlight w:val="none"/>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183"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一级</w:t>
            </w:r>
          </w:p>
        </w:tc>
        <w:tc>
          <w:tcPr>
            <w:tcW w:w="1811"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直接排放</w:t>
            </w:r>
          </w:p>
        </w:tc>
        <w:tc>
          <w:tcPr>
            <w:tcW w:w="5864"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Q≥</w:t>
            </w:r>
            <w:r>
              <w:rPr>
                <w:rFonts w:hint="default" w:ascii="Times New Roman" w:hAnsi="Times New Roman" w:eastAsia="宋体" w:cs="Times New Roman"/>
                <w:bCs/>
                <w:color w:val="auto"/>
                <w:spacing w:val="0"/>
                <w:w w:val="100"/>
                <w:kern w:val="0"/>
                <w:position w:val="0"/>
                <w:szCs w:val="21"/>
                <w:highlight w:val="none"/>
                <w:lang w:eastAsia="zh-CN"/>
              </w:rPr>
              <w:t>10000</w:t>
            </w:r>
            <w:r>
              <w:rPr>
                <w:rFonts w:hint="default" w:ascii="Times New Roman" w:hAnsi="Times New Roman" w:eastAsia="宋体" w:cs="Times New Roman"/>
                <w:bCs/>
                <w:color w:val="auto"/>
                <w:spacing w:val="0"/>
                <w:w w:val="100"/>
                <w:kern w:val="0"/>
                <w:position w:val="0"/>
                <w:szCs w:val="21"/>
                <w:highlight w:val="none"/>
              </w:rPr>
              <w:t>或</w:t>
            </w:r>
            <w:r>
              <w:rPr>
                <w:rFonts w:hint="default" w:ascii="Times New Roman" w:hAnsi="Times New Roman" w:eastAsia="宋体" w:cs="Times New Roman"/>
                <w:color w:val="auto"/>
                <w:spacing w:val="0"/>
                <w:w w:val="100"/>
                <w:kern w:val="0"/>
                <w:position w:val="0"/>
                <w:szCs w:val="21"/>
                <w:highlight w:val="none"/>
              </w:rPr>
              <w:t>W</w:t>
            </w:r>
            <w:r>
              <w:rPr>
                <w:rFonts w:hint="default" w:ascii="Times New Roman" w:hAnsi="Times New Roman" w:eastAsia="宋体" w:cs="Times New Roman"/>
                <w:bCs/>
                <w:color w:val="auto"/>
                <w:spacing w:val="0"/>
                <w:w w:val="100"/>
                <w:kern w:val="0"/>
                <w:position w:val="0"/>
                <w:szCs w:val="21"/>
                <w:highlight w:val="none"/>
              </w:rPr>
              <w:t>≥600000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183"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二级</w:t>
            </w:r>
          </w:p>
        </w:tc>
        <w:tc>
          <w:tcPr>
            <w:tcW w:w="1811"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直接排放</w:t>
            </w:r>
          </w:p>
        </w:tc>
        <w:tc>
          <w:tcPr>
            <w:tcW w:w="5864"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183"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三级A</w:t>
            </w:r>
          </w:p>
        </w:tc>
        <w:tc>
          <w:tcPr>
            <w:tcW w:w="1811"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直接排放</w:t>
            </w:r>
          </w:p>
        </w:tc>
        <w:tc>
          <w:tcPr>
            <w:tcW w:w="5864"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Q＜200且</w:t>
            </w:r>
            <w:r>
              <w:rPr>
                <w:rFonts w:hint="default" w:ascii="Times New Roman" w:hAnsi="Times New Roman" w:eastAsia="宋体" w:cs="Times New Roman"/>
                <w:color w:val="auto"/>
                <w:spacing w:val="0"/>
                <w:w w:val="100"/>
                <w:kern w:val="0"/>
                <w:position w:val="0"/>
                <w:szCs w:val="21"/>
                <w:highlight w:val="none"/>
              </w:rPr>
              <w:t>W</w:t>
            </w:r>
            <w:r>
              <w:rPr>
                <w:rFonts w:hint="default" w:ascii="Times New Roman" w:hAnsi="Times New Roman" w:eastAsia="宋体" w:cs="Times New Roman"/>
                <w:bCs/>
                <w:color w:val="auto"/>
                <w:spacing w:val="0"/>
                <w:w w:val="100"/>
                <w:kern w:val="0"/>
                <w:position w:val="0"/>
                <w:szCs w:val="21"/>
                <w:highlight w:val="none"/>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1183"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三级B</w:t>
            </w:r>
          </w:p>
        </w:tc>
        <w:tc>
          <w:tcPr>
            <w:tcW w:w="1811"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间接排放</w:t>
            </w:r>
          </w:p>
        </w:tc>
        <w:tc>
          <w:tcPr>
            <w:tcW w:w="5864"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8858" w:type="dxa"/>
            <w:gridSpan w:val="3"/>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eastAsia="zh-CN"/>
              </w:rPr>
              <w:t>备注：建设项目生产工艺中有废水产生，但作为回水利用，不外排到环境的，按三级</w:t>
            </w:r>
            <w:r>
              <w:rPr>
                <w:rFonts w:hint="default" w:ascii="Times New Roman" w:hAnsi="Times New Roman" w:eastAsia="宋体" w:cs="Times New Roman"/>
                <w:bCs/>
                <w:color w:val="auto"/>
                <w:spacing w:val="0"/>
                <w:w w:val="100"/>
                <w:kern w:val="0"/>
                <w:position w:val="0"/>
                <w:szCs w:val="21"/>
                <w:highlight w:val="none"/>
                <w:lang w:val="en-US" w:eastAsia="zh-CN"/>
              </w:rPr>
              <w:t>B评价。</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359" w:name="_Toc26941_WPSOffice_Level3"/>
      <w:bookmarkStart w:id="360" w:name="_Toc13960_WPSOffice_Level3"/>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.5.2.2评价范围</w:t>
      </w:r>
      <w:bookmarkEnd w:id="359"/>
      <w:bookmarkEnd w:id="36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根据《环境影响评价技术导则 地表水环境》（HJ2.3-2018）的规定，本项目地表水环境影响评价等级为三级B，水污染型三级B可不进行水环境影响预测。本项目地表水评价范围应覆盖环境风险影响范围所及的水环境保护目标水域。</w:t>
      </w:r>
    </w:p>
    <w:bookmarkEnd w:id="348"/>
    <w:bookmarkEnd w:id="349"/>
    <w:bookmarkEnd w:id="350"/>
    <w:bookmarkEnd w:id="351"/>
    <w:bookmarkEnd w:id="352"/>
    <w:bookmarkEnd w:id="353"/>
    <w:bookmarkEnd w:id="354"/>
    <w:bookmarkEnd w:id="355"/>
    <w:bookmarkEnd w:id="356"/>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bookmarkStart w:id="361" w:name="_Toc484463387"/>
      <w:bookmarkStart w:id="362" w:name="_Toc32612"/>
      <w:bookmarkStart w:id="363" w:name="_Toc5990"/>
      <w:bookmarkStart w:id="364" w:name="_Toc26833"/>
      <w:bookmarkStart w:id="365" w:name="_Toc332203170"/>
      <w:bookmarkStart w:id="366" w:name="_Toc387745561"/>
      <w:bookmarkStart w:id="367" w:name="_Toc1039"/>
      <w:bookmarkStart w:id="368" w:name="_Toc491609963"/>
      <w:bookmarkStart w:id="369" w:name="_Toc388619979"/>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.5.2.3评价时期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根据《环境影响评价技术导则 地表水环境》(HJ2.3-2018)中的规定，三级B评价，可不考虑评价时期。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综合以上分析，本项目地表水环境评价等级为三级B，不进行水环境影响预测，主要评价项目水污染控制和水环境影响减缓措施有效性、可行性以及处理后废水用于</w:t>
      </w:r>
      <w:r>
        <w:rPr>
          <w:rFonts w:hint="default" w:ascii="Times New Roman" w:hAnsi="Times New Roman" w:eastAsia="宋体" w:cs="Times New Roman"/>
          <w:b w:val="0"/>
          <w:bCs/>
          <w:color w:val="auto"/>
          <w:spacing w:val="0"/>
          <w:w w:val="100"/>
          <w:kern w:val="0"/>
          <w:position w:val="0"/>
          <w:sz w:val="24"/>
          <w:szCs w:val="28"/>
          <w:highlight w:val="none"/>
          <w:lang w:val="zh-CN" w:eastAsia="zh-CN" w:bidi="ar-SA"/>
        </w:rPr>
        <w:t>建设单位</w:t>
      </w:r>
      <w:r>
        <w:rPr>
          <w:rFonts w:hint="eastAsia" w:ascii="Times New Roman" w:hAnsi="Times New Roman" w:cs="Times New Roman"/>
          <w:b w:val="0"/>
          <w:bCs/>
          <w:color w:val="auto"/>
          <w:spacing w:val="0"/>
          <w:w w:val="100"/>
          <w:kern w:val="0"/>
          <w:position w:val="0"/>
          <w:sz w:val="24"/>
          <w:szCs w:val="28"/>
          <w:highlight w:val="none"/>
          <w:lang w:val="zh-CN" w:eastAsia="zh-CN" w:bidi="ar-SA"/>
        </w:rPr>
        <w:t>农田灌溉</w:t>
      </w:r>
      <w:r>
        <w:rPr>
          <w:rFonts w:hint="default" w:ascii="Times New Roman" w:hAnsi="Times New Roman" w:eastAsia="宋体" w:cs="Times New Roman"/>
          <w:color w:val="auto"/>
          <w:spacing w:val="0"/>
          <w:w w:val="100"/>
          <w:kern w:val="0"/>
          <w:position w:val="0"/>
          <w:sz w:val="24"/>
          <w:szCs w:val="32"/>
          <w:highlight w:val="none"/>
        </w:rPr>
        <w:t>的可行性。</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70" w:name="_Toc28193"/>
      <w:bookmarkStart w:id="371" w:name="_Toc7930"/>
      <w:bookmarkStart w:id="372" w:name="_Toc29720"/>
      <w:bookmarkStart w:id="373" w:name="_Toc4418"/>
      <w:bookmarkStart w:id="374" w:name="_Toc25506"/>
      <w:bookmarkStart w:id="375" w:name="_Toc1538"/>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.5.3地下水</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.5.3.1评价等级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32"/>
          <w:highlight w:val="none"/>
        </w:rPr>
        <w:t>地下水环境影响评价行业分类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根据《环境影响评价技术导则 地下水环境》(HJ630.13-2016)中附录A地下水环境影响评价行业分类表，本项目属于</w:t>
      </w:r>
      <w:r>
        <w:rPr>
          <w:rFonts w:hint="default" w:ascii="Times New Roman" w:hAnsi="Times New Roman" w:eastAsia="宋体" w:cs="Times New Roman"/>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szCs w:val="32"/>
          <w:highlight w:val="none"/>
        </w:rPr>
        <w:t>14畜禽养殖场、养殖小区</w:t>
      </w:r>
      <w:r>
        <w:rPr>
          <w:rFonts w:hint="default" w:ascii="Times New Roman" w:hAnsi="Times New Roman" w:eastAsia="宋体" w:cs="Times New Roman"/>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szCs w:val="32"/>
          <w:highlight w:val="none"/>
        </w:rPr>
        <w:t>，地下水环境影响评价分类为</w:t>
      </w:r>
      <w:r>
        <w:rPr>
          <w:rFonts w:hint="default" w:ascii="Times New Roman" w:hAnsi="Times New Roman" w:eastAsia="宋体" w:cs="Times New Roman"/>
          <w:color w:val="auto"/>
          <w:spacing w:val="0"/>
          <w:w w:val="100"/>
          <w:kern w:val="0"/>
          <w:position w:val="0"/>
          <w:sz w:val="24"/>
          <w:szCs w:val="32"/>
          <w:highlight w:val="none"/>
        </w:rPr>
        <w:fldChar w:fldCharType="begin"/>
      </w:r>
      <w:r>
        <w:rPr>
          <w:rFonts w:hint="default" w:ascii="Times New Roman" w:hAnsi="Times New Roman" w:eastAsia="宋体" w:cs="Times New Roman"/>
          <w:color w:val="auto"/>
          <w:spacing w:val="0"/>
          <w:w w:val="100"/>
          <w:kern w:val="0"/>
          <w:position w:val="0"/>
          <w:sz w:val="24"/>
          <w:szCs w:val="32"/>
          <w:highlight w:val="none"/>
        </w:rPr>
        <w:instrText xml:space="preserve"> = 3 \* ROMAN </w:instrText>
      </w:r>
      <w:r>
        <w:rPr>
          <w:rFonts w:hint="default" w:ascii="Times New Roman" w:hAnsi="Times New Roman" w:eastAsia="宋体" w:cs="Times New Roman"/>
          <w:color w:val="auto"/>
          <w:spacing w:val="0"/>
          <w:w w:val="100"/>
          <w:kern w:val="0"/>
          <w:position w:val="0"/>
          <w:sz w:val="24"/>
          <w:szCs w:val="32"/>
          <w:highlight w:val="none"/>
        </w:rPr>
        <w:fldChar w:fldCharType="separate"/>
      </w:r>
      <w:r>
        <w:rPr>
          <w:rFonts w:hint="default" w:ascii="Times New Roman" w:hAnsi="Times New Roman" w:eastAsia="宋体" w:cs="Times New Roman"/>
          <w:color w:val="auto"/>
          <w:spacing w:val="0"/>
          <w:w w:val="100"/>
          <w:kern w:val="0"/>
          <w:position w:val="0"/>
          <w:sz w:val="24"/>
          <w:szCs w:val="32"/>
          <w:highlight w:val="none"/>
        </w:rPr>
        <w:t>Ⅲ</w:t>
      </w:r>
      <w:r>
        <w:rPr>
          <w:rFonts w:hint="default" w:ascii="Times New Roman" w:hAnsi="Times New Roman" w:eastAsia="宋体" w:cs="Times New Roman"/>
          <w:color w:val="auto"/>
          <w:spacing w:val="0"/>
          <w:w w:val="100"/>
          <w:kern w:val="0"/>
          <w:position w:val="0"/>
          <w:sz w:val="24"/>
          <w:szCs w:val="32"/>
          <w:highlight w:val="none"/>
        </w:rPr>
        <w:fldChar w:fldCharType="end"/>
      </w:r>
      <w:r>
        <w:rPr>
          <w:rFonts w:hint="default" w:ascii="Times New Roman" w:hAnsi="Times New Roman" w:eastAsia="宋体" w:cs="Times New Roman"/>
          <w:color w:val="auto"/>
          <w:spacing w:val="0"/>
          <w:w w:val="100"/>
          <w:kern w:val="0"/>
          <w:position w:val="0"/>
          <w:sz w:val="24"/>
          <w:szCs w:val="32"/>
          <w:highlight w:val="none"/>
        </w:rPr>
        <w:t>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32"/>
          <w:highlight w:val="none"/>
        </w:rPr>
        <w:t>水环境敏感程度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bookmarkStart w:id="376" w:name="OLE_LINK43"/>
      <w:bookmarkEnd w:id="376"/>
      <w:bookmarkStart w:id="377" w:name="OLE_LINK46"/>
      <w:r>
        <w:rPr>
          <w:rFonts w:hint="default" w:ascii="Times New Roman" w:hAnsi="Times New Roman" w:eastAsia="宋体" w:cs="Times New Roman"/>
          <w:color w:val="auto"/>
          <w:spacing w:val="0"/>
          <w:w w:val="100"/>
          <w:kern w:val="0"/>
          <w:position w:val="0"/>
          <w:sz w:val="24"/>
          <w:szCs w:val="32"/>
          <w:highlight w:val="none"/>
        </w:rPr>
        <w:t>根据《环境影响评价技术导则 地下水环境》（HJ630.13-2016），</w:t>
      </w:r>
      <w:bookmarkEnd w:id="377"/>
      <w:r>
        <w:rPr>
          <w:rFonts w:hint="default" w:ascii="Times New Roman" w:hAnsi="Times New Roman" w:eastAsia="宋体" w:cs="Times New Roman"/>
          <w:color w:val="auto"/>
          <w:spacing w:val="0"/>
          <w:w w:val="100"/>
          <w:kern w:val="0"/>
          <w:position w:val="0"/>
          <w:sz w:val="24"/>
          <w:szCs w:val="32"/>
          <w:highlight w:val="none"/>
        </w:rPr>
        <w:t>建设项目的地下水环境敏感程度可分为敏感、较敏感、不敏感，分级原则见表</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.5-</w:t>
      </w:r>
      <w:r>
        <w:rPr>
          <w:rFonts w:hint="default" w:ascii="Times New Roman" w:hAnsi="Times New Roman" w:eastAsia="宋体" w:cs="Times New Roman"/>
          <w:color w:val="auto"/>
          <w:spacing w:val="0"/>
          <w:w w:val="100"/>
          <w:kern w:val="0"/>
          <w:position w:val="0"/>
          <w:sz w:val="24"/>
          <w:szCs w:val="32"/>
          <w:highlight w:val="none"/>
          <w:lang w:val="en-US" w:eastAsia="zh-CN"/>
        </w:rPr>
        <w:t>7</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表1.5-7   建设项目的地下水环境敏感程度分级表</w:t>
      </w:r>
    </w:p>
    <w:tbl>
      <w:tblPr>
        <w:tblStyle w:val="25"/>
        <w:tblW w:w="499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94"/>
        <w:gridCol w:w="77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1194"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敏感程度</w:t>
            </w:r>
          </w:p>
        </w:tc>
        <w:tc>
          <w:tcPr>
            <w:tcW w:w="7745"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41" w:hRule="atLeast"/>
          <w:jc w:val="center"/>
        </w:trPr>
        <w:tc>
          <w:tcPr>
            <w:tcW w:w="1194"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敏感</w:t>
            </w:r>
          </w:p>
        </w:tc>
        <w:tc>
          <w:tcPr>
            <w:tcW w:w="77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3" w:hRule="atLeast"/>
          <w:jc w:val="center"/>
        </w:trPr>
        <w:tc>
          <w:tcPr>
            <w:tcW w:w="1194"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较敏感</w:t>
            </w:r>
          </w:p>
        </w:tc>
        <w:tc>
          <w:tcPr>
            <w:tcW w:w="77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1194"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不敏感</w:t>
            </w:r>
          </w:p>
        </w:tc>
        <w:tc>
          <w:tcPr>
            <w:tcW w:w="77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上述地区之外的其它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8939" w:type="dxa"/>
            <w:gridSpan w:val="2"/>
            <w:noWrap w:val="0"/>
            <w:vAlign w:val="center"/>
          </w:tcPr>
          <w:p>
            <w:pPr>
              <w:adjustRightInd w:val="0"/>
              <w:snapToGrid w:val="0"/>
              <w:jc w:val="left"/>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注：a</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环境敏感区</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是指《建设项目影响评价分类管理名录》中所界定的涉及地下水。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本项目建设场地位于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32"/>
          <w:highlight w:val="none"/>
        </w:rPr>
        <w:t>，项目建设区域无集中式饮用水源地等敏感目标，所以建设场地属于不敏感区域。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32"/>
          <w:highlight w:val="none"/>
        </w:rPr>
        <w:t>地下水评价等级判定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32"/>
          <w:highlight w:val="none"/>
        </w:rPr>
        <w:t>建设项目地下水环境影响评价工作等级分级判定</w:t>
      </w:r>
      <w:r>
        <w:rPr>
          <w:rFonts w:hint="default" w:ascii="Times New Roman" w:hAnsi="Times New Roman" w:eastAsia="宋体" w:cs="Times New Roman"/>
          <w:color w:val="auto"/>
          <w:spacing w:val="0"/>
          <w:w w:val="100"/>
          <w:kern w:val="0"/>
          <w:position w:val="0"/>
          <w:sz w:val="24"/>
          <w:szCs w:val="32"/>
          <w:highlight w:val="none"/>
          <w:lang w:eastAsia="zh-CN"/>
        </w:rPr>
        <w:t>见</w:t>
      </w:r>
      <w:r>
        <w:rPr>
          <w:rFonts w:hint="default" w:ascii="Times New Roman" w:hAnsi="Times New Roman" w:eastAsia="宋体" w:cs="Times New Roman"/>
          <w:color w:val="auto"/>
          <w:spacing w:val="0"/>
          <w:w w:val="100"/>
          <w:kern w:val="0"/>
          <w:position w:val="0"/>
          <w:sz w:val="24"/>
          <w:szCs w:val="32"/>
          <w:highlight w:val="none"/>
        </w:rPr>
        <w:t>表</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.5-</w:t>
      </w:r>
      <w:r>
        <w:rPr>
          <w:rFonts w:hint="default" w:ascii="Times New Roman" w:hAnsi="Times New Roman" w:eastAsia="宋体" w:cs="Times New Roman"/>
          <w:color w:val="auto"/>
          <w:spacing w:val="0"/>
          <w:w w:val="100"/>
          <w:kern w:val="0"/>
          <w:position w:val="0"/>
          <w:sz w:val="24"/>
          <w:szCs w:val="32"/>
          <w:highlight w:val="none"/>
          <w:lang w:val="en-US" w:eastAsia="zh-CN"/>
        </w:rPr>
        <w:t>8</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表1.5-8   建设项目评价工作等级分级表</w:t>
      </w:r>
    </w:p>
    <w:tbl>
      <w:tblPr>
        <w:tblStyle w:val="25"/>
        <w:tblW w:w="493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09"/>
        <w:gridCol w:w="2209"/>
        <w:gridCol w:w="2210"/>
        <w:gridCol w:w="22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49" w:hRule="atLeast"/>
          <w:jc w:val="center"/>
        </w:trPr>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highlight w:val="none"/>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12700</wp:posOffset>
                      </wp:positionV>
                      <wp:extent cx="1437005" cy="332105"/>
                      <wp:effectExtent l="1270" t="4445" r="9525" b="13970"/>
                      <wp:wrapNone/>
                      <wp:docPr id="35" name="直接连接符 35"/>
                      <wp:cNvGraphicFramePr/>
                      <a:graphic xmlns:a="http://schemas.openxmlformats.org/drawingml/2006/main">
                        <a:graphicData uri="http://schemas.microsoft.com/office/word/2010/wordprocessingShape">
                          <wps:wsp>
                            <wps:cNvCnPr/>
                            <wps:spPr>
                              <a:xfrm>
                                <a:off x="836930" y="1708150"/>
                                <a:ext cx="1437005" cy="3321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pt;height:26.15pt;width:113.15pt;z-index:251660288;mso-width-relative:page;mso-height-relative:page;" filled="f" stroked="t" coordsize="21600,21600" o:gfxdata="UEsDBAoAAAAAAIdO4kAAAAAAAAAAAAAAAAAEAAAAZHJzL1BLAwQUAAAACACHTuJAm6nXXdgAAAAI&#10;AQAADwAAAGRycy9kb3ducmV2LnhtbE2PwU7DMAyG70i8Q2QkblvaDrapNN0BiQMSElA4cMwar+2W&#10;OKXJ2vL2mBM7WdZvff7+Yjc7K0YcQudJQbpMQCDV3nTUKPj8eFpsQYSoyWjrCRX8YIBdeX1V6Nz4&#10;id5xrGIjGEIh1wraGPtcylC36HRY+h6Js4MfnI68Do00g54Y7qzMkmQtne6IP7S6x8cW61N1dkyh&#10;zfdhtsPX2+tLu62mIz6PG1Tq9iZNHkBEnOP/MfzpszqU7LT3ZzJBWAWLNOEuUUHGg/MsXa9A7BXc&#10;361AloW8LFD+AlBLAwQUAAAACACHTuJA45o2E/gBAADRAwAADgAAAGRycy9lMm9Eb2MueG1srVPN&#10;jtMwEL4j8Q6W7zRpw3ZL1HQPWy0XBJWAB5g6TmLJf/J4m/YleAEkbnDiyJ23YXkMxklYynLZAzk4&#10;M57xN/N9Hq+vjkazgwyonK34fJZzJq1wtbJtxd+/u3m24gwj2Bq0s7LiJ4n8avP0ybr3pVy4zula&#10;BkYgFsveV7yL0ZdZhqKTBnDmvLQUbFwwEMkNbVYH6And6GyR58usd6H2wQmJSLvbMcgnxPAYQNc0&#10;SsitE7dG2jiiBqkhEiXslEe+GbptGinim6ZBGZmuODGNw0pFyN6nNdusoWwD+E6JqQV4TAsPOBlQ&#10;loreQ20hArsN6h8oo0Rw6Jo4E85kI5FBEWIxzx9o87YDLwcuJDX6e9Hx/8GK14ddYKqueHHBmQVD&#10;N3738duPD59/fv9E693XL4wiJFPvsaTsa7sLk4d+FxLnYxNM+hMbdqz4qli+KEjfE03XZb6aX0wq&#10;y2NkguLz58VlnlM1QRlFsZiTTYjZHyAfML6UzrBkVFwrm1SAEg6vMI6pv1PStnU3Smvah1Jb1ld8&#10;WVBNJoCms6GpINN4Yoi25Qx0S2MvYhgQ0WlVp9PpMIZ2f60DO0AaluGbGvsrLZXeAnZj3hBKaVAa&#10;FellaGVIg/PT2qaoHKZxIpDEHOVL1t7Vp0HVLHl004Ma01SmUTr3yT5/iZ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6nXXdgAAAAIAQAADwAAAAAAAAABACAAAAAiAAAAZHJzL2Rvd25yZXYueG1s&#10;UEsBAhQAFAAAAAgAh07iQOOaNhP4AQAA0QMAAA4AAAAAAAAAAQAgAAAAJwEAAGRycy9lMm9Eb2Mu&#10;eG1sUEsFBgAAAAAGAAYAWQEAAJE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b/>
                <w:color w:val="auto"/>
                <w:spacing w:val="0"/>
                <w:w w:val="100"/>
                <w:kern w:val="0"/>
                <w:position w:val="0"/>
                <w:szCs w:val="21"/>
                <w:highlight w:val="none"/>
              </w:rPr>
              <w:t xml:space="preserve">          项目类别</w:t>
            </w:r>
          </w:p>
          <w:p>
            <w:pPr>
              <w:adjustRightInd w:val="0"/>
              <w:snapToGrid w:val="0"/>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环境敏感程度</w:t>
            </w:r>
          </w:p>
        </w:tc>
        <w:tc>
          <w:tcPr>
            <w:tcW w:w="2209" w:type="dxa"/>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Ⅰ类项目</w:t>
            </w:r>
          </w:p>
        </w:tc>
        <w:tc>
          <w:tcPr>
            <w:tcW w:w="2210"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Ⅱ类项目</w:t>
            </w:r>
          </w:p>
        </w:tc>
        <w:tc>
          <w:tcPr>
            <w:tcW w:w="221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Ⅲ类项目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敏感</w:t>
            </w:r>
          </w:p>
        </w:tc>
        <w:tc>
          <w:tcPr>
            <w:tcW w:w="220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w:t>
            </w:r>
          </w:p>
        </w:tc>
        <w:tc>
          <w:tcPr>
            <w:tcW w:w="2210"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一</w:t>
            </w:r>
          </w:p>
        </w:tc>
        <w:tc>
          <w:tcPr>
            <w:tcW w:w="221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8" w:hRule="atLeast"/>
          <w:jc w:val="center"/>
        </w:trPr>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较敏感</w:t>
            </w:r>
          </w:p>
        </w:tc>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一</w:t>
            </w:r>
          </w:p>
        </w:tc>
        <w:tc>
          <w:tcPr>
            <w:tcW w:w="2210"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二</w:t>
            </w:r>
          </w:p>
        </w:tc>
        <w:tc>
          <w:tcPr>
            <w:tcW w:w="221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不敏感</w:t>
            </w:r>
          </w:p>
        </w:tc>
        <w:tc>
          <w:tcPr>
            <w:tcW w:w="220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二</w:t>
            </w:r>
          </w:p>
        </w:tc>
        <w:tc>
          <w:tcPr>
            <w:tcW w:w="2210"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三</w:t>
            </w:r>
          </w:p>
        </w:tc>
        <w:tc>
          <w:tcPr>
            <w:tcW w:w="2211" w:type="dxa"/>
            <w:shd w:val="clear" w:color="auto" w:fill="CFCECE" w:themeFill="background2" w:themeFillShade="E5"/>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shd w:val="clear" w:color="auto"/>
              </w:rPr>
              <w:t>三</w:t>
            </w:r>
          </w:p>
        </w:tc>
      </w:tr>
    </w:tbl>
    <w:p>
      <w:pPr>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根据表</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w:t>
      </w:r>
      <w:r>
        <w:rPr>
          <w:rFonts w:hint="default" w:ascii="Times New Roman" w:hAnsi="Times New Roman" w:eastAsia="宋体" w:cs="Times New Roman"/>
          <w:color w:val="auto"/>
          <w:spacing w:val="0"/>
          <w:w w:val="100"/>
          <w:kern w:val="0"/>
          <w:position w:val="0"/>
          <w:sz w:val="24"/>
          <w:szCs w:val="32"/>
          <w:highlight w:val="none"/>
          <w:lang w:val="en-US" w:eastAsia="zh-CN"/>
        </w:rPr>
        <w:t>5</w:t>
      </w:r>
      <w:r>
        <w:rPr>
          <w:rFonts w:hint="default" w:ascii="Times New Roman" w:hAnsi="Times New Roman" w:eastAsia="宋体" w:cs="Times New Roman"/>
          <w:color w:val="auto"/>
          <w:spacing w:val="0"/>
          <w:w w:val="100"/>
          <w:kern w:val="0"/>
          <w:position w:val="0"/>
          <w:sz w:val="24"/>
          <w:szCs w:val="32"/>
          <w:highlight w:val="none"/>
        </w:rPr>
        <w:t>-</w:t>
      </w:r>
      <w:r>
        <w:rPr>
          <w:rFonts w:hint="eastAsia" w:ascii="Times New Roman" w:hAnsi="Times New Roman" w:cs="Times New Roman"/>
          <w:color w:val="auto"/>
          <w:spacing w:val="0"/>
          <w:w w:val="100"/>
          <w:kern w:val="0"/>
          <w:position w:val="0"/>
          <w:sz w:val="24"/>
          <w:szCs w:val="32"/>
          <w:highlight w:val="none"/>
          <w:lang w:val="en-US" w:eastAsia="zh-CN"/>
        </w:rPr>
        <w:t>8</w:t>
      </w:r>
      <w:r>
        <w:rPr>
          <w:rFonts w:hint="default" w:ascii="Times New Roman" w:hAnsi="Times New Roman" w:eastAsia="宋体" w:cs="Times New Roman"/>
          <w:color w:val="auto"/>
          <w:spacing w:val="0"/>
          <w:w w:val="100"/>
          <w:kern w:val="0"/>
          <w:position w:val="0"/>
          <w:sz w:val="24"/>
          <w:szCs w:val="32"/>
          <w:highlight w:val="none"/>
        </w:rPr>
        <w:t>可知，本项目地下水环境影响评价等级为三级。</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.5.3.2评价范围</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根据《环境影响评价技术导则 地下水环境》（HJ630.13-2016），采用导则中推荐的</w:t>
      </w:r>
      <w:r>
        <w:rPr>
          <w:rFonts w:hint="default" w:ascii="Times New Roman" w:hAnsi="Times New Roman" w:eastAsia="宋体" w:cs="Times New Roman"/>
          <w:color w:val="auto"/>
          <w:spacing w:val="0"/>
          <w:w w:val="100"/>
          <w:kern w:val="0"/>
          <w:position w:val="0"/>
          <w:sz w:val="24"/>
          <w:szCs w:val="32"/>
          <w:highlight w:val="none"/>
          <w:lang w:eastAsia="zh-CN"/>
        </w:rPr>
        <w:t>查表</w:t>
      </w:r>
      <w:r>
        <w:rPr>
          <w:rFonts w:hint="default" w:ascii="Times New Roman" w:hAnsi="Times New Roman" w:eastAsia="宋体" w:cs="Times New Roman"/>
          <w:color w:val="auto"/>
          <w:spacing w:val="0"/>
          <w:w w:val="100"/>
          <w:kern w:val="0"/>
          <w:position w:val="0"/>
          <w:sz w:val="24"/>
          <w:szCs w:val="32"/>
          <w:highlight w:val="none"/>
        </w:rPr>
        <w:t>法确定项目的地下水评价范围，地下水环境现状调查评价范围参照表见表</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.5-</w:t>
      </w:r>
      <w:r>
        <w:rPr>
          <w:rFonts w:hint="default" w:ascii="Times New Roman" w:hAnsi="Times New Roman" w:eastAsia="宋体" w:cs="Times New Roman"/>
          <w:color w:val="auto"/>
          <w:spacing w:val="0"/>
          <w:w w:val="100"/>
          <w:kern w:val="0"/>
          <w:position w:val="0"/>
          <w:sz w:val="24"/>
          <w:szCs w:val="32"/>
          <w:highlight w:val="none"/>
          <w:lang w:val="en-US" w:eastAsia="zh-CN"/>
        </w:rPr>
        <w:t>9</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表1.5-9   地下水环境现状调查评价范围参照表</w:t>
      </w:r>
    </w:p>
    <w:tbl>
      <w:tblPr>
        <w:tblStyle w:val="25"/>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979"/>
        <w:gridCol w:w="29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2978" w:type="dxa"/>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评价等级</w:t>
            </w:r>
          </w:p>
        </w:tc>
        <w:tc>
          <w:tcPr>
            <w:tcW w:w="2980"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调查评价面积（m</w:t>
            </w:r>
            <w:r>
              <w:rPr>
                <w:rFonts w:hint="default" w:ascii="Times New Roman" w:hAnsi="Times New Roman" w:eastAsia="宋体" w:cs="Times New Roman"/>
                <w:b/>
                <w:color w:val="auto"/>
                <w:spacing w:val="0"/>
                <w:w w:val="100"/>
                <w:kern w:val="0"/>
                <w:position w:val="0"/>
                <w:szCs w:val="21"/>
                <w:highlight w:val="none"/>
                <w:vertAlign w:val="superscript"/>
              </w:rPr>
              <w:t>2</w:t>
            </w:r>
            <w:r>
              <w:rPr>
                <w:rFonts w:hint="default" w:ascii="Times New Roman" w:hAnsi="Times New Roman" w:eastAsia="宋体" w:cs="Times New Roman"/>
                <w:b/>
                <w:color w:val="auto"/>
                <w:spacing w:val="0"/>
                <w:w w:val="100"/>
                <w:kern w:val="0"/>
                <w:position w:val="0"/>
                <w:szCs w:val="21"/>
                <w:highlight w:val="none"/>
              </w:rPr>
              <w:t>）</w:t>
            </w:r>
          </w:p>
        </w:tc>
        <w:tc>
          <w:tcPr>
            <w:tcW w:w="298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97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w:t>
            </w:r>
          </w:p>
        </w:tc>
        <w:tc>
          <w:tcPr>
            <w:tcW w:w="2980"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w:t>
            </w:r>
          </w:p>
        </w:tc>
        <w:tc>
          <w:tcPr>
            <w:tcW w:w="2981" w:type="dxa"/>
            <w:vMerge w:val="restart"/>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应包括重要地下水环境保护目标，必要时适当扩大范围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97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w:t>
            </w:r>
          </w:p>
        </w:tc>
        <w:tc>
          <w:tcPr>
            <w:tcW w:w="2980"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6-20</w:t>
            </w:r>
          </w:p>
        </w:tc>
        <w:tc>
          <w:tcPr>
            <w:tcW w:w="298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297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w:t>
            </w:r>
          </w:p>
        </w:tc>
        <w:tc>
          <w:tcPr>
            <w:tcW w:w="2980"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w:t>
            </w:r>
          </w:p>
        </w:tc>
        <w:tc>
          <w:tcPr>
            <w:tcW w:w="298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bl>
    <w:p>
      <w:pPr>
        <w:pStyle w:val="12"/>
        <w:keepNext w:val="0"/>
        <w:keepLines w:val="0"/>
        <w:pageBreakBefore w:val="0"/>
        <w:widowControl w:val="0"/>
        <w:kinsoku/>
        <w:wordWrap/>
        <w:overflowPunct/>
        <w:topLinePunct w:val="0"/>
        <w:autoSpaceDE/>
        <w:autoSpaceDN/>
        <w:bidi w:val="0"/>
        <w:adjustRightInd w:val="0"/>
        <w:snapToGrid w:val="0"/>
        <w:spacing w:before="143" w:after="0" w:line="360" w:lineRule="auto"/>
        <w:ind w:left="0" w:right="174"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en-US" w:eastAsia="zh-CN" w:bidi="ar-SA"/>
        </w:rPr>
      </w:pPr>
      <w:bookmarkStart w:id="378" w:name="_Toc484463388"/>
      <w:bookmarkStart w:id="379" w:name="_Toc6651"/>
      <w:bookmarkStart w:id="380" w:name="_Toc491609964"/>
      <w:bookmarkStart w:id="381" w:name="_Toc7219"/>
      <w:bookmarkStart w:id="382" w:name="_Toc30405"/>
      <w:bookmarkStart w:id="383" w:name="_Toc21558"/>
      <w:r>
        <w:rPr>
          <w:rFonts w:hint="default" w:ascii="Times New Roman" w:hAnsi="Times New Roman" w:eastAsia="宋体" w:cs="Times New Roman"/>
          <w:color w:val="auto"/>
          <w:spacing w:val="0"/>
          <w:w w:val="100"/>
          <w:kern w:val="0"/>
          <w:position w:val="0"/>
          <w:sz w:val="24"/>
          <w:szCs w:val="24"/>
          <w:highlight w:val="none"/>
          <w:lang w:val="en-US" w:eastAsia="zh-CN" w:bidi="ar-SA"/>
        </w:rPr>
        <w:t>本项目地下水影响评价等级为三级，项目所在区域地下水大致流向为自西向东流向，本次评价地下水评价范围采用《环境影响评价技术导则 地下水环境》（HJ610-2016）中自定义法确定地下水评价范围，人为划定调查评价区边界：本次以拟建项目厂区为中心，地下水流向上游（</w:t>
      </w:r>
      <w:r>
        <w:rPr>
          <w:rFonts w:hint="eastAsia" w:ascii="Times New Roman" w:hAnsi="Times New Roman" w:cs="Times New Roman"/>
          <w:color w:val="auto"/>
          <w:spacing w:val="0"/>
          <w:w w:val="100"/>
          <w:kern w:val="0"/>
          <w:position w:val="0"/>
          <w:sz w:val="24"/>
          <w:szCs w:val="24"/>
          <w:highlight w:val="none"/>
          <w:lang w:val="en-US" w:eastAsia="zh-CN" w:bidi="ar-SA"/>
        </w:rPr>
        <w:t>西</w:t>
      </w:r>
      <w:r>
        <w:rPr>
          <w:rFonts w:hint="default" w:ascii="Times New Roman" w:hAnsi="Times New Roman" w:eastAsia="宋体" w:cs="Times New Roman"/>
          <w:color w:val="auto"/>
          <w:spacing w:val="0"/>
          <w:w w:val="100"/>
          <w:kern w:val="0"/>
          <w:position w:val="0"/>
          <w:sz w:val="24"/>
          <w:szCs w:val="24"/>
          <w:highlight w:val="none"/>
          <w:lang w:val="en-US" w:eastAsia="zh-CN" w:bidi="ar-SA"/>
        </w:rPr>
        <w:t>侧）</w:t>
      </w:r>
      <w:r>
        <w:rPr>
          <w:rFonts w:hint="eastAsia" w:ascii="Times New Roman" w:hAnsi="Times New Roman" w:cs="Times New Roman"/>
          <w:color w:val="auto"/>
          <w:spacing w:val="0"/>
          <w:w w:val="100"/>
          <w:kern w:val="0"/>
          <w:position w:val="0"/>
          <w:sz w:val="24"/>
          <w:szCs w:val="24"/>
          <w:highlight w:val="none"/>
          <w:lang w:val="en-US" w:eastAsia="zh-CN" w:bidi="ar-SA"/>
        </w:rPr>
        <w:t>0.5</w:t>
      </w:r>
      <w:r>
        <w:rPr>
          <w:rFonts w:hint="default" w:ascii="Times New Roman" w:hAnsi="Times New Roman" w:eastAsia="宋体" w:cs="Times New Roman"/>
          <w:color w:val="auto"/>
          <w:spacing w:val="0"/>
          <w:w w:val="100"/>
          <w:kern w:val="0"/>
          <w:position w:val="0"/>
          <w:sz w:val="24"/>
          <w:szCs w:val="24"/>
          <w:highlight w:val="none"/>
          <w:lang w:val="en-US" w:eastAsia="zh-CN" w:bidi="ar-SA"/>
        </w:rPr>
        <w:t>km，下游（</w:t>
      </w:r>
      <w:r>
        <w:rPr>
          <w:rFonts w:hint="eastAsia" w:ascii="Times New Roman" w:hAnsi="Times New Roman" w:cs="Times New Roman"/>
          <w:color w:val="auto"/>
          <w:spacing w:val="0"/>
          <w:w w:val="100"/>
          <w:kern w:val="0"/>
          <w:position w:val="0"/>
          <w:sz w:val="24"/>
          <w:szCs w:val="24"/>
          <w:highlight w:val="none"/>
          <w:lang w:val="en-US" w:eastAsia="zh-CN" w:bidi="ar-SA"/>
        </w:rPr>
        <w:t>东</w:t>
      </w:r>
      <w:r>
        <w:rPr>
          <w:rFonts w:hint="default" w:ascii="Times New Roman" w:hAnsi="Times New Roman" w:eastAsia="宋体" w:cs="Times New Roman"/>
          <w:color w:val="auto"/>
          <w:spacing w:val="0"/>
          <w:w w:val="100"/>
          <w:kern w:val="0"/>
          <w:position w:val="0"/>
          <w:sz w:val="24"/>
          <w:szCs w:val="24"/>
          <w:highlight w:val="none"/>
          <w:lang w:val="en-US" w:eastAsia="zh-CN" w:bidi="ar-SA"/>
        </w:rPr>
        <w:t>侧）</w:t>
      </w:r>
      <w:r>
        <w:rPr>
          <w:rFonts w:hint="default" w:ascii="Times New Roman" w:hAnsi="Times New Roman" w:cs="Times New Roman"/>
          <w:color w:val="auto"/>
          <w:spacing w:val="0"/>
          <w:w w:val="100"/>
          <w:kern w:val="0"/>
          <w:position w:val="0"/>
          <w:sz w:val="24"/>
          <w:szCs w:val="24"/>
          <w:highlight w:val="none"/>
          <w:lang w:val="en-US" w:eastAsia="zh-CN" w:bidi="ar-SA"/>
        </w:rPr>
        <w:t>2</w:t>
      </w:r>
      <w:r>
        <w:rPr>
          <w:rFonts w:hint="eastAsia" w:ascii="Times New Roman" w:hAnsi="Times New Roman" w:cs="Times New Roman"/>
          <w:color w:val="auto"/>
          <w:spacing w:val="0"/>
          <w:w w:val="100"/>
          <w:kern w:val="0"/>
          <w:position w:val="0"/>
          <w:sz w:val="24"/>
          <w:szCs w:val="24"/>
          <w:highlight w:val="none"/>
          <w:lang w:val="en-US" w:eastAsia="zh-CN" w:bidi="ar-SA"/>
        </w:rPr>
        <w:t>.5</w:t>
      </w:r>
      <w:r>
        <w:rPr>
          <w:rFonts w:hint="default" w:ascii="Times New Roman" w:hAnsi="Times New Roman" w:eastAsia="宋体" w:cs="Times New Roman"/>
          <w:color w:val="auto"/>
          <w:spacing w:val="0"/>
          <w:w w:val="100"/>
          <w:kern w:val="0"/>
          <w:position w:val="0"/>
          <w:sz w:val="24"/>
          <w:szCs w:val="24"/>
          <w:highlight w:val="none"/>
          <w:lang w:val="en-US" w:eastAsia="zh-CN" w:bidi="ar-SA"/>
        </w:rPr>
        <w:t>km，厂区南侧</w:t>
      </w:r>
      <w:r>
        <w:rPr>
          <w:rFonts w:hint="default" w:ascii="Times New Roman" w:hAnsi="Times New Roman" w:cs="Times New Roman"/>
          <w:color w:val="auto"/>
          <w:spacing w:val="0"/>
          <w:w w:val="100"/>
          <w:kern w:val="0"/>
          <w:position w:val="0"/>
          <w:sz w:val="24"/>
          <w:szCs w:val="24"/>
          <w:highlight w:val="none"/>
          <w:lang w:val="en-US" w:eastAsia="zh-CN" w:bidi="ar-SA"/>
        </w:rPr>
        <w:t>1</w:t>
      </w:r>
      <w:r>
        <w:rPr>
          <w:rFonts w:hint="default" w:ascii="Times New Roman" w:hAnsi="Times New Roman" w:eastAsia="宋体" w:cs="Times New Roman"/>
          <w:color w:val="auto"/>
          <w:spacing w:val="0"/>
          <w:w w:val="100"/>
          <w:kern w:val="0"/>
          <w:position w:val="0"/>
          <w:sz w:val="24"/>
          <w:szCs w:val="24"/>
          <w:highlight w:val="none"/>
          <w:lang w:val="en-US" w:eastAsia="zh-CN" w:bidi="ar-SA"/>
        </w:rPr>
        <w:t>km，北侧</w:t>
      </w:r>
      <w:r>
        <w:rPr>
          <w:rFonts w:hint="default" w:ascii="Times New Roman" w:hAnsi="Times New Roman" w:cs="Times New Roman"/>
          <w:color w:val="auto"/>
          <w:spacing w:val="0"/>
          <w:w w:val="100"/>
          <w:kern w:val="0"/>
          <w:position w:val="0"/>
          <w:sz w:val="24"/>
          <w:szCs w:val="24"/>
          <w:highlight w:val="none"/>
          <w:lang w:val="en-US" w:eastAsia="zh-CN" w:bidi="ar-SA"/>
        </w:rPr>
        <w:t>1</w:t>
      </w:r>
      <w:r>
        <w:rPr>
          <w:rFonts w:hint="default" w:ascii="Times New Roman" w:hAnsi="Times New Roman" w:eastAsia="宋体" w:cs="Times New Roman"/>
          <w:color w:val="auto"/>
          <w:spacing w:val="0"/>
          <w:w w:val="100"/>
          <w:kern w:val="0"/>
          <w:position w:val="0"/>
          <w:sz w:val="24"/>
          <w:szCs w:val="24"/>
          <w:highlight w:val="none"/>
          <w:lang w:val="en-US" w:eastAsia="zh-CN" w:bidi="ar-SA"/>
        </w:rPr>
        <w:t>km，调查评价区面积约为6km</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100"/>
          <w:kern w:val="0"/>
          <w:position w:val="0"/>
          <w:sz w:val="24"/>
          <w:szCs w:val="24"/>
          <w:highlight w:val="none"/>
          <w:lang w:val="en-US" w:eastAsia="zh-CN" w:bidi="ar-SA"/>
        </w:rPr>
        <w:t>，满足《环境影响评价导则 地下水环境》（HJ610-2016）关于三级评价的范围要求。项目地下水评价范围见图1.5-1。</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84" w:name="_Toc25859"/>
      <w:bookmarkStart w:id="385" w:name="_Toc28609"/>
      <w:bookmarkStart w:id="386" w:name="_Toc29567"/>
      <w:bookmarkStart w:id="387" w:name="_Toc31673"/>
      <w:bookmarkStart w:id="388" w:name="_Toc26077"/>
      <w:bookmarkStart w:id="389" w:name="_Toc12749"/>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.5.4声环境</w:t>
      </w:r>
      <w:bookmarkEnd w:id="378"/>
      <w:bookmarkEnd w:id="379"/>
      <w:bookmarkEnd w:id="380"/>
      <w:bookmarkEnd w:id="381"/>
      <w:bookmarkEnd w:id="382"/>
      <w:bookmarkEnd w:id="383"/>
      <w:bookmarkEnd w:id="384"/>
      <w:bookmarkEnd w:id="385"/>
      <w:bookmarkEnd w:id="386"/>
      <w:bookmarkEnd w:id="387"/>
      <w:bookmarkEnd w:id="388"/>
      <w:bookmarkEnd w:id="389"/>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.5.4.1评价等级</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根据《环境影响评价技术导则 声环境》（HJ2.4-2009）中规定的评价工作等级划分依据，将声环境影响评价工作分为一、二、三级，划分依据见表</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32"/>
          <w:highlight w:val="none"/>
        </w:rPr>
        <w:t>.5-</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10</w:t>
      </w:r>
      <w:r>
        <w:rPr>
          <w:rFonts w:hint="default" w:ascii="Times New Roman" w:hAnsi="Times New Roman" w:eastAsia="宋体" w:cs="Times New Roman"/>
          <w:snapToGrid w:val="0"/>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表1.5-10   声环境影响评价工作级别划分依据表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6"/>
        <w:gridCol w:w="7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评价工作等级</w:t>
            </w:r>
          </w:p>
        </w:tc>
        <w:tc>
          <w:tcPr>
            <w:tcW w:w="7363"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一级</w:t>
            </w:r>
          </w:p>
        </w:tc>
        <w:tc>
          <w:tcPr>
            <w:tcW w:w="736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评价范围内有适用于GB3096规定的0类声环境功能区域，以及对噪声有特别限制要求的保护区等敏感目标，或建设项目建设前后评价范围内敏感目标噪声级增高量达5dB(A)以上（不含5dB(A)），或受影响人口数量显著增多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二级</w:t>
            </w:r>
          </w:p>
        </w:tc>
        <w:tc>
          <w:tcPr>
            <w:tcW w:w="736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建设项目所处的声环境功能区为GB3096规定的1类、2类地区，或建设项目建设前后评价范围内敏感目标噪声级增高量达3dB(A)～5dB(A)（含5dB(A)），或受噪声影响人口数量增加较多时。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三级</w:t>
            </w:r>
          </w:p>
        </w:tc>
        <w:tc>
          <w:tcPr>
            <w:tcW w:w="736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建设项目所处的声环境功能区为GB3096规定的3类、4类地区，或建设项目建设前后评价范围内敏感目标噪声级增高量在3dB(A)以下（不含3dB(A)），且受影响人口数量变化不大时。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本项目</w:t>
            </w:r>
          </w:p>
        </w:tc>
        <w:tc>
          <w:tcPr>
            <w:tcW w:w="7363" w:type="dxa"/>
            <w:noWrap w:val="0"/>
            <w:vAlign w:val="center"/>
          </w:tcPr>
          <w:p>
            <w:pPr>
              <w:adjustRightInd w:val="0"/>
              <w:snapToGrid w:val="0"/>
              <w:jc w:val="center"/>
              <w:rPr>
                <w:rFonts w:hint="eastAsia" w:ascii="Times New Roman" w:hAnsi="Times New Roman" w:eastAsia="宋体" w:cs="Times New Roman"/>
                <w:b/>
                <w:color w:val="auto"/>
                <w:spacing w:val="0"/>
                <w:w w:val="100"/>
                <w:kern w:val="0"/>
                <w:position w:val="0"/>
                <w:szCs w:val="21"/>
                <w:highlight w:val="none"/>
                <w:lang w:eastAsia="zh-CN"/>
              </w:rPr>
            </w:pPr>
            <w:r>
              <w:rPr>
                <w:rFonts w:hint="default" w:ascii="Times New Roman" w:hAnsi="Times New Roman" w:eastAsia="宋体" w:cs="Times New Roman"/>
                <w:b/>
                <w:color w:val="auto"/>
                <w:spacing w:val="0"/>
                <w:w w:val="100"/>
                <w:kern w:val="0"/>
                <w:position w:val="0"/>
                <w:szCs w:val="21"/>
                <w:highlight w:val="none"/>
              </w:rPr>
              <w:t>本项目声环境评价等级为</w:t>
            </w:r>
            <w:r>
              <w:rPr>
                <w:rFonts w:hint="default" w:ascii="Times New Roman" w:hAnsi="Times New Roman" w:eastAsia="宋体" w:cs="Times New Roman"/>
                <w:b/>
                <w:color w:val="auto"/>
                <w:spacing w:val="0"/>
                <w:w w:val="100"/>
                <w:kern w:val="0"/>
                <w:position w:val="0"/>
                <w:szCs w:val="21"/>
                <w:highlight w:val="none"/>
                <w:lang w:eastAsia="zh-CN"/>
              </w:rPr>
              <w:t>二</w:t>
            </w:r>
            <w:r>
              <w:rPr>
                <w:rFonts w:hint="default" w:ascii="Times New Roman" w:hAnsi="Times New Roman" w:eastAsia="宋体" w:cs="Times New Roman"/>
                <w:b/>
                <w:color w:val="auto"/>
                <w:spacing w:val="0"/>
                <w:w w:val="100"/>
                <w:kern w:val="0"/>
                <w:position w:val="0"/>
                <w:szCs w:val="21"/>
                <w:highlight w:val="none"/>
              </w:rPr>
              <w:t>级</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本项目拟选场址所在区域适用于《声环境质量标准》（GB3096-2008）规定的</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32"/>
          <w:highlight w:val="none"/>
        </w:rPr>
        <w:t>类区标准，</w:t>
      </w:r>
      <w:r>
        <w:rPr>
          <w:rFonts w:hint="default" w:ascii="Times New Roman" w:hAnsi="Times New Roman" w:eastAsia="宋体" w:cs="Times New Roman"/>
          <w:snapToGrid w:val="0"/>
          <w:color w:val="auto"/>
          <w:spacing w:val="0"/>
          <w:w w:val="100"/>
          <w:kern w:val="0"/>
          <w:position w:val="0"/>
          <w:sz w:val="24"/>
          <w:szCs w:val="32"/>
          <w:highlight w:val="none"/>
          <w:lang w:eastAsia="zh-CN"/>
        </w:rPr>
        <w:t>项目建设后，</w:t>
      </w:r>
      <w:r>
        <w:rPr>
          <w:rFonts w:hint="default" w:ascii="Times New Roman" w:hAnsi="Times New Roman" w:eastAsia="宋体" w:cs="Times New Roman"/>
          <w:snapToGrid w:val="0"/>
          <w:color w:val="auto"/>
          <w:spacing w:val="0"/>
          <w:w w:val="100"/>
          <w:kern w:val="0"/>
          <w:position w:val="0"/>
          <w:sz w:val="24"/>
          <w:szCs w:val="32"/>
          <w:highlight w:val="none"/>
        </w:rPr>
        <w:t>但项目评价范围内无</w:t>
      </w:r>
      <w:r>
        <w:rPr>
          <w:rFonts w:hint="default" w:ascii="Times New Roman" w:hAnsi="Times New Roman" w:eastAsia="宋体" w:cs="Times New Roman"/>
          <w:snapToGrid w:val="0"/>
          <w:color w:val="auto"/>
          <w:spacing w:val="0"/>
          <w:w w:val="100"/>
          <w:kern w:val="0"/>
          <w:position w:val="0"/>
          <w:sz w:val="24"/>
          <w:szCs w:val="32"/>
          <w:highlight w:val="none"/>
          <w:lang w:eastAsia="zh-CN"/>
        </w:rPr>
        <w:t>声</w:t>
      </w:r>
      <w:r>
        <w:rPr>
          <w:rFonts w:hint="default" w:ascii="Times New Roman" w:hAnsi="Times New Roman" w:eastAsia="宋体" w:cs="Times New Roman"/>
          <w:snapToGrid w:val="0"/>
          <w:color w:val="auto"/>
          <w:spacing w:val="0"/>
          <w:w w:val="100"/>
          <w:kern w:val="0"/>
          <w:position w:val="0"/>
          <w:sz w:val="24"/>
          <w:szCs w:val="32"/>
          <w:highlight w:val="none"/>
        </w:rPr>
        <w:t>环境敏感目标</w:t>
      </w:r>
      <w:r>
        <w:rPr>
          <w:rFonts w:hint="default" w:ascii="Times New Roman" w:hAnsi="Times New Roman" w:eastAsia="宋体" w:cs="Times New Roman"/>
          <w:snapToGrid w:val="0"/>
          <w:color w:val="auto"/>
          <w:spacing w:val="0"/>
          <w:w w:val="100"/>
          <w:kern w:val="0"/>
          <w:position w:val="0"/>
          <w:sz w:val="24"/>
          <w:szCs w:val="32"/>
          <w:highlight w:val="none"/>
          <w:lang w:eastAsia="zh-CN"/>
        </w:rPr>
        <w:t>，且受影响人口数量不增加</w:t>
      </w:r>
      <w:r>
        <w:rPr>
          <w:rFonts w:hint="default" w:ascii="Times New Roman" w:hAnsi="Times New Roman" w:eastAsia="宋体" w:cs="Times New Roman"/>
          <w:snapToGrid w:val="0"/>
          <w:color w:val="auto"/>
          <w:spacing w:val="0"/>
          <w:w w:val="100"/>
          <w:kern w:val="0"/>
          <w:position w:val="0"/>
          <w:sz w:val="24"/>
          <w:szCs w:val="32"/>
          <w:highlight w:val="none"/>
        </w:rPr>
        <w:t>。根据评价工作级别划分依据，本次声环境影响评价工作等级确定为</w:t>
      </w:r>
      <w:r>
        <w:rPr>
          <w:rFonts w:hint="default" w:ascii="Times New Roman" w:hAnsi="Times New Roman" w:eastAsia="宋体" w:cs="Times New Roman"/>
          <w:snapToGrid w:val="0"/>
          <w:color w:val="auto"/>
          <w:spacing w:val="0"/>
          <w:w w:val="100"/>
          <w:kern w:val="0"/>
          <w:position w:val="0"/>
          <w:sz w:val="24"/>
          <w:szCs w:val="32"/>
          <w:highlight w:val="none"/>
          <w:lang w:eastAsia="zh-CN"/>
        </w:rPr>
        <w:t>二</w:t>
      </w:r>
      <w:r>
        <w:rPr>
          <w:rFonts w:hint="default" w:ascii="Times New Roman" w:hAnsi="Times New Roman" w:eastAsia="宋体" w:cs="Times New Roman"/>
          <w:snapToGrid w:val="0"/>
          <w:color w:val="auto"/>
          <w:spacing w:val="0"/>
          <w:w w:val="100"/>
          <w:kern w:val="0"/>
          <w:position w:val="0"/>
          <w:sz w:val="24"/>
          <w:szCs w:val="32"/>
          <w:highlight w:val="none"/>
        </w:rPr>
        <w:t>级。</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.5.4.2评价范围</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根据《环境影响评价技术导则 声环境》（HJ2.4-2009）规定，评价范围为本项目场界外</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200</w:t>
      </w:r>
      <w:r>
        <w:rPr>
          <w:rFonts w:hint="default" w:ascii="Times New Roman" w:hAnsi="Times New Roman" w:eastAsia="宋体" w:cs="Times New Roman"/>
          <w:snapToGrid w:val="0"/>
          <w:color w:val="auto"/>
          <w:spacing w:val="0"/>
          <w:w w:val="100"/>
          <w:kern w:val="0"/>
          <w:position w:val="0"/>
          <w:sz w:val="24"/>
          <w:szCs w:val="32"/>
          <w:highlight w:val="none"/>
        </w:rPr>
        <w:t>m内区域。</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90" w:name="_Toc5861"/>
      <w:bookmarkStart w:id="391" w:name="_Toc14370"/>
      <w:bookmarkStart w:id="392" w:name="_Toc1578"/>
      <w:bookmarkStart w:id="393" w:name="_Toc5767"/>
      <w:bookmarkStart w:id="394" w:name="_Toc6648"/>
      <w:bookmarkStart w:id="395" w:name="_Toc15017"/>
      <w:bookmarkStart w:id="396" w:name="_Toc15125"/>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.5.5生态环境</w:t>
      </w:r>
      <w:bookmarkEnd w:id="390"/>
      <w:bookmarkEnd w:id="391"/>
      <w:bookmarkEnd w:id="392"/>
      <w:bookmarkEnd w:id="393"/>
      <w:bookmarkEnd w:id="394"/>
      <w:bookmarkEnd w:id="395"/>
      <w:bookmarkEnd w:id="396"/>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.5.5.1评价等级</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按照《环境影响评价技术导则 生态影响》(HJ19-2011)相关要求，依据影响区域的生态敏感性和本项目的占地范围，评判本项目生态影响评价等级。本项目场区占地约</w:t>
      </w:r>
      <w:r>
        <w:rPr>
          <w:rFonts w:hint="eastAsia" w:ascii="Times New Roman" w:hAnsi="Times New Roman" w:cs="Times New Roman"/>
          <w:color w:val="auto"/>
          <w:spacing w:val="0"/>
          <w:w w:val="100"/>
          <w:kern w:val="0"/>
          <w:position w:val="0"/>
          <w:sz w:val="24"/>
          <w:szCs w:val="24"/>
          <w:lang w:val="en-US" w:eastAsia="zh-CN"/>
        </w:rPr>
        <w:t>276000</w:t>
      </w:r>
      <w:r>
        <w:rPr>
          <w:rFonts w:hint="default" w:ascii="Times New Roman" w:hAnsi="Times New Roman" w:eastAsia="宋体" w:cs="Times New Roman"/>
          <w:snapToGrid w:val="0"/>
          <w:color w:val="auto"/>
          <w:spacing w:val="0"/>
          <w:w w:val="100"/>
          <w:kern w:val="0"/>
          <w:position w:val="0"/>
          <w:sz w:val="24"/>
          <w:szCs w:val="32"/>
          <w:highlight w:val="none"/>
          <w:lang w:val="zh-CN"/>
        </w:rPr>
        <w:t>m</w:t>
      </w:r>
      <w:r>
        <w:rPr>
          <w:rFonts w:hint="default" w:ascii="Times New Roman" w:hAnsi="Times New Roman" w:eastAsia="宋体" w:cs="Times New Roman"/>
          <w:snapToGrid w:val="0"/>
          <w:color w:val="auto"/>
          <w:spacing w:val="0"/>
          <w:w w:val="100"/>
          <w:kern w:val="0"/>
          <w:position w:val="0"/>
          <w:sz w:val="24"/>
          <w:szCs w:val="32"/>
          <w:highlight w:val="none"/>
          <w:vertAlign w:val="superscript"/>
          <w:lang w:val="zh-CN"/>
        </w:rPr>
        <w:t>2</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cs="Times New Roman"/>
          <w:snapToGrid w:val="0"/>
          <w:color w:val="auto"/>
          <w:spacing w:val="0"/>
          <w:w w:val="100"/>
          <w:kern w:val="0"/>
          <w:position w:val="0"/>
          <w:sz w:val="24"/>
          <w:szCs w:val="32"/>
          <w:highlight w:val="none"/>
          <w:lang w:val="en-US" w:eastAsia="zh-CN"/>
        </w:rPr>
        <w:t>0.</w:t>
      </w:r>
      <w:r>
        <w:rPr>
          <w:rFonts w:hint="eastAsia" w:ascii="Times New Roman" w:hAnsi="Times New Roman" w:cs="Times New Roman"/>
          <w:snapToGrid w:val="0"/>
          <w:color w:val="auto"/>
          <w:spacing w:val="0"/>
          <w:w w:val="100"/>
          <w:kern w:val="0"/>
          <w:position w:val="0"/>
          <w:sz w:val="24"/>
          <w:szCs w:val="32"/>
          <w:highlight w:val="none"/>
          <w:lang w:val="en-US" w:eastAsia="zh-CN"/>
        </w:rPr>
        <w:t>276</w:t>
      </w:r>
      <w:r>
        <w:rPr>
          <w:rFonts w:hint="default" w:ascii="Times New Roman" w:hAnsi="Times New Roman" w:eastAsia="宋体" w:cs="Times New Roman"/>
          <w:snapToGrid w:val="0"/>
          <w:color w:val="auto"/>
          <w:spacing w:val="0"/>
          <w:w w:val="100"/>
          <w:kern w:val="0"/>
          <w:position w:val="0"/>
          <w:sz w:val="24"/>
          <w:szCs w:val="32"/>
          <w:highlight w:val="none"/>
        </w:rPr>
        <w:t>km</w:t>
      </w:r>
      <w:r>
        <w:rPr>
          <w:rFonts w:hint="default" w:ascii="Times New Roman" w:hAnsi="Times New Roman" w:eastAsia="宋体" w:cs="Times New Roman"/>
          <w:snapToGrid w:val="0"/>
          <w:color w:val="auto"/>
          <w:spacing w:val="0"/>
          <w:w w:val="100"/>
          <w:kern w:val="0"/>
          <w:position w:val="0"/>
          <w:sz w:val="24"/>
          <w:szCs w:val="32"/>
          <w:highlight w:val="none"/>
          <w:vertAlign w:val="superscript"/>
        </w:rPr>
        <w:t>2</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val="zh-CN"/>
        </w:rPr>
        <w:t>，</w:t>
      </w:r>
      <w:r>
        <w:rPr>
          <w:rFonts w:hint="default" w:ascii="Times New Roman" w:hAnsi="Times New Roman" w:eastAsia="宋体" w:cs="Times New Roman"/>
          <w:snapToGrid w:val="0"/>
          <w:color w:val="auto"/>
          <w:spacing w:val="0"/>
          <w:w w:val="100"/>
          <w:kern w:val="0"/>
          <w:position w:val="0"/>
          <w:sz w:val="24"/>
          <w:szCs w:val="32"/>
          <w:highlight w:val="none"/>
        </w:rPr>
        <w:t>面积≤2km</w:t>
      </w:r>
      <w:r>
        <w:rPr>
          <w:rFonts w:hint="default" w:ascii="Times New Roman" w:hAnsi="Times New Roman" w:eastAsia="宋体" w:cs="Times New Roman"/>
          <w:snapToGrid w:val="0"/>
          <w:color w:val="auto"/>
          <w:spacing w:val="0"/>
          <w:w w:val="100"/>
          <w:kern w:val="0"/>
          <w:position w:val="0"/>
          <w:sz w:val="24"/>
          <w:szCs w:val="32"/>
          <w:highlight w:val="none"/>
          <w:vertAlign w:val="superscript"/>
        </w:rPr>
        <w:t>2</w:t>
      </w:r>
      <w:r>
        <w:rPr>
          <w:rFonts w:hint="default" w:ascii="Times New Roman" w:hAnsi="Times New Roman" w:eastAsia="宋体" w:cs="Times New Roman"/>
          <w:snapToGrid w:val="0"/>
          <w:color w:val="auto"/>
          <w:spacing w:val="0"/>
          <w:w w:val="100"/>
          <w:kern w:val="0"/>
          <w:position w:val="0"/>
          <w:sz w:val="24"/>
          <w:szCs w:val="32"/>
          <w:highlight w:val="none"/>
        </w:rPr>
        <w:t>；用地类型为设施农用地，用地范围属于一般区域，不涉及特殊、重要生态敏感区。</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按照《环境影响评价技术导则 生态影响》(HJ19-2011)相关要求，依据影响区域的生态敏感性和本项目的占地范围，影响区不涉及特殊生态敏感区和重要生态敏感区，属于一般区域评判。确定依据见表</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5</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11</w:t>
      </w:r>
      <w:r>
        <w:rPr>
          <w:rFonts w:hint="default" w:ascii="Times New Roman" w:hAnsi="Times New Roman" w:eastAsia="宋体" w:cs="Times New Roman"/>
          <w:snapToGrid w:val="0"/>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表1.5-11   本项目生态影响评价工作等级判定表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12"/>
        <w:gridCol w:w="1485"/>
        <w:gridCol w:w="1949"/>
        <w:gridCol w:w="1538"/>
        <w:gridCol w:w="19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876" w:type="dxa"/>
            <w:vMerge w:val="restart"/>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影响区域</w:t>
            </w:r>
          </w:p>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生态敏感性</w:t>
            </w:r>
          </w:p>
        </w:tc>
        <w:tc>
          <w:tcPr>
            <w:tcW w:w="5147" w:type="dxa"/>
            <w:gridSpan w:val="3"/>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工程占地（水域）范围</w:t>
            </w:r>
          </w:p>
        </w:tc>
        <w:tc>
          <w:tcPr>
            <w:tcW w:w="2048" w:type="dxa"/>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876" w:type="dxa"/>
            <w:vMerge w:val="continue"/>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p>
        </w:tc>
        <w:tc>
          <w:tcPr>
            <w:tcW w:w="1537"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面积≥20km</w:t>
            </w:r>
            <w:r>
              <w:rPr>
                <w:rFonts w:hint="default" w:ascii="Times New Roman" w:hAnsi="Times New Roman" w:eastAsia="宋体" w:cs="Times New Roman"/>
                <w:iCs/>
                <w:color w:val="auto"/>
                <w:spacing w:val="0"/>
                <w:w w:val="100"/>
                <w:kern w:val="0"/>
                <w:position w:val="0"/>
                <w:szCs w:val="21"/>
                <w:highlight w:val="none"/>
                <w:vertAlign w:val="superscript"/>
              </w:rPr>
              <w:t>2</w:t>
            </w:r>
            <w:r>
              <w:rPr>
                <w:rFonts w:hint="default" w:ascii="Times New Roman" w:hAnsi="Times New Roman" w:eastAsia="宋体" w:cs="Times New Roman"/>
                <w:iCs/>
                <w:color w:val="auto"/>
                <w:spacing w:val="0"/>
                <w:w w:val="100"/>
                <w:kern w:val="0"/>
                <w:position w:val="0"/>
                <w:szCs w:val="21"/>
                <w:highlight w:val="none"/>
              </w:rPr>
              <w:t>或长度≥100km</w:t>
            </w:r>
          </w:p>
        </w:tc>
        <w:tc>
          <w:tcPr>
            <w:tcW w:w="201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面积2km</w:t>
            </w:r>
            <w:r>
              <w:rPr>
                <w:rFonts w:hint="default" w:ascii="Times New Roman" w:hAnsi="Times New Roman" w:eastAsia="宋体" w:cs="Times New Roman"/>
                <w:iCs/>
                <w:color w:val="auto"/>
                <w:spacing w:val="0"/>
                <w:w w:val="100"/>
                <w:kern w:val="0"/>
                <w:position w:val="0"/>
                <w:szCs w:val="21"/>
                <w:highlight w:val="none"/>
                <w:vertAlign w:val="superscript"/>
              </w:rPr>
              <w:t>2</w:t>
            </w:r>
            <w:r>
              <w:rPr>
                <w:rFonts w:hint="default" w:ascii="Times New Roman" w:hAnsi="Times New Roman" w:eastAsia="宋体" w:cs="Times New Roman"/>
                <w:iCs/>
                <w:color w:val="auto"/>
                <w:spacing w:val="0"/>
                <w:w w:val="100"/>
                <w:kern w:val="0"/>
                <w:position w:val="0"/>
                <w:szCs w:val="21"/>
                <w:highlight w:val="none"/>
              </w:rPr>
              <w:t>-20km</w:t>
            </w:r>
            <w:r>
              <w:rPr>
                <w:rFonts w:hint="default" w:ascii="Times New Roman" w:hAnsi="Times New Roman" w:eastAsia="宋体" w:cs="Times New Roman"/>
                <w:iCs/>
                <w:color w:val="auto"/>
                <w:spacing w:val="0"/>
                <w:w w:val="100"/>
                <w:kern w:val="0"/>
                <w:position w:val="0"/>
                <w:szCs w:val="21"/>
                <w:highlight w:val="none"/>
                <w:vertAlign w:val="superscript"/>
              </w:rPr>
              <w:t>2</w:t>
            </w:r>
            <w:r>
              <w:rPr>
                <w:rFonts w:hint="default" w:ascii="Times New Roman" w:hAnsi="Times New Roman" w:eastAsia="宋体" w:cs="Times New Roman"/>
                <w:iCs/>
                <w:color w:val="auto"/>
                <w:spacing w:val="0"/>
                <w:w w:val="100"/>
                <w:kern w:val="0"/>
                <w:position w:val="0"/>
                <w:szCs w:val="21"/>
                <w:highlight w:val="none"/>
              </w:rPr>
              <w:t>或长度50km-100km</w:t>
            </w:r>
          </w:p>
        </w:tc>
        <w:tc>
          <w:tcPr>
            <w:tcW w:w="1592"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面积≤2km</w:t>
            </w:r>
            <w:r>
              <w:rPr>
                <w:rFonts w:hint="default" w:ascii="Times New Roman" w:hAnsi="Times New Roman" w:eastAsia="宋体" w:cs="Times New Roman"/>
                <w:iCs/>
                <w:color w:val="auto"/>
                <w:spacing w:val="0"/>
                <w:w w:val="100"/>
                <w:kern w:val="0"/>
                <w:position w:val="0"/>
                <w:szCs w:val="21"/>
                <w:highlight w:val="none"/>
                <w:vertAlign w:val="superscript"/>
              </w:rPr>
              <w:t>2</w:t>
            </w:r>
            <w:r>
              <w:rPr>
                <w:rFonts w:hint="default" w:ascii="Times New Roman" w:hAnsi="Times New Roman" w:eastAsia="宋体" w:cs="Times New Roman"/>
                <w:iCs/>
                <w:color w:val="auto"/>
                <w:spacing w:val="0"/>
                <w:w w:val="100"/>
                <w:kern w:val="0"/>
                <w:position w:val="0"/>
                <w:szCs w:val="21"/>
                <w:highlight w:val="none"/>
              </w:rPr>
              <w:t>或</w:t>
            </w:r>
          </w:p>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长度≤50km</w:t>
            </w:r>
          </w:p>
        </w:tc>
        <w:tc>
          <w:tcPr>
            <w:tcW w:w="2048" w:type="dxa"/>
            <w:noWrap w:val="0"/>
            <w:vAlign w:val="center"/>
          </w:tcPr>
          <w:p>
            <w:pPr>
              <w:overflowPunct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 w:val="21"/>
                <w:szCs w:val="21"/>
                <w:highlight w:val="none"/>
              </w:rPr>
              <w:t>占地面积</w:t>
            </w:r>
            <w:r>
              <w:rPr>
                <w:rFonts w:hint="eastAsia" w:ascii="Times New Roman" w:hAnsi="Times New Roman" w:cs="Times New Roman"/>
                <w:iCs/>
                <w:color w:val="auto"/>
                <w:spacing w:val="0"/>
                <w:w w:val="100"/>
                <w:kern w:val="0"/>
                <w:position w:val="0"/>
                <w:sz w:val="21"/>
                <w:szCs w:val="21"/>
                <w:highlight w:val="none"/>
                <w:lang w:val="en-US" w:eastAsia="zh-CN"/>
              </w:rPr>
              <w:t>276000</w:t>
            </w:r>
            <w:r>
              <w:rPr>
                <w:rFonts w:hint="default" w:ascii="Times New Roman" w:hAnsi="Times New Roman" w:eastAsia="宋体" w:cs="Times New Roman"/>
                <w:iCs/>
                <w:color w:val="auto"/>
                <w:spacing w:val="0"/>
                <w:w w:val="100"/>
                <w:kern w:val="0"/>
                <w:position w:val="0"/>
                <w:sz w:val="21"/>
                <w:szCs w:val="21"/>
                <w:highlight w:val="none"/>
              </w:rPr>
              <w:t>m</w:t>
            </w:r>
            <w:r>
              <w:rPr>
                <w:rFonts w:hint="default" w:ascii="Times New Roman" w:hAnsi="Times New Roman" w:eastAsia="宋体" w:cs="Times New Roman"/>
                <w:iCs/>
                <w:color w:val="auto"/>
                <w:spacing w:val="0"/>
                <w:w w:val="100"/>
                <w:kern w:val="0"/>
                <w:positio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876" w:type="dxa"/>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特殊生态敏感区</w:t>
            </w:r>
          </w:p>
        </w:tc>
        <w:tc>
          <w:tcPr>
            <w:tcW w:w="1537"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一级</w:t>
            </w:r>
          </w:p>
        </w:tc>
        <w:tc>
          <w:tcPr>
            <w:tcW w:w="201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一级</w:t>
            </w:r>
          </w:p>
        </w:tc>
        <w:tc>
          <w:tcPr>
            <w:tcW w:w="1592"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一级</w:t>
            </w:r>
          </w:p>
        </w:tc>
        <w:tc>
          <w:tcPr>
            <w:tcW w:w="204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876" w:type="dxa"/>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重要生态敏感区</w:t>
            </w:r>
          </w:p>
        </w:tc>
        <w:tc>
          <w:tcPr>
            <w:tcW w:w="1537"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一级</w:t>
            </w:r>
          </w:p>
        </w:tc>
        <w:tc>
          <w:tcPr>
            <w:tcW w:w="201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二级</w:t>
            </w:r>
          </w:p>
        </w:tc>
        <w:tc>
          <w:tcPr>
            <w:tcW w:w="1592"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三级</w:t>
            </w:r>
          </w:p>
        </w:tc>
        <w:tc>
          <w:tcPr>
            <w:tcW w:w="204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876" w:type="dxa"/>
            <w:shd w:val="clear" w:color="auto" w:fill="auto"/>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一般区域</w:t>
            </w:r>
          </w:p>
        </w:tc>
        <w:tc>
          <w:tcPr>
            <w:tcW w:w="1537" w:type="dxa"/>
            <w:shd w:val="clear" w:color="auto" w:fill="auto"/>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二级</w:t>
            </w:r>
          </w:p>
        </w:tc>
        <w:tc>
          <w:tcPr>
            <w:tcW w:w="2018" w:type="dxa"/>
            <w:shd w:val="clear" w:color="auto" w:fill="auto"/>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三级</w:t>
            </w:r>
          </w:p>
        </w:tc>
        <w:tc>
          <w:tcPr>
            <w:tcW w:w="1592" w:type="dxa"/>
            <w:shd w:val="clear" w:color="auto" w:fill="auto"/>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三级</w:t>
            </w:r>
          </w:p>
        </w:tc>
        <w:tc>
          <w:tcPr>
            <w:tcW w:w="2048" w:type="dxa"/>
            <w:noWrap w:val="0"/>
            <w:vAlign w:val="center"/>
          </w:tcPr>
          <w:p>
            <w:pPr>
              <w:overflowPunct w:val="0"/>
              <w:adjustRightInd w:val="0"/>
              <w:snapToGrid w:val="0"/>
              <w:jc w:val="center"/>
              <w:rPr>
                <w:rFonts w:hint="default" w:ascii="Times New Roman" w:hAnsi="Times New Roman" w:eastAsia="宋体" w:cs="Times New Roman"/>
                <w:iCs/>
                <w:color w:val="auto"/>
                <w:spacing w:val="0"/>
                <w:w w:val="100"/>
                <w:kern w:val="0"/>
                <w:position w:val="0"/>
                <w:szCs w:val="21"/>
                <w:highlight w:val="none"/>
              </w:rPr>
            </w:pPr>
            <w:r>
              <w:rPr>
                <w:rFonts w:hint="default" w:ascii="Times New Roman" w:hAnsi="Times New Roman" w:eastAsia="宋体" w:cs="Times New Roman"/>
                <w:iCs/>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23" w:type="dxa"/>
            <w:gridSpan w:val="4"/>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本项目生态影响评价工作等级</w:t>
            </w:r>
          </w:p>
        </w:tc>
        <w:tc>
          <w:tcPr>
            <w:tcW w:w="2048" w:type="dxa"/>
            <w:noWrap w:val="0"/>
            <w:vAlign w:val="center"/>
          </w:tcPr>
          <w:p>
            <w:pPr>
              <w:overflowPunct w:val="0"/>
              <w:adjustRightInd w:val="0"/>
              <w:snapToGrid w:val="0"/>
              <w:jc w:val="center"/>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三级</w:t>
            </w:r>
          </w:p>
        </w:tc>
      </w:tr>
    </w:tbl>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根据表</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5</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12</w:t>
      </w:r>
      <w:r>
        <w:rPr>
          <w:rFonts w:hint="default" w:ascii="Times New Roman" w:hAnsi="Times New Roman" w:eastAsia="宋体" w:cs="Times New Roman"/>
          <w:snapToGrid w:val="0"/>
          <w:color w:val="auto"/>
          <w:spacing w:val="0"/>
          <w:w w:val="100"/>
          <w:kern w:val="0"/>
          <w:position w:val="0"/>
          <w:sz w:val="24"/>
          <w:szCs w:val="32"/>
          <w:highlight w:val="none"/>
        </w:rPr>
        <w:t>知，项目生态环境影响评价等为三级。</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.5.5.2评价范围</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根据生态评价技术导则，生态影响评价范围应能够充分体现生态完整性，涵盖评价项目全部活动的直接影响区域和间接影响区域，本项目对生态的直接影响主要体现在项目土地占用、项目建设对场地动植物影响、项目粪污对场地土壤的影响等</w:t>
      </w:r>
      <w:r>
        <w:rPr>
          <w:rFonts w:hint="default" w:ascii="Times New Roman" w:hAnsi="Times New Roman" w:eastAsia="宋体" w:cs="Times New Roman"/>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rPr>
        <w:t>综合考虑以上因素，项目生态影响评价范围确定为项目场区范围内。</w:t>
      </w:r>
      <w:r>
        <w:rPr>
          <w:rFonts w:hint="default" w:ascii="Times New Roman" w:hAnsi="Times New Roman" w:eastAsia="宋体" w:cs="Times New Roman"/>
          <w:color w:val="auto"/>
          <w:spacing w:val="0"/>
          <w:w w:val="100"/>
          <w:kern w:val="0"/>
          <w:position w:val="0"/>
          <w:sz w:val="24"/>
          <w:szCs w:val="32"/>
          <w:highlight w:val="none"/>
        </w:rPr>
        <w:t>项目生态环境评价范围见图</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.5-1。</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397" w:name="_Toc17336"/>
      <w:bookmarkStart w:id="398" w:name="_Toc21030"/>
      <w:bookmarkStart w:id="399" w:name="_Toc29022"/>
      <w:bookmarkStart w:id="400" w:name="_Toc11248"/>
      <w:bookmarkStart w:id="401" w:name="_Toc4218"/>
      <w:bookmarkStart w:id="402" w:name="_Toc16775"/>
      <w:bookmarkStart w:id="403" w:name="_Toc17352"/>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.5.6环境风险</w:t>
      </w:r>
      <w:bookmarkEnd w:id="397"/>
      <w:bookmarkEnd w:id="398"/>
      <w:bookmarkEnd w:id="399"/>
      <w:bookmarkEnd w:id="400"/>
      <w:bookmarkEnd w:id="401"/>
      <w:bookmarkEnd w:id="402"/>
      <w:bookmarkEnd w:id="403"/>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为奶牛养殖建设项目，不涉及有毒有害和易燃易爆物质，不贮存《建设项目环境风险评价技术导则》（HJ169-2018）附录B中列出的重点关注的危险物质，因此本项目不存在环境风险物质场区不涉及危险化学品，营运期主要风险因素为污水站、粪污出现事故性泄漏污染地下水。本次根据《建设项目环境风险评价技术导则》（HJ169-2018）判定风险评价工作等级。</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bookmarkStart w:id="404" w:name="_Toc299368843"/>
      <w:bookmarkStart w:id="405" w:name="_Toc5031"/>
      <w:bookmarkStart w:id="406" w:name="_Toc387745565"/>
      <w:bookmarkStart w:id="407" w:name="_Toc28692"/>
      <w:bookmarkStart w:id="408" w:name="_Toc3219"/>
      <w:bookmarkStart w:id="409" w:name="_Toc8433"/>
      <w:bookmarkStart w:id="410" w:name="_Toc21185"/>
      <w:bookmarkStart w:id="411" w:name="_Toc332203174"/>
      <w:bookmarkStart w:id="412" w:name="_Toc491609966"/>
      <w:bookmarkStart w:id="413" w:name="_Toc484463390"/>
      <w:r>
        <w:rPr>
          <w:rFonts w:hint="default" w:ascii="Times New Roman" w:hAnsi="Times New Roman" w:eastAsia="宋体" w:cs="Times New Roman"/>
          <w:snapToGrid w:val="0"/>
          <w:color w:val="auto"/>
          <w:spacing w:val="0"/>
          <w:w w:val="100"/>
          <w:kern w:val="0"/>
          <w:position w:val="0"/>
          <w:sz w:val="24"/>
          <w:highlight w:val="none"/>
        </w:rPr>
        <w:t>危险物质及工艺系统危险性（P）的分级，由危险物质数量与临界量比值（Q），与行业及生产工艺（M）确定。</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fldChar w:fldCharType="begin"/>
      </w:r>
      <w:r>
        <w:rPr>
          <w:rFonts w:hint="default" w:ascii="Times New Roman" w:hAnsi="Times New Roman" w:eastAsia="宋体" w:cs="Times New Roman"/>
          <w:snapToGrid w:val="0"/>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snapToGrid w:val="0"/>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snapToGrid w:val="0"/>
          <w:color w:val="auto"/>
          <w:spacing w:val="0"/>
          <w:w w:val="100"/>
          <w:kern w:val="0"/>
          <w:position w:val="0"/>
          <w:sz w:val="24"/>
          <w:szCs w:val="24"/>
          <w:highlight w:val="none"/>
        </w:rPr>
        <w:fldChar w:fldCharType="end"/>
      </w:r>
      <w:r>
        <w:rPr>
          <w:rFonts w:hint="default" w:ascii="Times New Roman" w:hAnsi="Times New Roman" w:eastAsia="宋体" w:cs="Times New Roman"/>
          <w:snapToGrid w:val="0"/>
          <w:color w:val="auto"/>
          <w:spacing w:val="0"/>
          <w:w w:val="100"/>
          <w:kern w:val="0"/>
          <w:position w:val="0"/>
          <w:sz w:val="24"/>
          <w:highlight w:val="none"/>
        </w:rPr>
        <w:t>危险物质数量与临界量比值（Q）</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Q为项目所涉及的每种危险物质在场界内的最大存在总量与其在附录B中对应临界量的比值。当存在多种危险物质时，按照下式进行计算：</w:t>
      </w:r>
    </w:p>
    <w:p>
      <w:pPr>
        <w:tabs>
          <w:tab w:val="left" w:pos="3320"/>
        </w:tabs>
        <w:overflowPunct w:val="0"/>
        <w:spacing w:line="360" w:lineRule="auto"/>
        <w:ind w:firstLine="1200" w:firstLineChars="5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Q=q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式中：q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——每种危险物质的最大存在量，t；</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——每种危险物质的临界量，t。</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当Q＜1时，该项目环境风险潜势为Ⅰ。</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当Q≥1时，将Q值划分为：</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①1≤Q＜10；</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②10≤Q＜100；</w:t>
      </w:r>
    </w:p>
    <w:p>
      <w:pPr>
        <w:tabs>
          <w:tab w:val="left" w:pos="3320"/>
        </w:tabs>
        <w:overflowPunct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③Q≥100；</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本项目为奶牛养殖建设项目，</w:t>
      </w:r>
      <w:r>
        <w:rPr>
          <w:rFonts w:hint="default" w:ascii="Times New Roman" w:hAnsi="Times New Roman" w:eastAsia="宋体" w:cs="Times New Roman"/>
          <w:snapToGrid w:val="0"/>
          <w:color w:val="auto"/>
          <w:spacing w:val="0"/>
          <w:w w:val="100"/>
          <w:kern w:val="0"/>
          <w:position w:val="0"/>
          <w:sz w:val="24"/>
          <w:highlight w:val="none"/>
          <w:lang w:eastAsia="zh-CN"/>
        </w:rPr>
        <w:t>不</w:t>
      </w:r>
      <w:r>
        <w:rPr>
          <w:rFonts w:hint="default" w:ascii="Times New Roman" w:hAnsi="Times New Roman" w:eastAsia="宋体" w:cs="Times New Roman"/>
          <w:snapToGrid w:val="0"/>
          <w:color w:val="auto"/>
          <w:spacing w:val="0"/>
          <w:w w:val="100"/>
          <w:kern w:val="0"/>
          <w:position w:val="0"/>
          <w:sz w:val="24"/>
          <w:highlight w:val="none"/>
        </w:rPr>
        <w:t>涉及</w:t>
      </w:r>
      <w:r>
        <w:rPr>
          <w:rFonts w:hint="default" w:ascii="Times New Roman" w:hAnsi="Times New Roman" w:eastAsia="宋体" w:cs="Times New Roman"/>
          <w:snapToGrid w:val="0"/>
          <w:color w:val="auto"/>
          <w:spacing w:val="0"/>
          <w:w w:val="100"/>
          <w:kern w:val="0"/>
          <w:position w:val="0"/>
          <w:sz w:val="24"/>
          <w:highlight w:val="none"/>
          <w:lang w:eastAsia="zh-CN"/>
        </w:rPr>
        <w:t>风险</w:t>
      </w:r>
      <w:r>
        <w:rPr>
          <w:rFonts w:hint="default" w:ascii="Times New Roman" w:hAnsi="Times New Roman" w:eastAsia="宋体" w:cs="Times New Roman"/>
          <w:snapToGrid w:val="0"/>
          <w:color w:val="auto"/>
          <w:spacing w:val="0"/>
          <w:w w:val="100"/>
          <w:kern w:val="0"/>
          <w:position w:val="0"/>
          <w:sz w:val="24"/>
          <w:highlight w:val="none"/>
        </w:rPr>
        <w:t>物质，即Q为</w:t>
      </w:r>
      <w:r>
        <w:rPr>
          <w:rFonts w:hint="default" w:ascii="Times New Roman" w:hAnsi="Times New Roman" w:eastAsia="宋体" w:cs="Times New Roman"/>
          <w:snapToGrid w:val="0"/>
          <w:color w:val="auto"/>
          <w:spacing w:val="0"/>
          <w:w w:val="100"/>
          <w:kern w:val="0"/>
          <w:position w:val="0"/>
          <w:sz w:val="24"/>
          <w:highlight w:val="none"/>
          <w:lang w:val="en-US" w:eastAsia="zh-CN"/>
        </w:rPr>
        <w:t>0</w:t>
      </w:r>
      <w:r>
        <w:rPr>
          <w:rFonts w:hint="default" w:ascii="Times New Roman" w:hAnsi="Times New Roman" w:eastAsia="宋体" w:cs="Times New Roman"/>
          <w:snapToGrid w:val="0"/>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表1.5-12</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评价工作等级划分表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06"/>
        <w:gridCol w:w="1786"/>
        <w:gridCol w:w="1783"/>
        <w:gridCol w:w="1578"/>
        <w:gridCol w:w="15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237"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风险潜势</w:t>
            </w:r>
          </w:p>
        </w:tc>
        <w:tc>
          <w:tcPr>
            <w:tcW w:w="1811"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Ⅳ、Ⅳ</w:t>
            </w:r>
            <w:r>
              <w:rPr>
                <w:rFonts w:hint="default" w:ascii="Times New Roman" w:hAnsi="Times New Roman" w:eastAsia="宋体" w:cs="Times New Roman"/>
                <w:b/>
                <w:color w:val="auto"/>
                <w:spacing w:val="0"/>
                <w:w w:val="100"/>
                <w:kern w:val="0"/>
                <w:position w:val="0"/>
                <w:sz w:val="21"/>
                <w:szCs w:val="21"/>
                <w:highlight w:val="none"/>
                <w:vertAlign w:val="superscript"/>
              </w:rPr>
              <w:t>+</w:t>
            </w:r>
          </w:p>
        </w:tc>
        <w:tc>
          <w:tcPr>
            <w:tcW w:w="1808"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Ⅲ</w:t>
            </w:r>
          </w:p>
        </w:tc>
        <w:tc>
          <w:tcPr>
            <w:tcW w:w="1599"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Ⅱ</w:t>
            </w:r>
          </w:p>
        </w:tc>
        <w:tc>
          <w:tcPr>
            <w:tcW w:w="1616"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7"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评价工作等级</w:t>
            </w:r>
          </w:p>
        </w:tc>
        <w:tc>
          <w:tcPr>
            <w:tcW w:w="1811" w:type="dxa"/>
            <w:noWrap w:val="0"/>
            <w:vAlign w:val="center"/>
          </w:tcPr>
          <w:p>
            <w:pPr>
              <w:pStyle w:val="41"/>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w:t>
            </w:r>
          </w:p>
        </w:tc>
        <w:tc>
          <w:tcPr>
            <w:tcW w:w="1808" w:type="dxa"/>
            <w:noWrap w:val="0"/>
            <w:vAlign w:val="center"/>
          </w:tcPr>
          <w:p>
            <w:pPr>
              <w:pStyle w:val="41"/>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二</w:t>
            </w:r>
          </w:p>
        </w:tc>
        <w:tc>
          <w:tcPr>
            <w:tcW w:w="1599" w:type="dxa"/>
            <w:noWrap w:val="0"/>
            <w:vAlign w:val="center"/>
          </w:tcPr>
          <w:p>
            <w:pPr>
              <w:pStyle w:val="41"/>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三</w:t>
            </w:r>
          </w:p>
        </w:tc>
        <w:tc>
          <w:tcPr>
            <w:tcW w:w="1616" w:type="dxa"/>
            <w:noWrap w:val="0"/>
            <w:vAlign w:val="center"/>
          </w:tcPr>
          <w:p>
            <w:pPr>
              <w:pStyle w:val="41"/>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7" w:type="dxa"/>
            <w:noWrap w:val="0"/>
            <w:vAlign w:val="center"/>
          </w:tcPr>
          <w:p>
            <w:pPr>
              <w:pStyle w:val="41"/>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本项目</w:t>
            </w:r>
          </w:p>
        </w:tc>
        <w:tc>
          <w:tcPr>
            <w:tcW w:w="6834" w:type="dxa"/>
            <w:gridSpan w:val="4"/>
            <w:noWrap w:val="0"/>
            <w:vAlign w:val="center"/>
          </w:tcPr>
          <w:p>
            <w:pPr>
              <w:pStyle w:val="41"/>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风险潜势为</w:t>
            </w:r>
            <w:r>
              <w:rPr>
                <w:rFonts w:hint="default" w:ascii="Times New Roman" w:hAnsi="Times New Roman" w:eastAsia="宋体" w:cs="Times New Roman"/>
                <w:b w:val="0"/>
                <w:bCs/>
                <w:color w:val="auto"/>
                <w:spacing w:val="0"/>
                <w:w w:val="100"/>
                <w:kern w:val="0"/>
                <w:position w:val="0"/>
                <w:sz w:val="21"/>
                <w:szCs w:val="21"/>
                <w:highlight w:val="none"/>
              </w:rPr>
              <w:t>Ⅰ</w:t>
            </w:r>
          </w:p>
        </w:tc>
      </w:tr>
    </w:tbl>
    <w:p>
      <w:pPr>
        <w:tabs>
          <w:tab w:val="left" w:pos="3320"/>
        </w:tabs>
        <w:overflowPunct w:val="0"/>
        <w:spacing w:line="360" w:lineRule="auto"/>
        <w:ind w:firstLine="480" w:firstLineChars="200"/>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根据表</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default" w:ascii="Times New Roman" w:hAnsi="Times New Roman" w:eastAsia="宋体" w:cs="Times New Roman"/>
          <w:snapToGrid w:val="0"/>
          <w:color w:val="auto"/>
          <w:spacing w:val="0"/>
          <w:w w:val="100"/>
          <w:kern w:val="0"/>
          <w:position w:val="0"/>
          <w:sz w:val="24"/>
          <w:highlight w:val="none"/>
        </w:rPr>
        <w:t>.5-1</w:t>
      </w:r>
      <w:r>
        <w:rPr>
          <w:rFonts w:hint="default" w:ascii="Times New Roman" w:hAnsi="Times New Roman" w:eastAsia="宋体" w:cs="Times New Roman"/>
          <w:snapToGrid w:val="0"/>
          <w:color w:val="auto"/>
          <w:spacing w:val="0"/>
          <w:w w:val="100"/>
          <w:kern w:val="0"/>
          <w:position w:val="0"/>
          <w:sz w:val="24"/>
          <w:highlight w:val="none"/>
          <w:lang w:val="en-US" w:eastAsia="zh-CN"/>
        </w:rPr>
        <w:t>2</w:t>
      </w:r>
      <w:r>
        <w:rPr>
          <w:rFonts w:hint="default" w:ascii="Times New Roman" w:hAnsi="Times New Roman" w:eastAsia="宋体" w:cs="Times New Roman"/>
          <w:snapToGrid w:val="0"/>
          <w:color w:val="auto"/>
          <w:spacing w:val="0"/>
          <w:w w:val="100"/>
          <w:kern w:val="0"/>
          <w:position w:val="0"/>
          <w:sz w:val="24"/>
          <w:highlight w:val="none"/>
        </w:rPr>
        <w:t>，本项目Q值为0，Q＜1，项目环境风险潜势为Ⅰ，因此，本次环境风险评价仅对项目可能的环境风险作简单分析。</w:t>
      </w:r>
      <w:bookmarkStart w:id="414" w:name="_Toc31168_WPSOffice_Level3"/>
      <w:bookmarkStart w:id="415" w:name="_Toc30150_WPSOffice_Level3"/>
    </w:p>
    <w:bookmarkEnd w:id="414"/>
    <w:bookmarkEnd w:id="415"/>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rPr>
      </w:pPr>
      <w:bookmarkStart w:id="416" w:name="_Toc12111"/>
      <w:bookmarkStart w:id="417" w:name="_Toc7626"/>
      <w:bookmarkStart w:id="418" w:name="_Toc25914"/>
      <w:bookmarkStart w:id="419" w:name="_Toc13943"/>
      <w:bookmarkStart w:id="420" w:name="_Toc2424"/>
      <w:bookmarkStart w:id="421" w:name="_Toc7800"/>
      <w:r>
        <w:rPr>
          <w:rFonts w:hint="default" w:ascii="Times New Roman" w:hAnsi="Times New Roman" w:eastAsia="宋体" w:cs="Times New Roman"/>
          <w:snapToGrid w:val="0"/>
          <w:color w:val="auto"/>
          <w:spacing w:val="0"/>
          <w:w w:val="100"/>
          <w:kern w:val="0"/>
          <w:position w:val="0"/>
          <w:sz w:val="28"/>
          <w:szCs w:val="28"/>
          <w:highlight w:val="none"/>
          <w:lang w:val="en-US" w:eastAsia="zh-CN"/>
        </w:rPr>
        <w:t>1</w:t>
      </w:r>
      <w:r>
        <w:rPr>
          <w:rFonts w:hint="default" w:ascii="Times New Roman" w:hAnsi="Times New Roman" w:eastAsia="宋体" w:cs="Times New Roman"/>
          <w:snapToGrid w:val="0"/>
          <w:color w:val="auto"/>
          <w:spacing w:val="0"/>
          <w:w w:val="100"/>
          <w:kern w:val="0"/>
          <w:position w:val="0"/>
          <w:sz w:val="28"/>
          <w:szCs w:val="28"/>
          <w:highlight w:val="none"/>
        </w:rPr>
        <w:t>.5.7土壤环境</w:t>
      </w:r>
      <w:bookmarkEnd w:id="416"/>
      <w:bookmarkEnd w:id="417"/>
      <w:bookmarkEnd w:id="418"/>
      <w:bookmarkEnd w:id="419"/>
      <w:bookmarkEnd w:id="420"/>
      <w:bookmarkEnd w:id="421"/>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.5.</w:t>
      </w:r>
      <w:r>
        <w:rPr>
          <w:rFonts w:hint="default" w:ascii="Times New Roman" w:hAnsi="Times New Roman" w:eastAsia="宋体" w:cs="Times New Roman"/>
          <w:b/>
          <w:color w:val="auto"/>
          <w:spacing w:val="0"/>
          <w:w w:val="100"/>
          <w:kern w:val="0"/>
          <w:position w:val="0"/>
          <w:sz w:val="24"/>
          <w:highlight w:val="none"/>
          <w:lang w:val="en-US" w:eastAsia="zh-CN"/>
        </w:rPr>
        <w:t>7</w:t>
      </w:r>
      <w:r>
        <w:rPr>
          <w:rFonts w:hint="default" w:ascii="Times New Roman" w:hAnsi="Times New Roman" w:eastAsia="宋体" w:cs="Times New Roman"/>
          <w:b/>
          <w:color w:val="auto"/>
          <w:spacing w:val="0"/>
          <w:w w:val="100"/>
          <w:kern w:val="0"/>
          <w:position w:val="0"/>
          <w:sz w:val="24"/>
          <w:highlight w:val="none"/>
        </w:rPr>
        <w:t>.1评价等级</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土壤环境影响类型</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项目所属行业为《环境影响评价技术导则 土壤环境（试行）》（HJ964-2018）附录A中的</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农林牧渔业</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，年出栏生猪5000头，1头奶牛折算10头猪，本项目年存栏奶牛</w:t>
      </w:r>
      <w:r>
        <w:rPr>
          <w:rFonts w:hint="default" w:ascii="Times New Roman" w:hAnsi="Times New Roman" w:cs="Times New Roman"/>
          <w:color w:val="auto"/>
          <w:spacing w:val="0"/>
          <w:w w:val="100"/>
          <w:kern w:val="0"/>
          <w:position w:val="0"/>
          <w:sz w:val="24"/>
          <w:szCs w:val="24"/>
          <w:highlight w:val="none"/>
          <w:lang w:val="en-US" w:eastAsia="zh-CN"/>
        </w:rPr>
        <w:t>5</w:t>
      </w:r>
      <w:r>
        <w:rPr>
          <w:rFonts w:hint="default" w:ascii="Times New Roman" w:hAnsi="Times New Roman" w:eastAsia="宋体" w:cs="Times New Roman"/>
          <w:color w:val="auto"/>
          <w:spacing w:val="0"/>
          <w:w w:val="100"/>
          <w:kern w:val="0"/>
          <w:position w:val="0"/>
          <w:sz w:val="24"/>
          <w:szCs w:val="24"/>
          <w:highlight w:val="none"/>
          <w:lang w:val="en-US" w:eastAsia="zh-CN"/>
        </w:rPr>
        <w:t>000头，</w:t>
      </w:r>
      <w:r>
        <w:rPr>
          <w:rFonts w:hint="default" w:ascii="Times New Roman" w:hAnsi="Times New Roman" w:eastAsia="宋体" w:cs="Times New Roman"/>
          <w:color w:val="auto"/>
          <w:spacing w:val="0"/>
          <w:w w:val="100"/>
          <w:kern w:val="0"/>
          <w:position w:val="0"/>
          <w:sz w:val="24"/>
          <w:szCs w:val="24"/>
          <w:highlight w:val="none"/>
        </w:rPr>
        <w:t>折算成猪是</w:t>
      </w:r>
      <w:r>
        <w:rPr>
          <w:rFonts w:hint="default" w:ascii="Times New Roman" w:hAnsi="Times New Roman" w:cs="Times New Roman"/>
          <w:color w:val="auto"/>
          <w:spacing w:val="0"/>
          <w:w w:val="100"/>
          <w:kern w:val="0"/>
          <w:position w:val="0"/>
          <w:sz w:val="24"/>
          <w:szCs w:val="24"/>
          <w:highlight w:val="none"/>
          <w:lang w:val="en-US" w:eastAsia="zh-CN"/>
        </w:rPr>
        <w:t>5</w:t>
      </w:r>
      <w:r>
        <w:rPr>
          <w:rFonts w:hint="default" w:ascii="Times New Roman" w:hAnsi="Times New Roman" w:eastAsia="宋体" w:cs="Times New Roman"/>
          <w:color w:val="auto"/>
          <w:spacing w:val="0"/>
          <w:w w:val="100"/>
          <w:kern w:val="0"/>
          <w:position w:val="0"/>
          <w:sz w:val="24"/>
          <w:szCs w:val="24"/>
          <w:highlight w:val="none"/>
          <w:lang w:val="en-US" w:eastAsia="zh-CN"/>
        </w:rPr>
        <w:t>0</w:t>
      </w:r>
      <w:r>
        <w:rPr>
          <w:rFonts w:hint="default" w:ascii="Times New Roman" w:hAnsi="Times New Roman" w:eastAsia="宋体" w:cs="Times New Roman"/>
          <w:color w:val="auto"/>
          <w:spacing w:val="0"/>
          <w:w w:val="100"/>
          <w:kern w:val="0"/>
          <w:position w:val="0"/>
          <w:sz w:val="24"/>
          <w:szCs w:val="24"/>
          <w:highlight w:val="none"/>
        </w:rPr>
        <w:t>000头，</w:t>
      </w:r>
      <w:r>
        <w:rPr>
          <w:rFonts w:hint="default" w:ascii="Times New Roman" w:hAnsi="Times New Roman" w:eastAsia="宋体" w:cs="Times New Roman"/>
          <w:color w:val="auto"/>
          <w:spacing w:val="0"/>
          <w:w w:val="100"/>
          <w:kern w:val="0"/>
          <w:position w:val="0"/>
          <w:sz w:val="24"/>
          <w:szCs w:val="24"/>
          <w:highlight w:val="none"/>
          <w:lang w:val="zh-CN"/>
        </w:rPr>
        <w:t>按照土壤环境评价等级，</w:t>
      </w:r>
      <w:r>
        <w:rPr>
          <w:rFonts w:hint="default" w:ascii="Times New Roman" w:hAnsi="Times New Roman" w:eastAsia="宋体" w:cs="Times New Roman"/>
          <w:color w:val="auto"/>
          <w:spacing w:val="0"/>
          <w:w w:val="100"/>
          <w:kern w:val="0"/>
          <w:position w:val="0"/>
          <w:sz w:val="24"/>
          <w:szCs w:val="24"/>
          <w:highlight w:val="none"/>
        </w:rPr>
        <w:t>本项目土壤环境影响评价项目类别为III类。</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环境敏感程度</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建设项目所在地周边的土壤环境敏感程度分为敏感、较敏感、不敏感，判别依据见表</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.5-1</w:t>
      </w:r>
      <w:r>
        <w:rPr>
          <w:rFonts w:hint="default" w:ascii="Times New Roman" w:hAnsi="Times New Roman" w:eastAsia="宋体" w:cs="Times New Roman"/>
          <w:color w:val="auto"/>
          <w:spacing w:val="0"/>
          <w:w w:val="100"/>
          <w:kern w:val="0"/>
          <w:position w:val="0"/>
          <w:sz w:val="24"/>
          <w:szCs w:val="24"/>
          <w:highlight w:val="none"/>
          <w:lang w:val="en-US" w:eastAsia="zh-CN"/>
        </w:rPr>
        <w:t>3</w:t>
      </w:r>
      <w:r>
        <w:rPr>
          <w:rFonts w:hint="default" w:ascii="Times New Roman" w:hAnsi="Times New Roman" w:eastAsia="宋体" w:cs="Times New Roman"/>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表1.5-13   污染影响型敏感程度分级表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7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敏感程度</w:t>
            </w:r>
          </w:p>
        </w:tc>
        <w:tc>
          <w:tcPr>
            <w:tcW w:w="7568"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敏感</w:t>
            </w:r>
          </w:p>
        </w:tc>
        <w:tc>
          <w:tcPr>
            <w:tcW w:w="7568" w:type="dxa"/>
            <w:noWrap w:val="0"/>
            <w:vAlign w:val="center"/>
          </w:tcPr>
          <w:p>
            <w:pPr>
              <w:snapToGrid w:val="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建设项目周边存在耕地、园地、牧草地、饮用水水源地或居民区、学校、疗养院、养老院等土壤环境敏感目标的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较敏感</w:t>
            </w:r>
          </w:p>
        </w:tc>
        <w:tc>
          <w:tcPr>
            <w:tcW w:w="7568" w:type="dxa"/>
            <w:noWrap w:val="0"/>
            <w:vAlign w:val="center"/>
          </w:tcPr>
          <w:p>
            <w:pPr>
              <w:snapToGrid w:val="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不敏感</w:t>
            </w:r>
          </w:p>
        </w:tc>
        <w:tc>
          <w:tcPr>
            <w:tcW w:w="7568" w:type="dxa"/>
            <w:noWrap w:val="0"/>
            <w:vAlign w:val="center"/>
          </w:tcPr>
          <w:p>
            <w:pPr>
              <w:snapToGrid w:val="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其他情况</w:t>
            </w:r>
          </w:p>
        </w:tc>
      </w:tr>
    </w:tbl>
    <w:p>
      <w:pPr>
        <w:adjustRightInd w:val="0"/>
        <w:snapToGrid w:val="0"/>
        <w:spacing w:before="156" w:beforeLines="50"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highlight w:val="none"/>
        </w:rPr>
        <w:t>项目位于</w:t>
      </w:r>
      <w:r>
        <w:rPr>
          <w:rFonts w:hint="default" w:ascii="Times New Roman" w:hAnsi="Times New Roman" w:eastAsia="宋体" w:cs="Times New Roman"/>
          <w:color w:val="auto"/>
          <w:spacing w:val="0"/>
          <w:w w:val="100"/>
          <w:kern w:val="0"/>
          <w:position w:val="0"/>
          <w:sz w:val="24"/>
          <w:highlight w:val="none"/>
          <w:lang w:eastAsia="zh-CN"/>
        </w:rPr>
        <w:t>吴忠市同心县下马关镇上垣村</w:t>
      </w:r>
      <w:r>
        <w:rPr>
          <w:rFonts w:hint="default" w:ascii="Times New Roman" w:hAnsi="Times New Roman" w:eastAsia="宋体" w:cs="Times New Roman"/>
          <w:color w:val="auto"/>
          <w:spacing w:val="0"/>
          <w:w w:val="100"/>
          <w:kern w:val="0"/>
          <w:position w:val="0"/>
          <w:sz w:val="24"/>
          <w:highlight w:val="none"/>
        </w:rPr>
        <w:t>，本项目周边</w:t>
      </w:r>
      <w:r>
        <w:rPr>
          <w:rFonts w:hint="default" w:ascii="Times New Roman" w:hAnsi="Times New Roman" w:eastAsia="宋体" w:cs="Times New Roman"/>
          <w:color w:val="auto"/>
          <w:spacing w:val="0"/>
          <w:w w:val="100"/>
          <w:kern w:val="0"/>
          <w:position w:val="0"/>
          <w:sz w:val="24"/>
          <w:highlight w:val="none"/>
          <w:lang w:eastAsia="zh-CN"/>
        </w:rPr>
        <w:t>为耕地</w:t>
      </w:r>
      <w:r>
        <w:rPr>
          <w:rFonts w:hint="default" w:ascii="Times New Roman" w:hAnsi="Times New Roman" w:eastAsia="宋体" w:cs="Times New Roman"/>
          <w:color w:val="auto"/>
          <w:spacing w:val="0"/>
          <w:w w:val="100"/>
          <w:kern w:val="0"/>
          <w:position w:val="0"/>
          <w:sz w:val="24"/>
          <w:highlight w:val="none"/>
        </w:rPr>
        <w:t>，土壤环境敏感程度为</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敏感</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⑵评价工作等级</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lang w:eastAsia="zh-CN"/>
        </w:rPr>
      </w:pPr>
      <w:r>
        <w:rPr>
          <w:rFonts w:hint="default" w:ascii="Times New Roman" w:hAnsi="Times New Roman" w:eastAsia="宋体" w:cs="Times New Roman"/>
          <w:color w:val="auto"/>
          <w:spacing w:val="0"/>
          <w:w w:val="100"/>
          <w:kern w:val="0"/>
          <w:position w:val="0"/>
          <w:sz w:val="24"/>
          <w:szCs w:val="32"/>
          <w:highlight w:val="none"/>
        </w:rPr>
        <w:t>根据《环境影响评级技术导则 土壤环境（试行）》（HJ964-2018），将建设项目占地规模分为大型（≥50hm</w:t>
      </w:r>
      <w:r>
        <w:rPr>
          <w:rFonts w:hint="default" w:ascii="Times New Roman" w:hAnsi="Times New Roman" w:eastAsia="宋体" w:cs="Times New Roman"/>
          <w:color w:val="auto"/>
          <w:spacing w:val="0"/>
          <w:w w:val="100"/>
          <w:kern w:val="0"/>
          <w:position w:val="0"/>
          <w:sz w:val="24"/>
          <w:szCs w:val="32"/>
          <w:highlight w:val="none"/>
          <w:vertAlign w:val="superscript"/>
        </w:rPr>
        <w:t>2</w:t>
      </w:r>
      <w:r>
        <w:rPr>
          <w:rFonts w:hint="default" w:ascii="Times New Roman" w:hAnsi="Times New Roman" w:eastAsia="宋体" w:cs="Times New Roman"/>
          <w:color w:val="auto"/>
          <w:spacing w:val="0"/>
          <w:w w:val="100"/>
          <w:kern w:val="0"/>
          <w:position w:val="0"/>
          <w:sz w:val="24"/>
          <w:szCs w:val="32"/>
          <w:highlight w:val="none"/>
        </w:rPr>
        <w:t>）、中型（5~50hm</w:t>
      </w:r>
      <w:r>
        <w:rPr>
          <w:rFonts w:hint="default" w:ascii="Times New Roman" w:hAnsi="Times New Roman" w:eastAsia="宋体" w:cs="Times New Roman"/>
          <w:color w:val="auto"/>
          <w:spacing w:val="0"/>
          <w:w w:val="100"/>
          <w:kern w:val="0"/>
          <w:position w:val="0"/>
          <w:sz w:val="24"/>
          <w:szCs w:val="32"/>
          <w:highlight w:val="none"/>
          <w:vertAlign w:val="superscript"/>
        </w:rPr>
        <w:t>2</w:t>
      </w:r>
      <w:r>
        <w:rPr>
          <w:rFonts w:hint="default" w:ascii="Times New Roman" w:hAnsi="Times New Roman" w:eastAsia="宋体" w:cs="Times New Roman"/>
          <w:color w:val="auto"/>
          <w:spacing w:val="0"/>
          <w:w w:val="100"/>
          <w:kern w:val="0"/>
          <w:position w:val="0"/>
          <w:sz w:val="24"/>
          <w:szCs w:val="32"/>
          <w:highlight w:val="none"/>
        </w:rPr>
        <w:t>）、小型（≤5hm</w:t>
      </w:r>
      <w:r>
        <w:rPr>
          <w:rFonts w:hint="default" w:ascii="Times New Roman" w:hAnsi="Times New Roman" w:eastAsia="宋体" w:cs="Times New Roman"/>
          <w:color w:val="auto"/>
          <w:spacing w:val="0"/>
          <w:w w:val="100"/>
          <w:kern w:val="0"/>
          <w:position w:val="0"/>
          <w:sz w:val="24"/>
          <w:szCs w:val="32"/>
          <w:highlight w:val="none"/>
          <w:vertAlign w:val="superscript"/>
        </w:rPr>
        <w:t>2</w:t>
      </w:r>
      <w:r>
        <w:rPr>
          <w:rFonts w:hint="default" w:ascii="Times New Roman" w:hAnsi="Times New Roman" w:eastAsia="宋体" w:cs="Times New Roman"/>
          <w:color w:val="auto"/>
          <w:spacing w:val="0"/>
          <w:w w:val="100"/>
          <w:kern w:val="0"/>
          <w:position w:val="0"/>
          <w:sz w:val="24"/>
          <w:szCs w:val="32"/>
          <w:highlight w:val="none"/>
        </w:rPr>
        <w:t>）</w:t>
      </w:r>
      <w:r>
        <w:rPr>
          <w:rFonts w:hint="default" w:ascii="Times New Roman" w:hAnsi="Times New Roman" w:eastAsia="宋体" w:cs="Times New Roman"/>
          <w:color w:val="auto"/>
          <w:spacing w:val="0"/>
          <w:w w:val="100"/>
          <w:kern w:val="0"/>
          <w:position w:val="0"/>
          <w:sz w:val="24"/>
          <w:szCs w:val="32"/>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本项目</w:t>
      </w:r>
      <w:r>
        <w:rPr>
          <w:rFonts w:hint="default" w:ascii="Times New Roman" w:hAnsi="Times New Roman" w:eastAsia="宋体" w:cs="Times New Roman"/>
          <w:color w:val="auto"/>
          <w:spacing w:val="0"/>
          <w:w w:val="100"/>
          <w:kern w:val="0"/>
          <w:position w:val="0"/>
          <w:sz w:val="24"/>
        </w:rPr>
        <w:t>占地面积</w:t>
      </w:r>
      <w:r>
        <w:rPr>
          <w:rFonts w:hint="eastAsia" w:ascii="Times New Roman" w:hAnsi="Times New Roman" w:cs="Times New Roman"/>
          <w:color w:val="auto"/>
          <w:spacing w:val="0"/>
          <w:w w:val="100"/>
          <w:kern w:val="0"/>
          <w:position w:val="0"/>
          <w:sz w:val="24"/>
          <w:lang w:val="en-US" w:eastAsia="zh-CN"/>
        </w:rPr>
        <w:t>276000</w:t>
      </w:r>
      <w:r>
        <w:rPr>
          <w:rFonts w:hint="default" w:ascii="Times New Roman" w:hAnsi="Times New Roman" w:eastAsia="宋体" w:cs="Times New Roman"/>
          <w:color w:val="auto"/>
          <w:spacing w:val="0"/>
          <w:w w:val="100"/>
          <w:kern w:val="0"/>
          <w:position w:val="0"/>
          <w:sz w:val="24"/>
          <w:lang w:val="zh-CN"/>
        </w:rPr>
        <w:t>m</w:t>
      </w:r>
      <w:r>
        <w:rPr>
          <w:rFonts w:hint="default" w:ascii="Times New Roman" w:hAnsi="Times New Roman" w:eastAsia="宋体" w:cs="Times New Roman"/>
          <w:color w:val="auto"/>
          <w:spacing w:val="0"/>
          <w:w w:val="100"/>
          <w:kern w:val="0"/>
          <w:position w:val="0"/>
          <w:sz w:val="24"/>
          <w:vertAlign w:val="superscript"/>
          <w:lang w:val="zh-CN"/>
        </w:rPr>
        <w:t>2</w:t>
      </w:r>
      <w:r>
        <w:rPr>
          <w:rFonts w:hint="default" w:ascii="Times New Roman" w:hAnsi="Times New Roman" w:eastAsia="宋体" w:cs="Times New Roman"/>
          <w:color w:val="auto"/>
          <w:spacing w:val="0"/>
          <w:w w:val="100"/>
          <w:kern w:val="0"/>
          <w:position w:val="0"/>
          <w:sz w:val="24"/>
          <w:lang w:val="zh-CN"/>
        </w:rPr>
        <w:t>（</w:t>
      </w:r>
      <w:r>
        <w:rPr>
          <w:rFonts w:hint="default" w:ascii="Times New Roman" w:hAnsi="Times New Roman" w:eastAsia="宋体" w:cs="Times New Roman"/>
          <w:color w:val="auto"/>
          <w:spacing w:val="0"/>
          <w:w w:val="100"/>
          <w:kern w:val="0"/>
          <w:position w:val="0"/>
          <w:sz w:val="24"/>
          <w:szCs w:val="32"/>
          <w:highlight w:val="none"/>
          <w:lang w:eastAsia="zh-CN"/>
        </w:rPr>
        <w:t>约合</w:t>
      </w:r>
      <w:r>
        <w:rPr>
          <w:rFonts w:hint="eastAsia" w:ascii="Times New Roman" w:hAnsi="Times New Roman" w:cs="Times New Roman"/>
          <w:color w:val="auto"/>
          <w:spacing w:val="0"/>
          <w:w w:val="100"/>
          <w:kern w:val="0"/>
          <w:position w:val="0"/>
          <w:sz w:val="24"/>
          <w:szCs w:val="32"/>
          <w:highlight w:val="none"/>
          <w:lang w:val="en-US" w:eastAsia="zh-CN"/>
        </w:rPr>
        <w:t>27.6</w:t>
      </w:r>
      <w:r>
        <w:rPr>
          <w:rFonts w:hint="default" w:ascii="Times New Roman" w:hAnsi="Times New Roman" w:eastAsia="宋体" w:cs="Times New Roman"/>
          <w:color w:val="auto"/>
          <w:spacing w:val="0"/>
          <w:w w:val="100"/>
          <w:kern w:val="0"/>
          <w:position w:val="0"/>
          <w:sz w:val="24"/>
          <w:szCs w:val="32"/>
          <w:highlight w:val="none"/>
        </w:rPr>
        <w:t>hm</w:t>
      </w:r>
      <w:r>
        <w:rPr>
          <w:rFonts w:hint="default" w:ascii="Times New Roman" w:hAnsi="Times New Roman" w:eastAsia="宋体" w:cs="Times New Roman"/>
          <w:color w:val="auto"/>
          <w:spacing w:val="0"/>
          <w:w w:val="100"/>
          <w:kern w:val="0"/>
          <w:position w:val="0"/>
          <w:sz w:val="24"/>
          <w:szCs w:val="32"/>
          <w:highlight w:val="none"/>
          <w:vertAlign w:val="superscript"/>
        </w:rPr>
        <w:t>2</w:t>
      </w:r>
      <w:r>
        <w:rPr>
          <w:rFonts w:hint="default" w:ascii="Times New Roman" w:hAnsi="Times New Roman" w:eastAsia="宋体" w:cs="Times New Roman"/>
          <w:color w:val="auto"/>
          <w:spacing w:val="0"/>
          <w:w w:val="100"/>
          <w:kern w:val="0"/>
          <w:position w:val="0"/>
          <w:sz w:val="24"/>
          <w:lang w:val="zh-CN"/>
        </w:rPr>
        <w:t>），占地规模属于“</w:t>
      </w:r>
      <w:r>
        <w:rPr>
          <w:rFonts w:hint="default" w:ascii="Times New Roman" w:hAnsi="Times New Roman" w:cs="Times New Roman"/>
          <w:color w:val="auto"/>
          <w:spacing w:val="0"/>
          <w:w w:val="100"/>
          <w:kern w:val="0"/>
          <w:position w:val="0"/>
          <w:sz w:val="24"/>
          <w:szCs w:val="32"/>
          <w:highlight w:val="none"/>
          <w:lang w:eastAsia="zh-CN"/>
        </w:rPr>
        <w:t>中</w:t>
      </w:r>
      <w:r>
        <w:rPr>
          <w:rFonts w:hint="default" w:ascii="Times New Roman" w:hAnsi="Times New Roman" w:eastAsia="宋体" w:cs="Times New Roman"/>
          <w:color w:val="auto"/>
          <w:spacing w:val="0"/>
          <w:w w:val="100"/>
          <w:kern w:val="0"/>
          <w:position w:val="0"/>
          <w:sz w:val="24"/>
          <w:szCs w:val="32"/>
          <w:highlight w:val="none"/>
          <w:lang w:eastAsia="zh-CN"/>
        </w:rPr>
        <w:t>型</w:t>
      </w:r>
      <w:r>
        <w:rPr>
          <w:rFonts w:hint="default" w:ascii="Times New Roman" w:hAnsi="Times New Roman" w:eastAsia="宋体" w:cs="Times New Roman"/>
          <w:color w:val="auto"/>
          <w:spacing w:val="0"/>
          <w:w w:val="100"/>
          <w:kern w:val="0"/>
          <w:position w:val="0"/>
          <w:sz w:val="24"/>
          <w:lang w:val="zh-CN"/>
        </w:rPr>
        <w:t>”。</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4"/>
          <w:szCs w:val="32"/>
          <w:highlight w:val="none"/>
        </w:rPr>
        <w:t>根据土壤环境评价项目类别、占地规模与敏感程度划分评价工作等级详见表</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.5-1</w:t>
      </w:r>
      <w:r>
        <w:rPr>
          <w:rFonts w:hint="default" w:ascii="Times New Roman" w:hAnsi="Times New Roman" w:eastAsia="宋体" w:cs="Times New Roman"/>
          <w:color w:val="auto"/>
          <w:spacing w:val="0"/>
          <w:w w:val="100"/>
          <w:kern w:val="0"/>
          <w:position w:val="0"/>
          <w:sz w:val="24"/>
          <w:szCs w:val="32"/>
          <w:highlight w:val="none"/>
          <w:lang w:val="en-US" w:eastAsia="zh-CN"/>
        </w:rPr>
        <w:t>4</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表1.5-14   污染影响类土壤评价工作等级划分表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39"/>
        <w:gridCol w:w="762"/>
        <w:gridCol w:w="764"/>
        <w:gridCol w:w="764"/>
        <w:gridCol w:w="762"/>
        <w:gridCol w:w="763"/>
        <w:gridCol w:w="764"/>
        <w:gridCol w:w="761"/>
        <w:gridCol w:w="764"/>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8" w:type="dxa"/>
            <w:gridSpan w:val="2"/>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占地规模</w:t>
            </w:r>
          </w:p>
        </w:tc>
        <w:tc>
          <w:tcPr>
            <w:tcW w:w="2290" w:type="dxa"/>
            <w:gridSpan w:val="3"/>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Ⅰ</w:t>
            </w:r>
          </w:p>
        </w:tc>
        <w:tc>
          <w:tcPr>
            <w:tcW w:w="2289" w:type="dxa"/>
            <w:gridSpan w:val="3"/>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Ⅱ</w:t>
            </w:r>
          </w:p>
        </w:tc>
        <w:tc>
          <w:tcPr>
            <w:tcW w:w="2291" w:type="dxa"/>
            <w:gridSpan w:val="3"/>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8" w:type="dxa"/>
            <w:gridSpan w:val="2"/>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评价等级</w:t>
            </w:r>
          </w:p>
        </w:tc>
        <w:tc>
          <w:tcPr>
            <w:tcW w:w="762"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大</w:t>
            </w:r>
          </w:p>
        </w:tc>
        <w:tc>
          <w:tcPr>
            <w:tcW w:w="764"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中</w:t>
            </w:r>
          </w:p>
        </w:tc>
        <w:tc>
          <w:tcPr>
            <w:tcW w:w="764"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小</w:t>
            </w:r>
          </w:p>
        </w:tc>
        <w:tc>
          <w:tcPr>
            <w:tcW w:w="762"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大</w:t>
            </w:r>
          </w:p>
        </w:tc>
        <w:tc>
          <w:tcPr>
            <w:tcW w:w="763"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中</w:t>
            </w:r>
          </w:p>
        </w:tc>
        <w:tc>
          <w:tcPr>
            <w:tcW w:w="764"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小</w:t>
            </w:r>
          </w:p>
        </w:tc>
        <w:tc>
          <w:tcPr>
            <w:tcW w:w="761"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大</w:t>
            </w:r>
          </w:p>
        </w:tc>
        <w:tc>
          <w:tcPr>
            <w:tcW w:w="764"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中</w:t>
            </w:r>
          </w:p>
        </w:tc>
        <w:tc>
          <w:tcPr>
            <w:tcW w:w="766"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restart"/>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敏感</w:t>
            </w:r>
          </w:p>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程度</w:t>
            </w:r>
          </w:p>
        </w:tc>
        <w:tc>
          <w:tcPr>
            <w:tcW w:w="103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敏感</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1" w:type="dxa"/>
            <w:shd w:val="clear" w:color="auto" w:fill="auto"/>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4" w:type="dxa"/>
            <w:shd w:val="clear" w:color="auto" w:fill="auto"/>
            <w:noWrap w:val="0"/>
            <w:vAlign w:val="center"/>
          </w:tcPr>
          <w:p>
            <w:pPr>
              <w:pStyle w:val="42"/>
              <w:snapToGrid w:val="0"/>
              <w:ind w:firstLine="0" w:firstLineChars="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shd w:val="clear" w:color="FFFFFF" w:fill="D9D9D9"/>
              </w:rPr>
              <w:t>三级</w:t>
            </w:r>
          </w:p>
        </w:tc>
        <w:tc>
          <w:tcPr>
            <w:tcW w:w="766"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03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较敏感</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1"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4" w:type="dxa"/>
            <w:noWrap w:val="0"/>
            <w:vAlign w:val="center"/>
          </w:tcPr>
          <w:p>
            <w:pPr>
              <w:pStyle w:val="42"/>
              <w:snapToGrid w:val="0"/>
              <w:ind w:firstLine="0" w:firstLineChars="0"/>
              <w:rPr>
                <w:rFonts w:hint="default" w:ascii="Times New Roman" w:hAnsi="Times New Roman" w:eastAsia="宋体" w:cs="Times New Roman"/>
                <w:color w:val="auto"/>
                <w:spacing w:val="0"/>
                <w:w w:val="100"/>
                <w:kern w:val="0"/>
                <w:position w:val="0"/>
                <w:szCs w:val="21"/>
                <w:highlight w:val="none"/>
                <w:shd w:val="clear" w:color="FFFFFF" w:fill="D9D9D9"/>
              </w:rPr>
            </w:pPr>
            <w:r>
              <w:rPr>
                <w:rFonts w:hint="default" w:ascii="Times New Roman" w:hAnsi="Times New Roman" w:eastAsia="宋体" w:cs="Times New Roman"/>
                <w:color w:val="auto"/>
                <w:spacing w:val="0"/>
                <w:w w:val="100"/>
                <w:kern w:val="0"/>
                <w:position w:val="0"/>
                <w:szCs w:val="21"/>
                <w:highlight w:val="none"/>
                <w:shd w:val="clear" w:color="auto" w:fill="auto"/>
              </w:rPr>
              <w:t>三级</w:t>
            </w:r>
          </w:p>
        </w:tc>
        <w:tc>
          <w:tcPr>
            <w:tcW w:w="766"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03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不敏感</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2"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二级</w:t>
            </w:r>
          </w:p>
        </w:tc>
        <w:tc>
          <w:tcPr>
            <w:tcW w:w="76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1"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三级</w:t>
            </w:r>
          </w:p>
        </w:tc>
        <w:tc>
          <w:tcPr>
            <w:tcW w:w="76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766"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8" w:type="dxa"/>
            <w:gridSpan w:val="11"/>
            <w:noWrap w:val="0"/>
            <w:vAlign w:val="center"/>
          </w:tcPr>
          <w:p>
            <w:pPr>
              <w:snapToGrid w:val="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18"/>
                <w:szCs w:val="18"/>
                <w:highlight w:val="none"/>
                <w:lang w:eastAsia="zh-CN"/>
              </w:rPr>
              <w:t>“</w:t>
            </w:r>
            <w:r>
              <w:rPr>
                <w:rFonts w:hint="default" w:ascii="Times New Roman" w:hAnsi="Times New Roman" w:eastAsia="宋体" w:cs="Times New Roman"/>
                <w:color w:val="auto"/>
                <w:spacing w:val="0"/>
                <w:w w:val="100"/>
                <w:kern w:val="0"/>
                <w:position w:val="0"/>
                <w:sz w:val="18"/>
                <w:szCs w:val="18"/>
                <w:highlight w:val="none"/>
              </w:rPr>
              <w:t>-</w:t>
            </w:r>
            <w:r>
              <w:rPr>
                <w:rFonts w:hint="default" w:ascii="Times New Roman" w:hAnsi="Times New Roman" w:eastAsia="宋体" w:cs="Times New Roman"/>
                <w:color w:val="auto"/>
                <w:spacing w:val="0"/>
                <w:w w:val="100"/>
                <w:kern w:val="0"/>
                <w:position w:val="0"/>
                <w:sz w:val="18"/>
                <w:szCs w:val="18"/>
                <w:highlight w:val="none"/>
                <w:lang w:eastAsia="zh-CN"/>
              </w:rPr>
              <w:t>”</w:t>
            </w:r>
            <w:r>
              <w:rPr>
                <w:rFonts w:hint="default" w:ascii="Times New Roman" w:hAnsi="Times New Roman" w:eastAsia="宋体" w:cs="Times New Roman"/>
                <w:color w:val="auto"/>
                <w:spacing w:val="0"/>
                <w:w w:val="100"/>
                <w:kern w:val="0"/>
                <w:position w:val="0"/>
                <w:sz w:val="18"/>
                <w:szCs w:val="18"/>
                <w:highlight w:val="none"/>
              </w:rPr>
              <w:t>表示可不开展土壤环境影响评价工作。</w:t>
            </w:r>
          </w:p>
        </w:tc>
      </w:tr>
    </w:tbl>
    <w:p>
      <w:pPr>
        <w:pStyle w:val="32"/>
        <w:adjustRightInd w:val="0"/>
        <w:snapToGrid w:val="0"/>
        <w:rPr>
          <w:rFonts w:hint="default" w:ascii="Times New Roman" w:hAnsi="Times New Roman" w:eastAsia="宋体" w:cs="Times New Roman"/>
          <w:snapToGrid w:val="0"/>
          <w:color w:val="auto"/>
          <w:spacing w:val="0"/>
          <w:w w:val="100"/>
          <w:kern w:val="0"/>
          <w:position w:val="0"/>
          <w:highlight w:val="none"/>
        </w:rPr>
      </w:pPr>
      <w:r>
        <w:rPr>
          <w:rFonts w:hint="default" w:ascii="Times New Roman" w:hAnsi="Times New Roman" w:eastAsia="宋体" w:cs="Times New Roman"/>
          <w:snapToGrid w:val="0"/>
          <w:color w:val="auto"/>
          <w:spacing w:val="0"/>
          <w:w w:val="100"/>
          <w:kern w:val="0"/>
          <w:position w:val="0"/>
          <w:highlight w:val="none"/>
        </w:rPr>
        <w:t>根据污染影响类土壤评价工作等级划分表本项目土壤评价工作等级见表</w:t>
      </w:r>
      <w:r>
        <w:rPr>
          <w:rFonts w:hint="default" w:ascii="Times New Roman" w:hAnsi="Times New Roman" w:eastAsia="宋体" w:cs="Times New Roman"/>
          <w:snapToGrid w:val="0"/>
          <w:color w:val="auto"/>
          <w:spacing w:val="0"/>
          <w:w w:val="100"/>
          <w:kern w:val="0"/>
          <w:position w:val="0"/>
          <w:highlight w:val="none"/>
          <w:lang w:val="en-US" w:eastAsia="zh-CN"/>
        </w:rPr>
        <w:t>1</w:t>
      </w:r>
      <w:r>
        <w:rPr>
          <w:rFonts w:hint="default" w:ascii="Times New Roman" w:hAnsi="Times New Roman" w:eastAsia="宋体" w:cs="Times New Roman"/>
          <w:snapToGrid w:val="0"/>
          <w:color w:val="auto"/>
          <w:spacing w:val="0"/>
          <w:w w:val="100"/>
          <w:kern w:val="0"/>
          <w:position w:val="0"/>
          <w:highlight w:val="none"/>
        </w:rPr>
        <w:t>.5-1</w:t>
      </w:r>
      <w:r>
        <w:rPr>
          <w:rFonts w:hint="default" w:ascii="Times New Roman" w:hAnsi="Times New Roman" w:eastAsia="宋体" w:cs="Times New Roman"/>
          <w:snapToGrid w:val="0"/>
          <w:color w:val="auto"/>
          <w:spacing w:val="0"/>
          <w:w w:val="100"/>
          <w:kern w:val="0"/>
          <w:position w:val="0"/>
          <w:highlight w:val="none"/>
          <w:lang w:val="en-US" w:eastAsia="zh-CN"/>
        </w:rPr>
        <w:t>5</w:t>
      </w:r>
      <w:r>
        <w:rPr>
          <w:rFonts w:hint="default" w:ascii="Times New Roman" w:hAnsi="Times New Roman" w:eastAsia="宋体" w:cs="Times New Roman"/>
          <w:snapToGrid w:val="0"/>
          <w:color w:val="auto"/>
          <w:spacing w:val="0"/>
          <w:w w:val="100"/>
          <w:kern w:val="0"/>
          <w:position w:val="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表1.5-15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本项目土壤环境评价工作等级</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6"/>
        <w:gridCol w:w="2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noWrap w:val="0"/>
            <w:vAlign w:val="center"/>
          </w:tcPr>
          <w:p>
            <w:pPr>
              <w:pStyle w:val="23"/>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项目类别</w:t>
            </w:r>
          </w:p>
        </w:tc>
        <w:tc>
          <w:tcPr>
            <w:tcW w:w="2236" w:type="dxa"/>
            <w:noWrap w:val="0"/>
            <w:vAlign w:val="center"/>
          </w:tcPr>
          <w:p>
            <w:pPr>
              <w:pStyle w:val="23"/>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环境敏感程度</w:t>
            </w:r>
          </w:p>
        </w:tc>
        <w:tc>
          <w:tcPr>
            <w:tcW w:w="2236" w:type="dxa"/>
            <w:noWrap w:val="0"/>
            <w:vAlign w:val="center"/>
          </w:tcPr>
          <w:p>
            <w:pPr>
              <w:pStyle w:val="23"/>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建设规模</w:t>
            </w:r>
          </w:p>
        </w:tc>
        <w:tc>
          <w:tcPr>
            <w:tcW w:w="2240" w:type="dxa"/>
            <w:noWrap w:val="0"/>
            <w:vAlign w:val="center"/>
          </w:tcPr>
          <w:p>
            <w:pPr>
              <w:pStyle w:val="23"/>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判定级别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noWrap w:val="0"/>
            <w:vAlign w:val="center"/>
          </w:tcPr>
          <w:p>
            <w:pPr>
              <w:pStyle w:val="23"/>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lang w:eastAsia="zh-CN"/>
              </w:rPr>
              <w:t>项目（</w:t>
            </w:r>
            <w:r>
              <w:rPr>
                <w:rFonts w:hint="default" w:ascii="Times New Roman" w:hAnsi="Times New Roman" w:eastAsia="宋体" w:cs="Times New Roman"/>
                <w:color w:val="auto"/>
                <w:spacing w:val="0"/>
                <w:w w:val="100"/>
                <w:kern w:val="0"/>
                <w:position w:val="0"/>
                <w:sz w:val="21"/>
                <w:szCs w:val="21"/>
                <w:highlight w:val="none"/>
              </w:rPr>
              <w:t>Ⅲ类</w:t>
            </w:r>
            <w:r>
              <w:rPr>
                <w:rFonts w:hint="default" w:ascii="Times New Roman" w:hAnsi="Times New Roman" w:eastAsia="宋体" w:cs="Times New Roman"/>
                <w:color w:val="auto"/>
                <w:spacing w:val="0"/>
                <w:w w:val="100"/>
                <w:kern w:val="0"/>
                <w:position w:val="0"/>
                <w:sz w:val="21"/>
                <w:szCs w:val="21"/>
                <w:lang w:eastAsia="zh-CN"/>
              </w:rPr>
              <w:t>）</w:t>
            </w:r>
          </w:p>
        </w:tc>
        <w:tc>
          <w:tcPr>
            <w:tcW w:w="2236" w:type="dxa"/>
            <w:noWrap w:val="0"/>
            <w:vAlign w:val="center"/>
          </w:tcPr>
          <w:p>
            <w:pPr>
              <w:pStyle w:val="23"/>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敏感</w:t>
            </w:r>
          </w:p>
        </w:tc>
        <w:tc>
          <w:tcPr>
            <w:tcW w:w="2236" w:type="dxa"/>
            <w:noWrap w:val="0"/>
            <w:vAlign w:val="center"/>
          </w:tcPr>
          <w:p>
            <w:pPr>
              <w:pStyle w:val="23"/>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中</w:t>
            </w:r>
          </w:p>
        </w:tc>
        <w:tc>
          <w:tcPr>
            <w:tcW w:w="2240" w:type="dxa"/>
            <w:noWrap w:val="0"/>
            <w:vAlign w:val="center"/>
          </w:tcPr>
          <w:p>
            <w:pPr>
              <w:pStyle w:val="23"/>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三级</w:t>
            </w:r>
          </w:p>
        </w:tc>
      </w:tr>
    </w:tbl>
    <w:p>
      <w:pPr>
        <w:pStyle w:val="32"/>
        <w:adjustRightInd w:val="0"/>
        <w:snapToGrid w:val="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t>由表</w:t>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1</w:t>
      </w:r>
      <w:r>
        <w:rPr>
          <w:rFonts w:hint="default" w:ascii="Times New Roman" w:hAnsi="Times New Roman" w:eastAsia="宋体" w:cs="Times New Roman"/>
          <w:snapToGrid w:val="0"/>
          <w:color w:val="auto"/>
          <w:spacing w:val="0"/>
          <w:w w:val="100"/>
          <w:kern w:val="0"/>
          <w:position w:val="0"/>
          <w:sz w:val="24"/>
          <w:szCs w:val="24"/>
          <w:highlight w:val="none"/>
        </w:rPr>
        <w:t>.5-1</w:t>
      </w:r>
      <w:r>
        <w:rPr>
          <w:rFonts w:hint="eastAsia" w:cs="Times New Roman"/>
          <w:snapToGrid w:val="0"/>
          <w:color w:val="auto"/>
          <w:spacing w:val="0"/>
          <w:w w:val="100"/>
          <w:kern w:val="0"/>
          <w:position w:val="0"/>
          <w:sz w:val="24"/>
          <w:szCs w:val="24"/>
          <w:highlight w:val="none"/>
          <w:lang w:val="en-US" w:eastAsia="zh-CN"/>
        </w:rPr>
        <w:t>5</w:t>
      </w:r>
      <w:r>
        <w:rPr>
          <w:rFonts w:hint="default" w:ascii="Times New Roman" w:hAnsi="Times New Roman" w:eastAsia="宋体" w:cs="Times New Roman"/>
          <w:snapToGrid w:val="0"/>
          <w:color w:val="auto"/>
          <w:spacing w:val="0"/>
          <w:w w:val="100"/>
          <w:kern w:val="0"/>
          <w:position w:val="0"/>
          <w:sz w:val="24"/>
          <w:szCs w:val="24"/>
          <w:highlight w:val="none"/>
        </w:rPr>
        <w:t>土壤环境评价工作等级判定结果，根据项目占地规模为</w:t>
      </w:r>
      <w:r>
        <w:rPr>
          <w:rFonts w:hint="default" w:ascii="Times New Roman" w:hAnsi="Times New Roman" w:eastAsia="宋体" w:cs="Times New Roman"/>
          <w:snapToGrid w:val="0"/>
          <w:color w:val="auto"/>
          <w:spacing w:val="0"/>
          <w:w w:val="100"/>
          <w:kern w:val="0"/>
          <w:position w:val="0"/>
          <w:sz w:val="24"/>
          <w:szCs w:val="24"/>
          <w:highlight w:val="none"/>
          <w:lang w:eastAsia="zh-CN"/>
        </w:rPr>
        <w:t>“大</w:t>
      </w:r>
      <w:r>
        <w:rPr>
          <w:rFonts w:hint="default" w:ascii="Times New Roman" w:hAnsi="Times New Roman" w:eastAsia="宋体" w:cs="Times New Roman"/>
          <w:snapToGrid w:val="0"/>
          <w:color w:val="auto"/>
          <w:spacing w:val="0"/>
          <w:w w:val="100"/>
          <w:kern w:val="0"/>
          <w:position w:val="0"/>
          <w:sz w:val="24"/>
          <w:szCs w:val="24"/>
          <w:highlight w:val="none"/>
        </w:rPr>
        <w:t>型</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highlight w:val="none"/>
        </w:rPr>
        <w:t>，土壤环境敏感程度为</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highlight w:val="none"/>
        </w:rPr>
        <w:t>敏感</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highlight w:val="none"/>
        </w:rPr>
        <w:t>，项目类型为</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highlight w:val="none"/>
        </w:rPr>
        <w:t>III</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highlight w:val="none"/>
        </w:rPr>
        <w:t>类，</w:t>
      </w:r>
      <w:r>
        <w:rPr>
          <w:rFonts w:hint="default" w:ascii="Times New Roman" w:hAnsi="Times New Roman" w:eastAsia="宋体" w:cs="Times New Roman"/>
          <w:snapToGrid w:val="0"/>
          <w:color w:val="auto"/>
          <w:spacing w:val="0"/>
          <w:w w:val="100"/>
          <w:kern w:val="0"/>
          <w:position w:val="0"/>
          <w:sz w:val="24"/>
          <w:szCs w:val="24"/>
          <w:highlight w:val="none"/>
          <w:lang w:eastAsia="zh-CN"/>
        </w:rPr>
        <w:t>由此判断本项目土壤评价等级为三级</w:t>
      </w:r>
      <w:r>
        <w:rPr>
          <w:rFonts w:hint="default" w:ascii="Times New Roman" w:hAnsi="Times New Roman" w:eastAsia="宋体" w:cs="Times New Roman"/>
          <w:snapToGrid w:val="0"/>
          <w:color w:val="auto"/>
          <w:spacing w:val="0"/>
          <w:w w:val="100"/>
          <w:kern w:val="0"/>
          <w:position w:val="0"/>
          <w:sz w:val="24"/>
          <w:szCs w:val="24"/>
          <w:highlight w:val="none"/>
        </w:rPr>
        <w:t>，本次土壤评价</w:t>
      </w:r>
      <w:r>
        <w:rPr>
          <w:rFonts w:hint="default" w:ascii="Times New Roman" w:hAnsi="Times New Roman" w:eastAsia="宋体" w:cs="Times New Roman"/>
          <w:snapToGrid w:val="0"/>
          <w:color w:val="auto"/>
          <w:spacing w:val="0"/>
          <w:w w:val="100"/>
          <w:kern w:val="0"/>
          <w:position w:val="0"/>
          <w:sz w:val="24"/>
          <w:szCs w:val="24"/>
          <w:highlight w:val="none"/>
          <w:lang w:eastAsia="zh-CN"/>
        </w:rPr>
        <w:t>按土壤三级要求开展评价工作</w:t>
      </w:r>
      <w:r>
        <w:rPr>
          <w:rFonts w:hint="default" w:ascii="Times New Roman" w:hAnsi="Times New Roman" w:eastAsia="宋体" w:cs="Times New Roman"/>
          <w:snapToGrid w:val="0"/>
          <w:color w:val="auto"/>
          <w:spacing w:val="0"/>
          <w:w w:val="100"/>
          <w:kern w:val="0"/>
          <w:position w:val="0"/>
          <w:sz w:val="24"/>
          <w:szCs w:val="24"/>
          <w:highlight w:val="none"/>
        </w:rPr>
        <w:t>。</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1.5.7.2评价范围</w:t>
      </w:r>
    </w:p>
    <w:p>
      <w:pPr>
        <w:pStyle w:val="32"/>
        <w:adjustRightInd w:val="0"/>
        <w:snapToGrid w:val="0"/>
        <w:rPr>
          <w:rFonts w:hint="default" w:ascii="Times New Roman" w:hAnsi="Times New Roman" w:eastAsia="宋体" w:cs="Times New Roman"/>
          <w:snapToGrid w:val="0"/>
          <w:color w:val="auto"/>
          <w:spacing w:val="0"/>
          <w:w w:val="100"/>
          <w:kern w:val="0"/>
          <w:position w:val="0"/>
          <w:highlight w:val="green"/>
          <w14:textOutline w14:w="9525">
            <w14:solidFill>
              <w14:schemeClr w14:val="tx1"/>
            </w14:solidFill>
            <w14:round/>
          </w14:textOutline>
        </w:rPr>
      </w:pPr>
      <w:r>
        <w:rPr>
          <w:rFonts w:hint="default" w:ascii="Times New Roman" w:hAnsi="Times New Roman" w:eastAsia="宋体" w:cs="Times New Roman"/>
          <w:snapToGrid w:val="0"/>
          <w:color w:val="auto"/>
          <w:spacing w:val="0"/>
          <w:w w:val="100"/>
          <w:kern w:val="0"/>
          <w:position w:val="0"/>
          <w:highlight w:val="none"/>
        </w:rPr>
        <w:t>经对照</w:t>
      </w:r>
      <w:r>
        <w:rPr>
          <w:rFonts w:hint="default" w:ascii="Times New Roman" w:hAnsi="Times New Roman" w:eastAsia="宋体" w:cs="Times New Roman"/>
          <w:color w:val="auto"/>
          <w:spacing w:val="0"/>
          <w:w w:val="100"/>
          <w:kern w:val="0"/>
          <w:position w:val="0"/>
          <w:sz w:val="24"/>
          <w:szCs w:val="32"/>
          <w:highlight w:val="none"/>
        </w:rPr>
        <w:t>《环境影响评级技术导则 土壤环境（试行）》（HJ964-2018）</w:t>
      </w:r>
      <w:r>
        <w:rPr>
          <w:rFonts w:hint="default" w:ascii="Times New Roman" w:hAnsi="Times New Roman" w:eastAsia="宋体" w:cs="Times New Roman"/>
          <w:snapToGrid w:val="0"/>
          <w:color w:val="auto"/>
          <w:spacing w:val="0"/>
          <w:w w:val="100"/>
          <w:kern w:val="0"/>
          <w:position w:val="0"/>
          <w:highlight w:val="none"/>
        </w:rPr>
        <w:t>中</w:t>
      </w:r>
      <w:r>
        <w:rPr>
          <w:rFonts w:hint="default" w:ascii="Times New Roman" w:hAnsi="Times New Roman" w:eastAsia="宋体" w:cs="Times New Roman"/>
          <w:snapToGrid w:val="0"/>
          <w:color w:val="auto"/>
          <w:spacing w:val="0"/>
          <w:w w:val="100"/>
          <w:kern w:val="0"/>
          <w:position w:val="0"/>
          <w:highlight w:val="none"/>
          <w:lang w:eastAsia="zh-CN"/>
        </w:rPr>
        <w:t>“</w:t>
      </w:r>
      <w:r>
        <w:rPr>
          <w:rFonts w:hint="default" w:ascii="Times New Roman" w:hAnsi="Times New Roman" w:eastAsia="宋体" w:cs="Times New Roman"/>
          <w:snapToGrid w:val="0"/>
          <w:color w:val="auto"/>
          <w:spacing w:val="0"/>
          <w:w w:val="100"/>
          <w:kern w:val="0"/>
          <w:position w:val="0"/>
          <w:highlight w:val="none"/>
        </w:rPr>
        <w:t>7.2小节</w:t>
      </w:r>
      <w:r>
        <w:rPr>
          <w:rFonts w:hint="default" w:ascii="Times New Roman" w:hAnsi="Times New Roman" w:eastAsia="宋体" w:cs="Times New Roman"/>
          <w:snapToGrid w:val="0"/>
          <w:color w:val="auto"/>
          <w:spacing w:val="0"/>
          <w:w w:val="100"/>
          <w:kern w:val="0"/>
          <w:position w:val="0"/>
          <w:highlight w:val="none"/>
          <w:lang w:eastAsia="zh-CN"/>
        </w:rPr>
        <w:t>”</w:t>
      </w:r>
      <w:r>
        <w:rPr>
          <w:rFonts w:hint="default" w:ascii="Times New Roman" w:hAnsi="Times New Roman" w:eastAsia="宋体" w:cs="Times New Roman"/>
          <w:snapToGrid w:val="0"/>
          <w:color w:val="auto"/>
          <w:spacing w:val="0"/>
          <w:w w:val="100"/>
          <w:kern w:val="0"/>
          <w:position w:val="0"/>
          <w:highlight w:val="none"/>
        </w:rPr>
        <w:t>要求，确定本次土壤环境影响评价范围包括项目占地范围内和占地边界外扩50m范围。项目土壤评价范围详见图</w:t>
      </w:r>
      <w:r>
        <w:rPr>
          <w:rFonts w:hint="default" w:ascii="Times New Roman" w:hAnsi="Times New Roman" w:eastAsia="宋体" w:cs="Times New Roman"/>
          <w:snapToGrid w:val="0"/>
          <w:color w:val="auto"/>
          <w:spacing w:val="0"/>
          <w:w w:val="100"/>
          <w:kern w:val="0"/>
          <w:position w:val="0"/>
          <w:highlight w:val="none"/>
          <w:lang w:val="en-US" w:eastAsia="zh-CN"/>
        </w:rPr>
        <w:t>1</w:t>
      </w:r>
      <w:r>
        <w:rPr>
          <w:rFonts w:hint="default" w:ascii="Times New Roman" w:hAnsi="Times New Roman" w:eastAsia="宋体" w:cs="Times New Roman"/>
          <w:snapToGrid w:val="0"/>
          <w:color w:val="auto"/>
          <w:spacing w:val="0"/>
          <w:w w:val="100"/>
          <w:kern w:val="0"/>
          <w:position w:val="0"/>
          <w:highlight w:val="none"/>
        </w:rPr>
        <w:t>.5-1。</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422" w:name="_Toc9036"/>
      <w:bookmarkStart w:id="423" w:name="_Toc5517"/>
      <w:bookmarkStart w:id="424" w:name="_Toc21946"/>
      <w:bookmarkStart w:id="425" w:name="_Toc1490"/>
      <w:bookmarkStart w:id="426" w:name="_Toc7240"/>
      <w:bookmarkStart w:id="427" w:name="_Toc30595"/>
      <w:r>
        <w:rPr>
          <w:rFonts w:hint="default" w:ascii="Times New Roman" w:hAnsi="Times New Roman" w:eastAsia="宋体" w:cs="Times New Roman"/>
          <w:snapToGrid w:val="0"/>
          <w:color w:val="auto"/>
          <w:spacing w:val="0"/>
          <w:w w:val="100"/>
          <w:kern w:val="0"/>
          <w:position w:val="0"/>
          <w:highlight w:val="none"/>
          <w:lang w:val="en-US" w:eastAsia="zh-CN"/>
        </w:rPr>
        <w:t>1.6环境保护</w:t>
      </w:r>
      <w:bookmarkEnd w:id="404"/>
      <w:r>
        <w:rPr>
          <w:rFonts w:hint="default" w:ascii="Times New Roman" w:hAnsi="Times New Roman" w:eastAsia="宋体" w:cs="Times New Roman"/>
          <w:snapToGrid w:val="0"/>
          <w:color w:val="auto"/>
          <w:spacing w:val="0"/>
          <w:w w:val="100"/>
          <w:kern w:val="0"/>
          <w:position w:val="0"/>
          <w:highlight w:val="none"/>
          <w:lang w:val="en-US" w:eastAsia="zh-CN"/>
        </w:rPr>
        <w:t>目标</w:t>
      </w:r>
      <w:bookmarkEnd w:id="405"/>
      <w:bookmarkEnd w:id="406"/>
      <w:bookmarkEnd w:id="407"/>
      <w:bookmarkEnd w:id="408"/>
      <w:bookmarkEnd w:id="409"/>
      <w:bookmarkEnd w:id="410"/>
      <w:bookmarkEnd w:id="411"/>
      <w:bookmarkEnd w:id="412"/>
      <w:bookmarkEnd w:id="413"/>
      <w:bookmarkEnd w:id="422"/>
      <w:bookmarkEnd w:id="423"/>
      <w:bookmarkEnd w:id="424"/>
      <w:bookmarkEnd w:id="425"/>
      <w:bookmarkEnd w:id="426"/>
      <w:bookmarkEnd w:id="427"/>
    </w:p>
    <w:p>
      <w:pPr>
        <w:pStyle w:val="32"/>
        <w:adjustRightInd w:val="0"/>
        <w:snapToGrid w:val="0"/>
        <w:rPr>
          <w:rFonts w:hint="default" w:ascii="Times New Roman" w:hAnsi="Times New Roman" w:eastAsia="宋体" w:cs="Times New Roman"/>
          <w:snapToGrid w:val="0"/>
          <w:color w:val="auto"/>
          <w:spacing w:val="0"/>
          <w:w w:val="100"/>
          <w:kern w:val="0"/>
          <w:position w:val="0"/>
          <w:highlight w:val="none"/>
        </w:rPr>
      </w:pPr>
      <w:r>
        <w:rPr>
          <w:rFonts w:hint="default" w:ascii="Times New Roman" w:hAnsi="Times New Roman" w:eastAsia="宋体" w:cs="Times New Roman"/>
          <w:snapToGrid w:val="0"/>
          <w:color w:val="auto"/>
          <w:spacing w:val="0"/>
          <w:w w:val="100"/>
          <w:kern w:val="0"/>
          <w:position w:val="0"/>
          <w:highlight w:val="none"/>
        </w:rPr>
        <w:t>本项目位于</w:t>
      </w:r>
      <w:r>
        <w:rPr>
          <w:rFonts w:hint="default" w:ascii="Times New Roman" w:hAnsi="Times New Roman" w:eastAsia="宋体" w:cs="Times New Roman"/>
          <w:snapToGrid w:val="0"/>
          <w:color w:val="auto"/>
          <w:spacing w:val="0"/>
          <w:w w:val="100"/>
          <w:kern w:val="0"/>
          <w:position w:val="0"/>
          <w:highlight w:val="none"/>
          <w:lang w:eastAsia="zh-CN"/>
        </w:rPr>
        <w:t>吴忠市同心县下马关镇上垣村</w:t>
      </w:r>
      <w:r>
        <w:rPr>
          <w:rFonts w:hint="default" w:ascii="Times New Roman" w:hAnsi="Times New Roman" w:eastAsia="宋体" w:cs="Times New Roman"/>
          <w:snapToGrid w:val="0"/>
          <w:color w:val="auto"/>
          <w:spacing w:val="0"/>
          <w:w w:val="100"/>
          <w:kern w:val="0"/>
          <w:position w:val="0"/>
          <w:highlight w:val="none"/>
        </w:rPr>
        <w:t>，根据现场踏</w:t>
      </w:r>
      <w:r>
        <w:rPr>
          <w:rFonts w:hint="default" w:ascii="Times New Roman" w:hAnsi="Times New Roman" w:eastAsia="宋体" w:cs="Times New Roman"/>
          <w:color w:val="auto"/>
          <w:spacing w:val="0"/>
          <w:w w:val="100"/>
          <w:kern w:val="0"/>
          <w:position w:val="0"/>
        </w:rPr>
        <w:t>看，项目评价范围内没有水源地、名胜古迹、温泉、疗养地等国家明令规定的保护对象</w:t>
      </w:r>
      <w:r>
        <w:rPr>
          <w:rFonts w:hint="eastAsia" w:cs="Times New Roman"/>
          <w:color w:val="auto"/>
          <w:spacing w:val="0"/>
          <w:w w:val="100"/>
          <w:kern w:val="0"/>
          <w:position w:val="0"/>
          <w:lang w:eastAsia="zh-CN"/>
        </w:rPr>
        <w:t>，本项保护目标具体见表</w:t>
      </w:r>
      <w:r>
        <w:rPr>
          <w:rFonts w:hint="eastAsia" w:cs="Times New Roman"/>
          <w:color w:val="auto"/>
          <w:spacing w:val="0"/>
          <w:w w:val="100"/>
          <w:kern w:val="0"/>
          <w:position w:val="0"/>
          <w:lang w:val="en-US" w:eastAsia="zh-CN"/>
        </w:rPr>
        <w:t>1.6-1和图1.5-1</w:t>
      </w:r>
      <w:r>
        <w:rPr>
          <w:rFonts w:hint="default" w:ascii="Times New Roman" w:hAnsi="Times New Roman" w:eastAsia="宋体" w:cs="Times New Roman"/>
          <w:snapToGrid w:val="0"/>
          <w:color w:val="auto"/>
          <w:spacing w:val="0"/>
          <w:w w:val="100"/>
          <w:kern w:val="0"/>
          <w:position w:val="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表1.6-</w:t>
      </w:r>
      <w:r>
        <w:rPr>
          <w:rFonts w:hint="eastAsia" w:ascii="Times New Roman" w:hAnsi="Times New Roman" w:cs="Times New Roman"/>
          <w:b/>
          <w:bCs w:val="0"/>
          <w:color w:val="auto"/>
          <w:spacing w:val="0"/>
          <w:w w:val="100"/>
          <w:kern w:val="0"/>
          <w:position w:val="0"/>
          <w:sz w:val="24"/>
          <w:szCs w:val="24"/>
          <w:highlight w:val="none"/>
          <w:lang w:val="en-US" w:eastAsia="zh-CN" w:bidi="ar-SA"/>
        </w:rPr>
        <w:t>1</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项目环境保护目标一览表</w:t>
      </w:r>
    </w:p>
    <w:tbl>
      <w:tblPr>
        <w:tblStyle w:val="25"/>
        <w:tblW w:w="9150" w:type="dxa"/>
        <w:tblInd w:w="103" w:type="dxa"/>
        <w:tblLayout w:type="fixed"/>
        <w:tblCellMar>
          <w:top w:w="0" w:type="dxa"/>
          <w:left w:w="0" w:type="dxa"/>
          <w:bottom w:w="0" w:type="dxa"/>
          <w:right w:w="0" w:type="dxa"/>
        </w:tblCellMar>
      </w:tblPr>
      <w:tblGrid>
        <w:gridCol w:w="733"/>
        <w:gridCol w:w="781"/>
        <w:gridCol w:w="659"/>
        <w:gridCol w:w="1305"/>
        <w:gridCol w:w="983"/>
        <w:gridCol w:w="1122"/>
        <w:gridCol w:w="1122"/>
        <w:gridCol w:w="1122"/>
        <w:gridCol w:w="1323"/>
      </w:tblGrid>
      <w:tr>
        <w:tblPrEx>
          <w:tblCellMar>
            <w:top w:w="0" w:type="dxa"/>
            <w:left w:w="0" w:type="dxa"/>
            <w:bottom w:w="0" w:type="dxa"/>
            <w:right w:w="0" w:type="dxa"/>
          </w:tblCellMar>
        </w:tblPrEx>
        <w:trPr>
          <w:trHeight w:val="363" w:hRule="exact"/>
        </w:trPr>
        <w:tc>
          <w:tcPr>
            <w:tcW w:w="733" w:type="dxa"/>
            <w:vMerge w:val="restart"/>
            <w:tcBorders>
              <w:top w:val="single" w:color="000000" w:sz="12" w:space="0"/>
              <w:left w:val="single" w:color="000000" w:sz="12"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名称</w:t>
            </w:r>
          </w:p>
        </w:tc>
        <w:tc>
          <w:tcPr>
            <w:tcW w:w="1440" w:type="dxa"/>
            <w:gridSpan w:val="2"/>
            <w:tcBorders>
              <w:top w:val="single" w:color="000000" w:sz="12"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坐标</w:t>
            </w:r>
          </w:p>
        </w:tc>
        <w:tc>
          <w:tcPr>
            <w:tcW w:w="1305" w:type="dxa"/>
            <w:vMerge w:val="restart"/>
            <w:tcBorders>
              <w:top w:val="single" w:color="000000" w:sz="12" w:space="0"/>
              <w:left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保护对象</w:t>
            </w:r>
          </w:p>
        </w:tc>
        <w:tc>
          <w:tcPr>
            <w:tcW w:w="983" w:type="dxa"/>
            <w:vMerge w:val="restart"/>
            <w:tcBorders>
              <w:top w:val="single" w:color="000000" w:sz="12" w:space="0"/>
              <w:left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功能及规 模</w:t>
            </w:r>
          </w:p>
        </w:tc>
        <w:tc>
          <w:tcPr>
            <w:tcW w:w="1122" w:type="dxa"/>
            <w:vMerge w:val="restart"/>
            <w:tcBorders>
              <w:top w:val="single" w:color="000000" w:sz="12" w:space="0"/>
              <w:left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保护内容</w:t>
            </w:r>
          </w:p>
        </w:tc>
        <w:tc>
          <w:tcPr>
            <w:tcW w:w="1122" w:type="dxa"/>
            <w:vMerge w:val="restart"/>
            <w:tcBorders>
              <w:top w:val="single" w:color="000000" w:sz="12" w:space="0"/>
              <w:left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环境功能区</w:t>
            </w:r>
          </w:p>
        </w:tc>
        <w:tc>
          <w:tcPr>
            <w:tcW w:w="1122" w:type="dxa"/>
            <w:vMerge w:val="restart"/>
            <w:tcBorders>
              <w:top w:val="single" w:color="000000" w:sz="12" w:space="0"/>
              <w:left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相对厂址方 位</w:t>
            </w:r>
          </w:p>
        </w:tc>
        <w:tc>
          <w:tcPr>
            <w:tcW w:w="1323" w:type="dxa"/>
            <w:vMerge w:val="restart"/>
            <w:tcBorders>
              <w:top w:val="single" w:color="000000" w:sz="12" w:space="0"/>
              <w:left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相对厂界距离</w:t>
            </w:r>
          </w:p>
          <w:p>
            <w:pPr>
              <w:adjustRightInd w:val="0"/>
              <w:snapToGrid w:val="0"/>
              <w:jc w:val="center"/>
              <w:rPr>
                <w:rFonts w:hint="default" w:ascii="Times New Roman" w:hAnsi="Times New Roman" w:eastAsia="宋体" w:cs="Times New Roman"/>
                <w:b/>
                <w:bCs/>
                <w:color w:val="auto"/>
                <w:spacing w:val="0"/>
                <w:w w:val="100"/>
                <w:kern w:val="0"/>
                <w:position w:val="0"/>
                <w:szCs w:val="21"/>
              </w:rPr>
            </w:pPr>
          </w:p>
        </w:tc>
      </w:tr>
      <w:tr>
        <w:tblPrEx>
          <w:tblCellMar>
            <w:top w:w="0" w:type="dxa"/>
            <w:left w:w="0" w:type="dxa"/>
            <w:bottom w:w="0" w:type="dxa"/>
            <w:right w:w="0" w:type="dxa"/>
          </w:tblCellMar>
        </w:tblPrEx>
        <w:trPr>
          <w:trHeight w:val="355" w:hRule="exact"/>
        </w:trPr>
        <w:tc>
          <w:tcPr>
            <w:tcW w:w="733" w:type="dxa"/>
            <w:vMerge w:val="continue"/>
            <w:tcBorders>
              <w:left w:val="single" w:color="000000" w:sz="12"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lang w:val="en-US" w:eastAsia="zh-CN"/>
              </w:rPr>
            </w:pPr>
            <w:r>
              <w:rPr>
                <w:rFonts w:hint="default" w:ascii="Times New Roman" w:hAnsi="Times New Roman" w:eastAsia="宋体" w:cs="Times New Roman"/>
                <w:b/>
                <w:bCs/>
                <w:color w:val="auto"/>
                <w:spacing w:val="0"/>
                <w:w w:val="100"/>
                <w:kern w:val="0"/>
                <w:position w:val="0"/>
                <w:szCs w:val="21"/>
              </w:rPr>
              <w:t>X</w:t>
            </w:r>
            <w:r>
              <w:rPr>
                <w:rFonts w:hint="eastAsia" w:ascii="Times New Roman" w:hAnsi="Times New Roman" w:cs="Times New Roman"/>
                <w:b/>
                <w:bCs/>
                <w:color w:val="auto"/>
                <w:spacing w:val="0"/>
                <w:w w:val="100"/>
                <w:kern w:val="0"/>
                <w:position w:val="0"/>
                <w:szCs w:val="21"/>
                <w:lang w:val="en-US" w:eastAsia="zh-CN"/>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b/>
                <w:bCs/>
                <w:color w:val="auto"/>
                <w:spacing w:val="0"/>
                <w:w w:val="100"/>
                <w:kern w:val="0"/>
                <w:position w:val="0"/>
                <w:szCs w:val="21"/>
              </w:rPr>
              <w:t>Y</w:t>
            </w:r>
            <w:r>
              <w:rPr>
                <w:rFonts w:hint="eastAsia" w:ascii="Times New Roman" w:hAnsi="Times New Roman" w:cs="Times New Roman"/>
                <w:b/>
                <w:bCs/>
                <w:color w:val="auto"/>
                <w:spacing w:val="0"/>
                <w:w w:val="100"/>
                <w:kern w:val="0"/>
                <w:position w:val="0"/>
                <w:szCs w:val="21"/>
                <w:lang w:val="en-US" w:eastAsia="zh-CN"/>
              </w:rPr>
              <w:t>/°</w:t>
            </w:r>
          </w:p>
        </w:tc>
        <w:tc>
          <w:tcPr>
            <w:tcW w:w="1305" w:type="dxa"/>
            <w:vMerge w:val="continue"/>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983" w:type="dxa"/>
            <w:vMerge w:val="continue"/>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1122" w:type="dxa"/>
            <w:vMerge w:val="continue"/>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1122" w:type="dxa"/>
            <w:vMerge w:val="continue"/>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1122" w:type="dxa"/>
            <w:vMerge w:val="continue"/>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c>
          <w:tcPr>
            <w:tcW w:w="1323" w:type="dxa"/>
            <w:vMerge w:val="continue"/>
            <w:tcBorders>
              <w:left w:val="single" w:color="000000" w:sz="6"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rPr>
            </w:pPr>
          </w:p>
        </w:tc>
      </w:tr>
      <w:tr>
        <w:trPr>
          <w:trHeight w:val="910" w:hRule="exact"/>
        </w:trPr>
        <w:tc>
          <w:tcPr>
            <w:tcW w:w="733" w:type="dxa"/>
            <w:tcBorders>
              <w:left w:val="single" w:color="000000" w:sz="12"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环境空</w:t>
            </w:r>
          </w:p>
          <w:p>
            <w:pPr>
              <w:adjustRightInd w:val="0"/>
              <w:snapToGrid w:val="0"/>
              <w:jc w:val="center"/>
              <w:rPr>
                <w:rFonts w:hint="default" w:ascii="Times New Roman" w:hAnsi="Times New Roman" w:eastAsia="宋体" w:cs="Times New Roman"/>
                <w:b/>
                <w:bCs/>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气</w:t>
            </w: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Cs w:val="21"/>
                <w:lang w:val="en-US" w:eastAsia="zh-CN"/>
              </w:rPr>
            </w:pP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Cs w:val="21"/>
                <w:lang w:val="en-US" w:eastAsia="zh-CN"/>
              </w:rPr>
            </w:pPr>
          </w:p>
        </w:tc>
        <w:tc>
          <w:tcPr>
            <w:tcW w:w="1305" w:type="dxa"/>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 w:val="21"/>
                <w:szCs w:val="21"/>
                <w:lang w:val="en-US" w:eastAsia="zh-CN" w:bidi="ar-SA"/>
              </w:rPr>
            </w:pPr>
            <w:r>
              <w:rPr>
                <w:rFonts w:hint="eastAsia" w:ascii="Times New Roman" w:hAnsi="Times New Roman" w:cs="Times New Roman"/>
                <w:b w:val="0"/>
                <w:bCs w:val="0"/>
                <w:color w:val="auto"/>
                <w:spacing w:val="0"/>
                <w:w w:val="100"/>
                <w:kern w:val="0"/>
                <w:position w:val="0"/>
                <w:sz w:val="21"/>
                <w:szCs w:val="21"/>
                <w:lang w:val="en-US" w:eastAsia="zh-CN" w:bidi="ar-SA"/>
              </w:rPr>
              <w:t>上垣村</w:t>
            </w:r>
          </w:p>
        </w:tc>
        <w:tc>
          <w:tcPr>
            <w:tcW w:w="983" w:type="dxa"/>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 w:val="21"/>
                <w:szCs w:val="21"/>
                <w:lang w:val="en-US" w:eastAsia="zh-CN" w:bidi="ar-SA"/>
              </w:rPr>
            </w:pPr>
            <w:r>
              <w:rPr>
                <w:rFonts w:hint="eastAsia" w:ascii="Times New Roman" w:hAnsi="Times New Roman" w:cs="Times New Roman"/>
                <w:b w:val="0"/>
                <w:bCs w:val="0"/>
                <w:color w:val="auto"/>
                <w:spacing w:val="0"/>
                <w:w w:val="100"/>
                <w:kern w:val="0"/>
                <w:position w:val="0"/>
                <w:sz w:val="21"/>
                <w:szCs w:val="21"/>
                <w:lang w:val="en-US" w:eastAsia="zh-CN" w:bidi="ar-SA"/>
              </w:rPr>
              <w:t>村庄居住区、约1200人</w:t>
            </w:r>
          </w:p>
        </w:tc>
        <w:tc>
          <w:tcPr>
            <w:tcW w:w="1122" w:type="dxa"/>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Cs w:val="21"/>
              </w:rPr>
            </w:pPr>
            <w:r>
              <w:rPr>
                <w:rFonts w:hint="default" w:ascii="Times New Roman" w:hAnsi="Times New Roman" w:eastAsia="宋体" w:cs="Times New Roman"/>
                <w:b w:val="0"/>
                <w:bCs w:val="0"/>
                <w:color w:val="auto"/>
                <w:spacing w:val="0"/>
                <w:w w:val="100"/>
                <w:kern w:val="0"/>
                <w:position w:val="0"/>
                <w:szCs w:val="21"/>
              </w:rPr>
              <w:t>大气环境</w:t>
            </w:r>
          </w:p>
        </w:tc>
        <w:tc>
          <w:tcPr>
            <w:tcW w:w="1122" w:type="dxa"/>
            <w:tcBorders>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Cs w:val="21"/>
              </w:rPr>
            </w:pPr>
            <w:r>
              <w:rPr>
                <w:rFonts w:hint="default" w:ascii="Times New Roman" w:hAnsi="Times New Roman" w:eastAsia="宋体" w:cs="Times New Roman"/>
                <w:b w:val="0"/>
                <w:bCs w:val="0"/>
                <w:color w:val="auto"/>
                <w:spacing w:val="0"/>
                <w:w w:val="100"/>
                <w:kern w:val="0"/>
                <w:position w:val="0"/>
                <w:szCs w:val="21"/>
              </w:rPr>
              <w:t>二类区</w:t>
            </w:r>
          </w:p>
        </w:tc>
        <w:tc>
          <w:tcPr>
            <w:tcW w:w="1122" w:type="dxa"/>
            <w:tcBorders>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b w:val="0"/>
                <w:bCs w:val="0"/>
                <w:color w:val="auto"/>
                <w:spacing w:val="0"/>
                <w:w w:val="100"/>
                <w:kern w:val="0"/>
                <w:position w:val="0"/>
                <w:szCs w:val="21"/>
                <w:lang w:val="en-US" w:eastAsia="zh-CN"/>
              </w:rPr>
            </w:pPr>
            <w:r>
              <w:rPr>
                <w:rFonts w:hint="eastAsia" w:ascii="Times New Roman" w:hAnsi="Times New Roman" w:cs="Times New Roman"/>
                <w:b w:val="0"/>
                <w:bCs w:val="0"/>
                <w:color w:val="auto"/>
                <w:spacing w:val="0"/>
                <w:w w:val="100"/>
                <w:kern w:val="0"/>
                <w:position w:val="0"/>
                <w:szCs w:val="21"/>
                <w:lang w:val="en-US" w:eastAsia="zh-CN"/>
              </w:rPr>
              <w:t>S</w:t>
            </w:r>
          </w:p>
        </w:tc>
        <w:tc>
          <w:tcPr>
            <w:tcW w:w="1323" w:type="dxa"/>
            <w:tcBorders>
              <w:left w:val="single" w:color="000000" w:sz="6"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b w:val="0"/>
                <w:bCs w:val="0"/>
                <w:color w:val="auto"/>
                <w:spacing w:val="0"/>
                <w:w w:val="100"/>
                <w:kern w:val="0"/>
                <w:position w:val="0"/>
                <w:szCs w:val="21"/>
                <w:lang w:val="en-US" w:eastAsia="zh-CN"/>
              </w:rPr>
            </w:pPr>
            <w:r>
              <w:rPr>
                <w:rFonts w:hint="eastAsia" w:ascii="Times New Roman" w:hAnsi="Times New Roman" w:cs="Times New Roman"/>
                <w:b w:val="0"/>
                <w:bCs w:val="0"/>
                <w:color w:val="auto"/>
                <w:spacing w:val="0"/>
                <w:w w:val="100"/>
                <w:kern w:val="0"/>
                <w:position w:val="0"/>
                <w:szCs w:val="21"/>
                <w:lang w:val="en-US" w:eastAsia="zh-CN"/>
              </w:rPr>
              <w:t>2.05km</w:t>
            </w:r>
          </w:p>
        </w:tc>
      </w:tr>
      <w:tr>
        <w:trPr>
          <w:trHeight w:val="639" w:hRule="exact"/>
        </w:trPr>
        <w:tc>
          <w:tcPr>
            <w:tcW w:w="733" w:type="dxa"/>
            <w:vMerge w:val="restart"/>
            <w:tcBorders>
              <w:top w:val="single" w:color="000000" w:sz="6" w:space="0"/>
              <w:left w:val="single" w:color="000000" w:sz="12"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地表水环境</w:t>
            </w: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甜水河</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灌溉</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地表水体</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eastAsia" w:ascii="Times New Roman" w:hAnsi="Times New Roman" w:cs="Times New Roman"/>
                <w:color w:val="auto"/>
                <w:spacing w:val="0"/>
                <w:w w:val="100"/>
                <w:kern w:val="0"/>
                <w:position w:val="0"/>
                <w:szCs w:val="21"/>
                <w:lang w:val="en-US" w:eastAsia="zh-CN"/>
              </w:rPr>
              <w:t>IV</w:t>
            </w:r>
            <w:r>
              <w:rPr>
                <w:rFonts w:hint="default" w:ascii="Times New Roman" w:hAnsi="Times New Roman" w:eastAsia="宋体" w:cs="Times New Roman"/>
                <w:color w:val="auto"/>
                <w:spacing w:val="0"/>
                <w:w w:val="100"/>
                <w:kern w:val="0"/>
                <w:position w:val="0"/>
                <w:szCs w:val="21"/>
              </w:rPr>
              <w:t>类水体</w:t>
            </w:r>
          </w:p>
        </w:tc>
        <w:tc>
          <w:tcPr>
            <w:tcW w:w="1122" w:type="dxa"/>
            <w:tcBorders>
              <w:top w:val="single" w:color="000000" w:sz="6" w:space="0"/>
              <w:left w:val="single" w:color="000000" w:sz="6" w:space="0"/>
              <w:bottom w:val="single" w:color="000000" w:sz="6" w:space="0"/>
              <w:right w:val="single" w:color="000000" w:sz="4"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E</w:t>
            </w:r>
          </w:p>
        </w:tc>
        <w:tc>
          <w:tcPr>
            <w:tcW w:w="1323" w:type="dxa"/>
            <w:tcBorders>
              <w:top w:val="single" w:color="000000" w:sz="6" w:space="0"/>
              <w:left w:val="single" w:color="000000" w:sz="4"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5.5km</w:t>
            </w:r>
          </w:p>
        </w:tc>
      </w:tr>
      <w:tr>
        <w:tblPrEx>
          <w:tblCellMar>
            <w:top w:w="0" w:type="dxa"/>
            <w:left w:w="0" w:type="dxa"/>
            <w:bottom w:w="0" w:type="dxa"/>
            <w:right w:w="0" w:type="dxa"/>
          </w:tblCellMar>
        </w:tblPrEx>
        <w:trPr>
          <w:trHeight w:val="639" w:hRule="exact"/>
        </w:trPr>
        <w:tc>
          <w:tcPr>
            <w:tcW w:w="733" w:type="dxa"/>
            <w:vMerge w:val="continue"/>
            <w:tcBorders>
              <w:left w:val="single" w:color="000000" w:sz="12"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eastAsia="zh-CN"/>
              </w:rPr>
            </w:pP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红庄沟</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山洪沟</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eastAsia" w:ascii="Times New Roman" w:hAnsi="Times New Roman" w:cs="Times New Roman"/>
                <w:color w:val="auto"/>
                <w:spacing w:val="0"/>
                <w:w w:val="100"/>
                <w:kern w:val="0"/>
                <w:position w:val="0"/>
                <w:szCs w:val="21"/>
                <w:lang w:eastAsia="zh-CN"/>
              </w:rPr>
              <w:t>地表水体</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IV</w:t>
            </w:r>
            <w:r>
              <w:rPr>
                <w:rFonts w:hint="default" w:ascii="Times New Roman" w:hAnsi="Times New Roman" w:eastAsia="宋体" w:cs="Times New Roman"/>
                <w:color w:val="auto"/>
                <w:spacing w:val="0"/>
                <w:w w:val="100"/>
                <w:kern w:val="0"/>
                <w:position w:val="0"/>
                <w:szCs w:val="21"/>
              </w:rPr>
              <w:t>类水体</w:t>
            </w:r>
          </w:p>
        </w:tc>
        <w:tc>
          <w:tcPr>
            <w:tcW w:w="1122" w:type="dxa"/>
            <w:tcBorders>
              <w:top w:val="single" w:color="000000" w:sz="6" w:space="0"/>
              <w:left w:val="single" w:color="000000" w:sz="6" w:space="0"/>
              <w:bottom w:val="single" w:color="000000" w:sz="6" w:space="0"/>
              <w:right w:val="single" w:color="000000" w:sz="4"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S</w:t>
            </w:r>
          </w:p>
        </w:tc>
        <w:tc>
          <w:tcPr>
            <w:tcW w:w="1323" w:type="dxa"/>
            <w:tcBorders>
              <w:top w:val="single" w:color="000000" w:sz="6" w:space="0"/>
              <w:left w:val="single" w:color="000000" w:sz="4" w:space="0"/>
              <w:bottom w:val="single" w:color="000000" w:sz="6" w:space="0"/>
              <w:right w:val="single" w:color="000000" w:sz="12"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1.1km、</w:t>
            </w:r>
          </w:p>
        </w:tc>
      </w:tr>
      <w:tr>
        <w:tblPrEx>
          <w:tblCellMar>
            <w:top w:w="0" w:type="dxa"/>
            <w:left w:w="0" w:type="dxa"/>
            <w:bottom w:w="0" w:type="dxa"/>
            <w:right w:w="0" w:type="dxa"/>
          </w:tblCellMar>
        </w:tblPrEx>
        <w:trPr>
          <w:trHeight w:val="639" w:hRule="exact"/>
        </w:trPr>
        <w:tc>
          <w:tcPr>
            <w:tcW w:w="733" w:type="dxa"/>
            <w:vMerge w:val="continue"/>
            <w:tcBorders>
              <w:left w:val="single" w:color="000000" w:sz="12" w:space="0"/>
              <w:bottom w:val="single" w:color="000000" w:sz="6"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eastAsia="zh-CN"/>
              </w:rPr>
            </w:pP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红五干渠</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eastAsia" w:ascii="Times New Roman" w:hAnsi="Times New Roman" w:cs="Times New Roman"/>
                <w:color w:val="auto"/>
                <w:spacing w:val="0"/>
                <w:w w:val="100"/>
                <w:kern w:val="0"/>
                <w:position w:val="0"/>
                <w:szCs w:val="21"/>
                <w:lang w:eastAsia="zh-CN"/>
              </w:rPr>
              <w:t>灌溉渠</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eastAsia" w:ascii="Times New Roman" w:hAnsi="Times New Roman" w:cs="Times New Roman"/>
                <w:color w:val="auto"/>
                <w:spacing w:val="0"/>
                <w:w w:val="100"/>
                <w:kern w:val="0"/>
                <w:position w:val="0"/>
                <w:szCs w:val="21"/>
                <w:lang w:eastAsia="zh-CN"/>
              </w:rPr>
              <w:t>地表水体</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IV</w:t>
            </w:r>
            <w:r>
              <w:rPr>
                <w:rFonts w:hint="default" w:ascii="Times New Roman" w:hAnsi="Times New Roman" w:eastAsia="宋体" w:cs="Times New Roman"/>
                <w:color w:val="auto"/>
                <w:spacing w:val="0"/>
                <w:w w:val="100"/>
                <w:kern w:val="0"/>
                <w:position w:val="0"/>
                <w:szCs w:val="21"/>
              </w:rPr>
              <w:t>类水体</w:t>
            </w:r>
          </w:p>
        </w:tc>
        <w:tc>
          <w:tcPr>
            <w:tcW w:w="1122" w:type="dxa"/>
            <w:tcBorders>
              <w:top w:val="single" w:color="000000" w:sz="6" w:space="0"/>
              <w:left w:val="single" w:color="000000" w:sz="6" w:space="0"/>
              <w:bottom w:val="single" w:color="000000" w:sz="6" w:space="0"/>
              <w:right w:val="single" w:color="000000" w:sz="4"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E</w:t>
            </w:r>
          </w:p>
        </w:tc>
        <w:tc>
          <w:tcPr>
            <w:tcW w:w="1323" w:type="dxa"/>
            <w:tcBorders>
              <w:top w:val="single" w:color="000000" w:sz="6" w:space="0"/>
              <w:left w:val="single" w:color="000000" w:sz="4" w:space="0"/>
              <w:bottom w:val="single" w:color="000000" w:sz="6" w:space="0"/>
              <w:right w:val="single" w:color="000000" w:sz="12" w:space="0"/>
            </w:tcBorders>
            <w:vAlign w:val="center"/>
          </w:tcPr>
          <w:p>
            <w:pPr>
              <w:adjustRightInd w:val="0"/>
              <w:snapToGrid w:val="0"/>
              <w:jc w:val="center"/>
              <w:rPr>
                <w:rFonts w:hint="default" w:ascii="Times New Roman" w:hAnsi="Times New Roman" w:cs="Times New Roman"/>
                <w:color w:val="auto"/>
                <w:spacing w:val="0"/>
                <w:w w:val="100"/>
                <w:kern w:val="0"/>
                <w:position w:val="0"/>
                <w:szCs w:val="21"/>
                <w:lang w:val="en-US" w:eastAsia="zh-CN"/>
              </w:rPr>
            </w:pPr>
            <w:r>
              <w:rPr>
                <w:rFonts w:hint="eastAsia" w:ascii="Times New Roman" w:hAnsi="Times New Roman" w:cs="Times New Roman"/>
                <w:color w:val="auto"/>
                <w:spacing w:val="0"/>
                <w:w w:val="100"/>
                <w:kern w:val="0"/>
                <w:position w:val="0"/>
                <w:szCs w:val="21"/>
                <w:lang w:val="en-US" w:eastAsia="zh-CN"/>
              </w:rPr>
              <w:t>0.65km</w:t>
            </w:r>
          </w:p>
        </w:tc>
      </w:tr>
      <w:tr>
        <w:tblPrEx>
          <w:tblCellMar>
            <w:top w:w="0" w:type="dxa"/>
            <w:left w:w="0" w:type="dxa"/>
            <w:bottom w:w="0" w:type="dxa"/>
            <w:right w:w="0" w:type="dxa"/>
          </w:tblCellMar>
        </w:tblPrEx>
        <w:trPr>
          <w:trHeight w:val="355" w:hRule="exact"/>
        </w:trPr>
        <w:tc>
          <w:tcPr>
            <w:tcW w:w="733"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声环境</w:t>
            </w: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声环境</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cs="Times New Roman"/>
                <w:color w:val="auto"/>
                <w:spacing w:val="0"/>
                <w:w w:val="100"/>
                <w:kern w:val="0"/>
                <w:position w:val="0"/>
                <w:szCs w:val="21"/>
                <w:lang w:val="en-US" w:eastAsia="zh-CN"/>
              </w:rPr>
              <w:t>1</w:t>
            </w:r>
            <w:r>
              <w:rPr>
                <w:rFonts w:hint="default" w:ascii="Times New Roman" w:hAnsi="Times New Roman" w:eastAsia="宋体" w:cs="Times New Roman"/>
                <w:color w:val="auto"/>
                <w:spacing w:val="0"/>
                <w:w w:val="100"/>
                <w:kern w:val="0"/>
                <w:position w:val="0"/>
                <w:szCs w:val="21"/>
              </w:rPr>
              <w:t>类区</w:t>
            </w:r>
          </w:p>
        </w:tc>
        <w:tc>
          <w:tcPr>
            <w:tcW w:w="2445" w:type="dxa"/>
            <w:gridSpan w:val="2"/>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项目厂界外200m内区域</w:t>
            </w:r>
          </w:p>
        </w:tc>
      </w:tr>
      <w:tr>
        <w:tblPrEx>
          <w:tblCellMar>
            <w:top w:w="0" w:type="dxa"/>
            <w:left w:w="0" w:type="dxa"/>
            <w:bottom w:w="0" w:type="dxa"/>
            <w:right w:w="0" w:type="dxa"/>
          </w:tblCellMar>
        </w:tblPrEx>
        <w:trPr>
          <w:trHeight w:val="951" w:hRule="exact"/>
        </w:trPr>
        <w:tc>
          <w:tcPr>
            <w:tcW w:w="733"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厂区及 周边</w:t>
            </w: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厂区及周边</w:t>
            </w:r>
          </w:p>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地下潜水含水层</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地下水环境</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eastAsia" w:ascii="Times New Roman" w:hAnsi="Times New Roman" w:eastAsia="宋体" w:cs="Times New Roman"/>
                <w:color w:val="auto"/>
                <w:spacing w:val="0"/>
                <w:w w:val="100"/>
                <w:kern w:val="0"/>
                <w:position w:val="0"/>
                <w:szCs w:val="21"/>
                <w:lang w:eastAsia="zh-CN"/>
              </w:rPr>
            </w:pPr>
            <w:r>
              <w:rPr>
                <w:rFonts w:hint="default" w:ascii="Times New Roman" w:hAnsi="Times New Roman" w:eastAsia="宋体" w:cs="Times New Roman"/>
                <w:color w:val="auto"/>
                <w:spacing w:val="0"/>
                <w:w w:val="100"/>
                <w:kern w:val="0"/>
                <w:position w:val="0"/>
                <w:szCs w:val="21"/>
              </w:rPr>
              <w:t>Ⅲ类</w:t>
            </w:r>
            <w:r>
              <w:rPr>
                <w:rFonts w:hint="eastAsia" w:ascii="Times New Roman" w:hAnsi="Times New Roman" w:cs="Times New Roman"/>
                <w:color w:val="auto"/>
                <w:spacing w:val="0"/>
                <w:w w:val="100"/>
                <w:kern w:val="0"/>
                <w:position w:val="0"/>
                <w:szCs w:val="21"/>
                <w:lang w:val="en-US" w:eastAsia="zh-CN"/>
              </w:rPr>
              <w:t xml:space="preserve"> </w:t>
            </w:r>
          </w:p>
        </w:tc>
        <w:tc>
          <w:tcPr>
            <w:tcW w:w="2445" w:type="dxa"/>
            <w:gridSpan w:val="2"/>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r>
      <w:tr>
        <w:trPr>
          <w:trHeight w:val="639" w:hRule="exact"/>
        </w:trPr>
        <w:tc>
          <w:tcPr>
            <w:tcW w:w="733"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土壤环</w:t>
            </w:r>
          </w:p>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境</w:t>
            </w:r>
          </w:p>
        </w:tc>
        <w:tc>
          <w:tcPr>
            <w:tcW w:w="78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659"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30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项目周边</w:t>
            </w:r>
          </w:p>
        </w:tc>
        <w:tc>
          <w:tcPr>
            <w:tcW w:w="98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土壤环境</w:t>
            </w:r>
          </w:p>
        </w:tc>
        <w:tc>
          <w:tcPr>
            <w:tcW w:w="112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2445" w:type="dxa"/>
            <w:gridSpan w:val="2"/>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项目占地范围内和占地边</w:t>
            </w:r>
          </w:p>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界外扩50m范围</w:t>
            </w:r>
          </w:p>
        </w:tc>
      </w:tr>
      <w:tr>
        <w:trPr>
          <w:trHeight w:val="958" w:hRule="exact"/>
        </w:trPr>
        <w:tc>
          <w:tcPr>
            <w:tcW w:w="733" w:type="dxa"/>
            <w:tcBorders>
              <w:top w:val="single" w:color="000000" w:sz="6" w:space="0"/>
              <w:left w:val="single" w:color="000000" w:sz="12" w:space="0"/>
              <w:bottom w:val="single" w:color="000000" w:sz="12"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生态环 境</w:t>
            </w:r>
          </w:p>
        </w:tc>
        <w:tc>
          <w:tcPr>
            <w:tcW w:w="781" w:type="dxa"/>
            <w:tcBorders>
              <w:top w:val="single" w:color="000000" w:sz="6" w:space="0"/>
              <w:left w:val="single" w:color="000000" w:sz="6" w:space="0"/>
              <w:bottom w:val="single" w:color="000000" w:sz="12"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659" w:type="dxa"/>
            <w:tcBorders>
              <w:top w:val="single" w:color="000000" w:sz="6" w:space="0"/>
              <w:left w:val="single" w:color="000000" w:sz="6" w:space="0"/>
              <w:bottom w:val="single" w:color="000000" w:sz="12"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w:t>
            </w:r>
          </w:p>
        </w:tc>
        <w:tc>
          <w:tcPr>
            <w:tcW w:w="1305" w:type="dxa"/>
            <w:tcBorders>
              <w:top w:val="single" w:color="000000" w:sz="6" w:space="0"/>
              <w:left w:val="single" w:color="000000" w:sz="6" w:space="0"/>
              <w:bottom w:val="single" w:color="000000" w:sz="12" w:space="0"/>
              <w:right w:val="single" w:color="000000" w:sz="6"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评价范围内</w:t>
            </w:r>
          </w:p>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植被、土壤、 生态</w:t>
            </w:r>
          </w:p>
        </w:tc>
        <w:tc>
          <w:tcPr>
            <w:tcW w:w="5672" w:type="dxa"/>
            <w:gridSpan w:val="5"/>
            <w:tcBorders>
              <w:top w:val="single" w:color="000000" w:sz="6" w:space="0"/>
              <w:left w:val="single" w:color="000000" w:sz="6" w:space="0"/>
              <w:bottom w:val="single" w:color="000000" w:sz="12" w:space="0"/>
              <w:right w:val="single" w:color="000000" w:sz="12" w:space="0"/>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保护</w:t>
            </w:r>
            <w:r>
              <w:rPr>
                <w:rFonts w:hint="eastAsia" w:ascii="Times New Roman" w:hAnsi="Times New Roman" w:cs="Times New Roman"/>
                <w:color w:val="auto"/>
                <w:spacing w:val="0"/>
                <w:w w:val="100"/>
                <w:kern w:val="0"/>
                <w:position w:val="0"/>
                <w:szCs w:val="21"/>
                <w:lang w:eastAsia="zh-CN"/>
              </w:rPr>
              <w:t>项目区</w:t>
            </w:r>
            <w:r>
              <w:rPr>
                <w:rFonts w:hint="default" w:ascii="Times New Roman" w:hAnsi="Times New Roman" w:eastAsia="宋体" w:cs="Times New Roman"/>
                <w:color w:val="auto"/>
                <w:spacing w:val="0"/>
                <w:w w:val="100"/>
                <w:kern w:val="0"/>
                <w:position w:val="0"/>
                <w:szCs w:val="21"/>
              </w:rPr>
              <w:t>及周边生态系统，使评价区范围内植被、土壤被</w:t>
            </w:r>
          </w:p>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破坏控制在最小破坏程度，并逐步补偿和恢复，保证周边植被 正常生长。</w:t>
            </w:r>
          </w:p>
        </w:tc>
      </w:tr>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428" w:name="_Toc19404"/>
      <w:bookmarkStart w:id="429" w:name="_Toc3728"/>
      <w:bookmarkStart w:id="430" w:name="_Toc20888"/>
      <w:bookmarkStart w:id="431" w:name="_Toc12296"/>
      <w:bookmarkStart w:id="432" w:name="_Toc9747"/>
      <w:bookmarkStart w:id="433" w:name="_Toc5472"/>
      <w:r>
        <w:rPr>
          <w:rFonts w:hint="default" w:ascii="Times New Roman" w:hAnsi="Times New Roman" w:eastAsia="宋体" w:cs="Times New Roman"/>
          <w:snapToGrid w:val="0"/>
          <w:color w:val="auto"/>
          <w:spacing w:val="0"/>
          <w:w w:val="100"/>
          <w:kern w:val="0"/>
          <w:position w:val="0"/>
          <w:highlight w:val="none"/>
          <w:lang w:val="en-US" w:eastAsia="zh-CN"/>
        </w:rPr>
        <w:t>1.7产业政策及规划符合性分析</w:t>
      </w:r>
      <w:bookmarkEnd w:id="428"/>
      <w:bookmarkEnd w:id="429"/>
      <w:bookmarkEnd w:id="430"/>
      <w:bookmarkEnd w:id="431"/>
      <w:bookmarkEnd w:id="432"/>
      <w:bookmarkEnd w:id="433"/>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34" w:name="_Toc32453"/>
      <w:bookmarkStart w:id="435" w:name="_Toc369"/>
      <w:bookmarkStart w:id="436" w:name="_Toc7635"/>
      <w:bookmarkStart w:id="437" w:name="_Toc30484"/>
      <w:bookmarkStart w:id="438" w:name="_Toc9158"/>
      <w:bookmarkStart w:id="439" w:name="_Toc21765"/>
      <w:bookmarkStart w:id="440" w:name="_Toc15947"/>
      <w:r>
        <w:rPr>
          <w:rFonts w:hint="default" w:ascii="Times New Roman" w:hAnsi="Times New Roman" w:eastAsia="宋体" w:cs="Times New Roman"/>
          <w:snapToGrid w:val="0"/>
          <w:color w:val="auto"/>
          <w:spacing w:val="0"/>
          <w:w w:val="100"/>
          <w:kern w:val="0"/>
          <w:position w:val="0"/>
          <w:sz w:val="28"/>
          <w:szCs w:val="28"/>
          <w:highlight w:val="none"/>
          <w:lang w:val="en-US" w:eastAsia="zh-CN"/>
        </w:rPr>
        <w:t>1.7.1产业政策符合性分析</w:t>
      </w:r>
      <w:bookmarkEnd w:id="434"/>
      <w:bookmarkEnd w:id="435"/>
      <w:bookmarkEnd w:id="43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本项目属于畜禽标准化规模养殖，根据国家发展和改革委员会第29号令《产业结构调整指导目录（2019年本）》，本项目属于鼓励类中的</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一、农林业：4、畜禽标准化规模养殖技术开发与应用</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，因此，本项目建设符合国家产业政策。</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41" w:name="_Toc8647"/>
      <w:bookmarkStart w:id="442" w:name="_Toc28621"/>
      <w:bookmarkStart w:id="443" w:name="_Toc16104"/>
      <w:r>
        <w:rPr>
          <w:rFonts w:hint="default" w:ascii="Times New Roman" w:hAnsi="Times New Roman" w:eastAsia="宋体" w:cs="Times New Roman"/>
          <w:snapToGrid w:val="0"/>
          <w:color w:val="auto"/>
          <w:spacing w:val="0"/>
          <w:w w:val="100"/>
          <w:kern w:val="0"/>
          <w:position w:val="0"/>
          <w:sz w:val="28"/>
          <w:szCs w:val="28"/>
          <w:highlight w:val="none"/>
          <w:lang w:val="en-US" w:eastAsia="zh-CN"/>
        </w:rPr>
        <w:t>1.7.2规划符合性分析</w:t>
      </w:r>
      <w:bookmarkEnd w:id="437"/>
      <w:bookmarkEnd w:id="438"/>
      <w:bookmarkEnd w:id="439"/>
      <w:bookmarkEnd w:id="440"/>
      <w:bookmarkEnd w:id="441"/>
      <w:bookmarkEnd w:id="442"/>
      <w:bookmarkEnd w:id="443"/>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lang w:val="zh-CN" w:eastAsia="zh-CN"/>
        </w:rPr>
        <w:t>.7.2.1与《中华人民共和国国民经济和社会发展第十四个五年规划和2035年远景目标纲要》的符合性分析</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32"/>
          <w:lang w:val="zh-CN"/>
        </w:rPr>
      </w:pPr>
      <w:r>
        <w:rPr>
          <w:rFonts w:hint="default" w:ascii="Times New Roman" w:hAnsi="Times New Roman" w:eastAsia="宋体" w:cs="Times New Roman"/>
          <w:color w:val="auto"/>
          <w:spacing w:val="0"/>
          <w:w w:val="100"/>
          <w:kern w:val="0"/>
          <w:position w:val="0"/>
          <w:sz w:val="24"/>
          <w:szCs w:val="32"/>
        </w:rPr>
        <w:t>《中华人民共和国国民经济和社会发展第十四个五年规划和2035年远景目标纲要》中提出“优化农业生产布局，建设优势农产品产业带和特色农产品优势区。推进粮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r>
        <w:rPr>
          <w:rFonts w:hint="default" w:ascii="Times New Roman" w:hAnsi="Times New Roman" w:eastAsia="宋体" w:cs="Times New Roman"/>
          <w:color w:val="auto"/>
          <w:spacing w:val="0"/>
          <w:w w:val="100"/>
          <w:kern w:val="0"/>
          <w:position w:val="0"/>
          <w:sz w:val="24"/>
          <w:szCs w:val="24"/>
          <w:lang w:eastAsia="zh-CN"/>
        </w:rPr>
        <w:t>宁夏垣盛越农牧综合开发有限公司</w:t>
      </w:r>
      <w:r>
        <w:rPr>
          <w:rFonts w:hint="default" w:ascii="Times New Roman" w:hAnsi="Times New Roman" w:eastAsia="宋体" w:cs="Times New Roman"/>
          <w:color w:val="auto"/>
          <w:spacing w:val="0"/>
          <w:w w:val="100"/>
          <w:kern w:val="0"/>
          <w:position w:val="0"/>
          <w:sz w:val="24"/>
          <w:szCs w:val="32"/>
        </w:rPr>
        <w:t>以“高标准、高水平、高要求”规划、设计、建设</w:t>
      </w:r>
      <w:r>
        <w:rPr>
          <w:rFonts w:hint="default" w:ascii="Times New Roman" w:hAnsi="Times New Roman" w:eastAsia="宋体" w:cs="Times New Roman"/>
          <w:color w:val="auto"/>
          <w:spacing w:val="0"/>
          <w:w w:val="100"/>
          <w:kern w:val="0"/>
          <w:position w:val="0"/>
          <w:sz w:val="24"/>
          <w:szCs w:val="32"/>
          <w:lang w:eastAsia="zh-CN"/>
        </w:rPr>
        <w:t>奶牛</w:t>
      </w:r>
      <w:r>
        <w:rPr>
          <w:rFonts w:hint="default" w:ascii="Times New Roman" w:hAnsi="Times New Roman" w:eastAsia="宋体" w:cs="Times New Roman"/>
          <w:color w:val="auto"/>
          <w:spacing w:val="0"/>
          <w:w w:val="100"/>
          <w:kern w:val="0"/>
          <w:position w:val="0"/>
          <w:sz w:val="24"/>
          <w:szCs w:val="32"/>
        </w:rPr>
        <w:t>规模养殖场，养殖过程产生的畜禽粪污</w:t>
      </w:r>
      <w:r>
        <w:rPr>
          <w:rFonts w:hint="default" w:ascii="Times New Roman" w:hAnsi="Times New Roman" w:eastAsia="宋体" w:cs="Times New Roman"/>
          <w:b w:val="0"/>
          <w:bCs/>
          <w:color w:val="auto"/>
          <w:spacing w:val="0"/>
          <w:w w:val="100"/>
          <w:kern w:val="0"/>
          <w:position w:val="0"/>
          <w:sz w:val="24"/>
          <w:szCs w:val="28"/>
          <w:highlight w:val="none"/>
        </w:rPr>
        <w:t>经厂区</w:t>
      </w:r>
      <w:r>
        <w:rPr>
          <w:rFonts w:hint="default" w:ascii="Times New Roman" w:hAnsi="Times New Roman" w:cs="Times New Roman"/>
          <w:b w:val="0"/>
          <w:bCs/>
          <w:color w:val="auto"/>
          <w:spacing w:val="0"/>
          <w:w w:val="100"/>
          <w:kern w:val="0"/>
          <w:position w:val="0"/>
          <w:sz w:val="24"/>
          <w:szCs w:val="28"/>
          <w:highlight w:val="none"/>
          <w:lang w:eastAsia="zh-CN"/>
        </w:rPr>
        <w:t>堆粪棚</w:t>
      </w:r>
      <w:r>
        <w:rPr>
          <w:rFonts w:hint="eastAsia" w:ascii="Times New Roman" w:hAnsi="Times New Roman" w:cs="Times New Roman"/>
          <w:b w:val="0"/>
          <w:bCs/>
          <w:color w:val="auto"/>
          <w:spacing w:val="0"/>
          <w:w w:val="100"/>
          <w:kern w:val="0"/>
          <w:position w:val="0"/>
          <w:sz w:val="24"/>
          <w:szCs w:val="28"/>
          <w:highlight w:val="none"/>
          <w:lang w:eastAsia="zh-CN"/>
        </w:rPr>
        <w:t>临时储存，出售给周边农户还田利用，</w:t>
      </w:r>
      <w:r>
        <w:rPr>
          <w:rFonts w:hint="default" w:ascii="Times New Roman" w:hAnsi="Times New Roman" w:eastAsia="宋体" w:cs="Times New Roman"/>
          <w:color w:val="auto"/>
          <w:spacing w:val="0"/>
          <w:w w:val="100"/>
          <w:kern w:val="0"/>
          <w:position w:val="0"/>
          <w:sz w:val="24"/>
          <w:szCs w:val="32"/>
        </w:rPr>
        <w:t>符合《中华人民共和国国民经济和社会发展第十四个五年规划和2035年远景目标纲要》。</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1.7.2.2</w:t>
      </w:r>
      <w:r>
        <w:rPr>
          <w:rFonts w:hint="default" w:ascii="Times New Roman" w:hAnsi="Times New Roman" w:eastAsia="宋体" w:cs="Times New Roman"/>
          <w:b/>
          <w:color w:val="auto"/>
          <w:spacing w:val="0"/>
          <w:w w:val="100"/>
          <w:kern w:val="0"/>
          <w:position w:val="0"/>
          <w:sz w:val="24"/>
          <w:highlight w:val="none"/>
          <w:lang w:val="zh-CN" w:eastAsia="zh-CN"/>
        </w:rPr>
        <w:t>与《中共宁夏回族自治区委员会关于制定国民经济和社会发展第十四个五年规划和二〇三五年远景目标的建议》的符合性分析</w:t>
      </w:r>
    </w:p>
    <w:p>
      <w:pPr>
        <w:pStyle w:val="38"/>
        <w:spacing w:line="360" w:lineRule="auto"/>
        <w:rPr>
          <w:rFonts w:hint="default" w:ascii="Times New Roman" w:hAnsi="Times New Roman" w:eastAsia="宋体" w:cs="Times New Roman"/>
          <w:b w:val="0"/>
          <w:bCs w:val="0"/>
          <w:color w:val="auto"/>
          <w:spacing w:val="0"/>
          <w:w w:val="100"/>
          <w:kern w:val="0"/>
          <w:position w:val="0"/>
          <w:sz w:val="24"/>
          <w:szCs w:val="24"/>
        </w:rPr>
      </w:pPr>
      <w:r>
        <w:rPr>
          <w:rFonts w:hint="default" w:ascii="Times New Roman" w:hAnsi="Times New Roman" w:eastAsia="宋体" w:cs="Times New Roman"/>
          <w:b w:val="0"/>
          <w:bCs w:val="0"/>
          <w:color w:val="auto"/>
          <w:spacing w:val="0"/>
          <w:w w:val="100"/>
          <w:kern w:val="0"/>
          <w:position w:val="0"/>
          <w:sz w:val="24"/>
          <w:szCs w:val="32"/>
        </w:rPr>
        <w:t>《中共宁夏回族自治区委员会关于制定国民经济和社会发展第十四个五年规划和二○三五年远景目标的建议》（以下简称“建议”）中提出“提质发展高效种养业。以龙头企业为依托、以产业园区为支撑、以特色发展为目标、以市场需求为导向，优品类、提品质、打品牌，做实做强特色现代农业，建设国家农业绿色发展先行区。加快建设现代农业产业体系，大力调整种养业结构，聚焦特色农产品优势区建设，推进葡萄酒产业放大产区优势、提升品牌价值，枸杞产业地理品牌保护、产品精深加工，奶产业强化品牌经营、形成规模效应，肉猪和滩羊产业创新营销模式、扩大消费半径，加快“葡萄酒之都”、“枸杞之乡”、“高端奶之乡”、“高端猪肉生产基地”、“滩羊之乡”和高品质蔬菜示范基地建设，打造集研发、种植、加工、营销、文化、生态于一体的现代农业全产业链。</w:t>
      </w:r>
      <w:r>
        <w:rPr>
          <w:rFonts w:hint="default" w:ascii="Times New Roman" w:hAnsi="Times New Roman" w:cs="Times New Roman"/>
          <w:b w:val="0"/>
          <w:bCs w:val="0"/>
          <w:color w:val="auto"/>
          <w:spacing w:val="0"/>
          <w:w w:val="100"/>
          <w:kern w:val="0"/>
          <w:position w:val="0"/>
          <w:sz w:val="24"/>
          <w:szCs w:val="32"/>
          <w:lang w:eastAsia="zh-CN"/>
        </w:rPr>
        <w:t>本项目为</w:t>
      </w:r>
      <w:r>
        <w:rPr>
          <w:rFonts w:hint="default" w:ascii="Times New Roman" w:hAnsi="Times New Roman" w:cs="Times New Roman"/>
          <w:b w:val="0"/>
          <w:bCs w:val="0"/>
          <w:i w:val="0"/>
          <w:iCs/>
          <w:color w:val="auto"/>
          <w:spacing w:val="0"/>
          <w:w w:val="100"/>
          <w:kern w:val="0"/>
          <w:position w:val="0"/>
          <w:lang w:val="en-US" w:eastAsia="zh-CN"/>
        </w:rPr>
        <w:t>5000头奶牛扶贫养殖基地，</w:t>
      </w:r>
      <w:r>
        <w:rPr>
          <w:rFonts w:hint="default" w:ascii="Times New Roman" w:hAnsi="Times New Roman" w:eastAsia="宋体" w:cs="Times New Roman"/>
          <w:b w:val="0"/>
          <w:bCs w:val="0"/>
          <w:color w:val="auto"/>
          <w:spacing w:val="0"/>
          <w:w w:val="100"/>
          <w:kern w:val="0"/>
          <w:position w:val="0"/>
          <w:sz w:val="24"/>
          <w:szCs w:val="32"/>
        </w:rPr>
        <w:t>位于</w:t>
      </w:r>
      <w:r>
        <w:rPr>
          <w:rFonts w:hint="default" w:ascii="Times New Roman" w:hAnsi="Times New Roman" w:eastAsia="宋体" w:cs="Times New Roman"/>
          <w:b w:val="0"/>
          <w:bCs w:val="0"/>
          <w:snapToGrid w:val="0"/>
          <w:color w:val="auto"/>
          <w:spacing w:val="0"/>
          <w:w w:val="100"/>
          <w:kern w:val="0"/>
          <w:position w:val="0"/>
          <w:highlight w:val="none"/>
          <w:lang w:val="en-US" w:eastAsia="zh-CN"/>
        </w:rPr>
        <w:t>同心县下马关镇上垣村</w:t>
      </w:r>
      <w:r>
        <w:rPr>
          <w:rFonts w:hint="default" w:ascii="Times New Roman" w:hAnsi="Times New Roman" w:eastAsia="宋体" w:cs="Times New Roman"/>
          <w:b w:val="0"/>
          <w:bCs w:val="0"/>
          <w:color w:val="auto"/>
          <w:spacing w:val="0"/>
          <w:w w:val="100"/>
          <w:kern w:val="0"/>
          <w:position w:val="0"/>
          <w:sz w:val="24"/>
          <w:szCs w:val="32"/>
        </w:rPr>
        <w:t>，项目建设完成后年</w:t>
      </w:r>
      <w:r>
        <w:rPr>
          <w:rFonts w:hint="default" w:ascii="Times New Roman" w:hAnsi="Times New Roman" w:eastAsia="宋体" w:cs="Times New Roman"/>
          <w:b w:val="0"/>
          <w:bCs w:val="0"/>
          <w:snapToGrid w:val="0"/>
          <w:color w:val="auto"/>
          <w:spacing w:val="0"/>
          <w:w w:val="100"/>
          <w:kern w:val="0"/>
          <w:position w:val="0"/>
          <w:sz w:val="24"/>
          <w:szCs w:val="24"/>
          <w:highlight w:val="none"/>
        </w:rPr>
        <w:t>存栏奶牛</w:t>
      </w:r>
      <w:r>
        <w:rPr>
          <w:rFonts w:hint="default" w:ascii="Times New Roman" w:hAnsi="Times New Roman" w:cs="Times New Roman"/>
          <w:b w:val="0"/>
          <w:bCs w:val="0"/>
          <w:snapToGrid w:val="0"/>
          <w:color w:val="auto"/>
          <w:spacing w:val="0"/>
          <w:w w:val="100"/>
          <w:kern w:val="0"/>
          <w:position w:val="0"/>
          <w:sz w:val="24"/>
          <w:szCs w:val="24"/>
          <w:highlight w:val="none"/>
          <w:lang w:val="en-US" w:eastAsia="zh-CN"/>
        </w:rPr>
        <w:t>5000</w:t>
      </w:r>
      <w:r>
        <w:rPr>
          <w:rFonts w:hint="default" w:ascii="Times New Roman" w:hAnsi="Times New Roman" w:eastAsia="宋体" w:cs="Times New Roman"/>
          <w:b w:val="0"/>
          <w:bCs w:val="0"/>
          <w:snapToGrid w:val="0"/>
          <w:color w:val="auto"/>
          <w:spacing w:val="0"/>
          <w:w w:val="100"/>
          <w:kern w:val="0"/>
          <w:position w:val="0"/>
          <w:sz w:val="24"/>
          <w:szCs w:val="24"/>
          <w:highlight w:val="none"/>
          <w:lang w:eastAsia="zh-CN"/>
        </w:rPr>
        <w:t>头</w:t>
      </w:r>
      <w:r>
        <w:rPr>
          <w:rFonts w:hint="default" w:ascii="Times New Roman" w:hAnsi="Times New Roman" w:eastAsia="宋体" w:cs="Times New Roman"/>
          <w:b w:val="0"/>
          <w:bCs w:val="0"/>
          <w:color w:val="auto"/>
          <w:spacing w:val="0"/>
          <w:w w:val="100"/>
          <w:kern w:val="0"/>
          <w:position w:val="0"/>
          <w:sz w:val="24"/>
          <w:szCs w:val="32"/>
        </w:rPr>
        <w:t>。因此，本项目的建设与《建议》相符</w:t>
      </w:r>
      <w:r>
        <w:rPr>
          <w:rFonts w:hint="default" w:ascii="Times New Roman" w:hAnsi="Times New Roman" w:eastAsia="宋体" w:cs="Times New Roman"/>
          <w:b w:val="0"/>
          <w:bCs w:val="0"/>
          <w:color w:val="auto"/>
          <w:spacing w:val="0"/>
          <w:w w:val="100"/>
          <w:kern w:val="0"/>
          <w:position w:val="0"/>
          <w:sz w:val="24"/>
          <w:szCs w:val="24"/>
        </w:rPr>
        <w:t>。</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1.7.2.</w:t>
      </w:r>
      <w:r>
        <w:rPr>
          <w:rFonts w:hint="eastAsia" w:ascii="Times New Roman" w:hAnsi="Times New Roman" w:eastAsia="宋体" w:cs="Times New Roman"/>
          <w:b/>
          <w:color w:val="auto"/>
          <w:spacing w:val="0"/>
          <w:w w:val="100"/>
          <w:kern w:val="0"/>
          <w:position w:val="0"/>
          <w:sz w:val="24"/>
          <w:highlight w:val="none"/>
          <w:lang w:val="en-US" w:eastAsia="zh-CN"/>
        </w:rPr>
        <w:t>3</w:t>
      </w:r>
      <w:r>
        <w:rPr>
          <w:rFonts w:hint="default" w:ascii="Times New Roman" w:hAnsi="Times New Roman" w:eastAsia="宋体" w:cs="Times New Roman"/>
          <w:b/>
          <w:color w:val="auto"/>
          <w:spacing w:val="0"/>
          <w:w w:val="100"/>
          <w:kern w:val="0"/>
          <w:position w:val="0"/>
          <w:sz w:val="24"/>
          <w:highlight w:val="none"/>
          <w:lang w:val="en-US" w:eastAsia="zh-CN"/>
        </w:rPr>
        <w:t xml:space="preserve"> 与《宁夏回族自治区现代农业“十三五”发展规划》的符合性分析 </w:t>
      </w:r>
    </w:p>
    <w:p>
      <w:pPr>
        <w:pStyle w:val="38"/>
        <w:spacing w:line="360" w:lineRule="auto"/>
        <w:rPr>
          <w:rFonts w:hint="default" w:ascii="Times New Roman" w:hAnsi="Times New Roman" w:eastAsia="宋体" w:cs="Times New Roman"/>
          <w:b w:val="0"/>
          <w:bCs w:val="0"/>
          <w:color w:val="auto"/>
          <w:spacing w:val="0"/>
          <w:w w:val="100"/>
          <w:kern w:val="0"/>
          <w:position w:val="0"/>
          <w:sz w:val="24"/>
          <w:szCs w:val="24"/>
        </w:rPr>
      </w:pPr>
      <w:r>
        <w:rPr>
          <w:rFonts w:hint="default" w:ascii="Times New Roman" w:hAnsi="Times New Roman" w:eastAsia="宋体" w:cs="Times New Roman"/>
          <w:b w:val="0"/>
          <w:bCs w:val="0"/>
          <w:color w:val="auto"/>
          <w:spacing w:val="0"/>
          <w:w w:val="100"/>
          <w:kern w:val="0"/>
          <w:position w:val="0"/>
          <w:sz w:val="24"/>
          <w:szCs w:val="24"/>
        </w:rPr>
        <w:t>根据《宁夏回族自治区现代农业“十三五”发展规划》中提出“加强标准化规模养殖基础设施建设，加大基础母畜扩群增量”“以银川、吴忠和农垦为核心区，以中卫、石嘴山为发展区的肉牛产业带，把宁夏打造成全国重要的良种肉牛繁育、优质乳制品、优质牛羊肉生产加工基地”。本项目位于吴忠市</w:t>
      </w:r>
      <w:r>
        <w:rPr>
          <w:rFonts w:hint="eastAsia" w:ascii="Times New Roman" w:hAnsi="Times New Roman" w:cs="Times New Roman"/>
          <w:b w:val="0"/>
          <w:bCs w:val="0"/>
          <w:color w:val="auto"/>
          <w:spacing w:val="0"/>
          <w:w w:val="100"/>
          <w:kern w:val="0"/>
          <w:position w:val="0"/>
          <w:sz w:val="24"/>
          <w:szCs w:val="24"/>
          <w:lang w:eastAsia="zh-CN"/>
        </w:rPr>
        <w:t>同心县下马关镇上垣村</w:t>
      </w:r>
      <w:r>
        <w:rPr>
          <w:rFonts w:hint="default" w:ascii="Times New Roman" w:hAnsi="Times New Roman" w:eastAsia="宋体" w:cs="Times New Roman"/>
          <w:b w:val="0"/>
          <w:bCs w:val="0"/>
          <w:color w:val="auto"/>
          <w:spacing w:val="0"/>
          <w:w w:val="100"/>
          <w:kern w:val="0"/>
          <w:position w:val="0"/>
          <w:sz w:val="24"/>
          <w:szCs w:val="24"/>
        </w:rPr>
        <w:t>，属于吴忠肉牛繁育、乳制品加工核心区，项目的实施与《宁夏回族自治区现代农业“十三五”发展规划》相符。</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1.7.2.</w:t>
      </w:r>
      <w:r>
        <w:rPr>
          <w:rFonts w:hint="eastAsia" w:ascii="Times New Roman" w:hAnsi="Times New Roman" w:eastAsia="宋体" w:cs="Times New Roman"/>
          <w:b/>
          <w:color w:val="auto"/>
          <w:spacing w:val="0"/>
          <w:w w:val="100"/>
          <w:kern w:val="0"/>
          <w:position w:val="0"/>
          <w:sz w:val="24"/>
          <w:highlight w:val="none"/>
          <w:lang w:val="en-US" w:eastAsia="zh-CN"/>
        </w:rPr>
        <w:t>4</w:t>
      </w:r>
      <w:r>
        <w:rPr>
          <w:rFonts w:hint="default" w:ascii="Times New Roman" w:hAnsi="Times New Roman" w:eastAsia="宋体" w:cs="Times New Roman"/>
          <w:b/>
          <w:color w:val="auto"/>
          <w:spacing w:val="0"/>
          <w:w w:val="100"/>
          <w:kern w:val="0"/>
          <w:position w:val="0"/>
          <w:sz w:val="24"/>
          <w:highlight w:val="none"/>
          <w:lang w:val="en-US" w:eastAsia="zh-CN"/>
        </w:rPr>
        <w:t xml:space="preserve"> 与《宁夏回族自治区畜禽规模养殖污染防治总体规划(2016-2020年)》符合性</w:t>
      </w:r>
    </w:p>
    <w:p>
      <w:pPr>
        <w:pStyle w:val="38"/>
        <w:spacing w:line="360" w:lineRule="auto"/>
        <w:rPr>
          <w:rFonts w:hint="default" w:ascii="Times New Roman" w:hAnsi="Times New Roman" w:eastAsia="宋体" w:cs="Times New Roman"/>
          <w:b w:val="0"/>
          <w:bCs w:val="0"/>
          <w:color w:val="auto"/>
          <w:spacing w:val="0"/>
          <w:w w:val="100"/>
          <w:kern w:val="0"/>
          <w:position w:val="0"/>
          <w:sz w:val="24"/>
          <w:szCs w:val="24"/>
        </w:rPr>
      </w:pPr>
      <w:r>
        <w:rPr>
          <w:rFonts w:hint="default" w:ascii="Times New Roman" w:hAnsi="Times New Roman" w:eastAsia="宋体" w:cs="Times New Roman"/>
          <w:b w:val="0"/>
          <w:bCs w:val="0"/>
          <w:color w:val="auto"/>
          <w:spacing w:val="0"/>
          <w:w w:val="100"/>
          <w:kern w:val="0"/>
          <w:position w:val="0"/>
          <w:sz w:val="24"/>
          <w:szCs w:val="24"/>
        </w:rPr>
        <w:t>《宁夏回族自治区畜禽规模养殖污染防治总体规划(2016-2020年)》明确提出：“建设严格准入、优化布局，建立源头防控；科技引领、因地制宜，推进污染防治示范；低碳养殖、节能增效，探索过程管理与示范；依法治污、创新管理，夯实监督管理；引导为主、疏堵结合”。本项目位于吴忠市</w:t>
      </w:r>
      <w:r>
        <w:rPr>
          <w:rFonts w:hint="eastAsia" w:ascii="Times New Roman" w:hAnsi="Times New Roman" w:cs="Times New Roman"/>
          <w:b w:val="0"/>
          <w:bCs w:val="0"/>
          <w:color w:val="auto"/>
          <w:spacing w:val="0"/>
          <w:w w:val="100"/>
          <w:kern w:val="0"/>
          <w:position w:val="0"/>
          <w:sz w:val="24"/>
          <w:szCs w:val="24"/>
          <w:lang w:eastAsia="zh-CN"/>
        </w:rPr>
        <w:t>同心县下马关镇上垣村</w:t>
      </w:r>
      <w:r>
        <w:rPr>
          <w:rFonts w:hint="default" w:ascii="Times New Roman" w:hAnsi="Times New Roman" w:eastAsia="宋体" w:cs="Times New Roman"/>
          <w:b w:val="0"/>
          <w:bCs w:val="0"/>
          <w:color w:val="auto"/>
          <w:spacing w:val="0"/>
          <w:w w:val="100"/>
          <w:kern w:val="0"/>
          <w:position w:val="0"/>
          <w:sz w:val="24"/>
          <w:szCs w:val="24"/>
        </w:rPr>
        <w:t>，建立源头防控，且项目施工期及运营期产生的各类污染物，经采取相应的污染防治和治理措施后，可保证各项污染物达标排放，依法治污，项目的实施与《宁夏回族自治区畜禽规模养殖污染防治总体规划(2016-2020年)》相符。</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lang w:val="zh-CN" w:eastAsia="zh-CN"/>
        </w:rPr>
        <w:t>.7.2.</w:t>
      </w:r>
      <w:r>
        <w:rPr>
          <w:rFonts w:hint="eastAsia" w:ascii="Times New Roman" w:hAnsi="Times New Roman" w:eastAsia="宋体" w:cs="Times New Roman"/>
          <w:b/>
          <w:color w:val="auto"/>
          <w:spacing w:val="0"/>
          <w:w w:val="100"/>
          <w:kern w:val="0"/>
          <w:position w:val="0"/>
          <w:sz w:val="24"/>
          <w:highlight w:val="none"/>
          <w:lang w:val="en-US" w:eastAsia="zh-CN"/>
        </w:rPr>
        <w:t>5</w:t>
      </w:r>
      <w:r>
        <w:rPr>
          <w:rFonts w:hint="default" w:ascii="Times New Roman" w:hAnsi="Times New Roman" w:eastAsia="宋体" w:cs="Times New Roman"/>
          <w:b/>
          <w:color w:val="auto"/>
          <w:spacing w:val="0"/>
          <w:w w:val="100"/>
          <w:kern w:val="0"/>
          <w:position w:val="0"/>
          <w:sz w:val="24"/>
          <w:highlight w:val="none"/>
          <w:lang w:val="zh-CN" w:eastAsia="zh-CN"/>
        </w:rPr>
        <w:t>与《关于进一步明确畜禽粪污还田利用要求强化养殖污染监管的通知》的符合性分析</w:t>
      </w:r>
    </w:p>
    <w:p>
      <w:pPr>
        <w:pStyle w:val="36"/>
        <w:adjustRightInd w:val="0"/>
        <w:snapToGrid w:val="0"/>
        <w:spacing w:line="360" w:lineRule="auto"/>
        <w:jc w:val="left"/>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农业农村部办公厅、生态环境部办公厅《关于进一步明确畜禽粪污还田利用要求强化养殖污染监管的通知》（农办牧[2020]23号）中提出“①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②明确还田利用标准规范。畜禽粪污的处理应根据排放去向或利用方式的不同执行相应的标准规范。对配套土地充足的养殖场户，粪污经无害化处理后还田利用具体要求及限量应符合《畜禽粪便无害化处理技术规范》（GB/T36195）和《畜禽粪便还田技术规范》（GB/T25246），配套土地面积应达到《畜禽粪污土地承载力测算技术指南》（以下简称《指南》）要求的最小面积。对配套土地不足的养殖场户，粪污经处理后向环境排放的，应符合《畜禽养殖业污染物排放标准》（GB18596）和地方有关排放标准。用于农田灌溉的，应符合《农田灌溉水质标准》（GB5084）。”</w:t>
      </w:r>
    </w:p>
    <w:p>
      <w:pPr>
        <w:pStyle w:val="32"/>
        <w:adjustRightInd w:val="0"/>
        <w:snapToGrid w:val="0"/>
        <w:rPr>
          <w:rFonts w:hint="default" w:ascii="Times New Roman" w:hAnsi="Times New Roman" w:eastAsia="宋体" w:cs="Times New Roman"/>
          <w:snapToGrid w:val="0"/>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本项目</w:t>
      </w:r>
      <w:r>
        <w:rPr>
          <w:rFonts w:hint="default" w:ascii="Times New Roman" w:hAnsi="Times New Roman" w:eastAsia="宋体" w:cs="Times New Roman"/>
          <w:color w:val="auto"/>
          <w:spacing w:val="0"/>
          <w:w w:val="100"/>
          <w:kern w:val="0"/>
          <w:position w:val="0"/>
          <w:sz w:val="24"/>
          <w:szCs w:val="24"/>
          <w:lang w:eastAsia="zh-CN"/>
        </w:rPr>
        <w:t>牛粪</w:t>
      </w:r>
      <w:r>
        <w:rPr>
          <w:rFonts w:hint="eastAsia" w:cs="Times New Roman"/>
          <w:color w:val="auto"/>
          <w:spacing w:val="0"/>
          <w:w w:val="100"/>
          <w:kern w:val="0"/>
          <w:position w:val="0"/>
          <w:sz w:val="24"/>
          <w:szCs w:val="24"/>
          <w:lang w:eastAsia="zh-CN"/>
        </w:rPr>
        <w:t>直接出售给周边农户，还田利用。厂区废水经污水处理站处理后达到</w:t>
      </w:r>
      <w:r>
        <w:rPr>
          <w:rFonts w:hint="default" w:ascii="Times New Roman" w:hAnsi="Times New Roman" w:eastAsia="宋体" w:cs="Times New Roman"/>
          <w:color w:val="auto"/>
          <w:spacing w:val="0"/>
          <w:w w:val="100"/>
          <w:kern w:val="0"/>
          <w:position w:val="0"/>
          <w:sz w:val="24"/>
          <w:szCs w:val="24"/>
        </w:rPr>
        <w:t>《农田灌溉水质标准》（GB5084）</w:t>
      </w:r>
      <w:r>
        <w:rPr>
          <w:rFonts w:hint="eastAsia" w:cs="Times New Roman"/>
          <w:color w:val="auto"/>
          <w:spacing w:val="0"/>
          <w:w w:val="100"/>
          <w:kern w:val="0"/>
          <w:position w:val="0"/>
          <w:sz w:val="24"/>
          <w:szCs w:val="24"/>
          <w:lang w:eastAsia="zh-CN"/>
        </w:rPr>
        <w:t>后，用于周边农田灌溉，符合《关于进一步明确畜禽粪污还田利用要求强化养殖污染监管的通知》的要求</w:t>
      </w:r>
      <w:r>
        <w:rPr>
          <w:rFonts w:hint="default" w:ascii="Times New Roman" w:hAnsi="Times New Roman" w:eastAsia="宋体" w:cs="Times New Roman"/>
          <w:snapToGrid w:val="0"/>
          <w:color w:val="auto"/>
          <w:spacing w:val="0"/>
          <w:w w:val="100"/>
          <w:kern w:val="0"/>
          <w:position w:val="0"/>
          <w:sz w:val="24"/>
          <w:szCs w:val="24"/>
        </w:rPr>
        <w:t>。</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1.7.2.4</w:t>
      </w:r>
      <w:r>
        <w:rPr>
          <w:rFonts w:hint="default" w:ascii="Times New Roman" w:hAnsi="Times New Roman" w:eastAsia="宋体" w:cs="Times New Roman"/>
          <w:b/>
          <w:color w:val="auto"/>
          <w:spacing w:val="0"/>
          <w:w w:val="100"/>
          <w:kern w:val="0"/>
          <w:position w:val="0"/>
          <w:sz w:val="24"/>
          <w:highlight w:val="none"/>
          <w:lang w:val="zh-CN" w:eastAsia="zh-CN"/>
        </w:rPr>
        <w:t>与《关于做好畜禽规模养殖项目环境影响评价管理工作的通知》符合性分析</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根据《关于做好畜禽规模养殖项目环境影响评价管理工作的通知》，畜禽规模养殖建设项目环境影响评价（以下简称项目环评）应符合以下要求：</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①优化项目选址，合理布置养殖场区</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本项目位于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rPr>
        <w:t>，四周均为</w:t>
      </w:r>
      <w:r>
        <w:rPr>
          <w:rFonts w:hint="default" w:ascii="Times New Roman" w:hAnsi="Times New Roman" w:eastAsia="宋体" w:cs="Times New Roman"/>
          <w:color w:val="auto"/>
          <w:spacing w:val="0"/>
          <w:w w:val="100"/>
          <w:kern w:val="0"/>
          <w:position w:val="0"/>
          <w:sz w:val="24"/>
          <w:szCs w:val="24"/>
          <w:lang w:eastAsia="zh-CN"/>
        </w:rPr>
        <w:t>农田</w:t>
      </w:r>
      <w:r>
        <w:rPr>
          <w:rFonts w:hint="default" w:ascii="Times New Roman" w:hAnsi="Times New Roman" w:eastAsia="宋体" w:cs="Times New Roman"/>
          <w:color w:val="auto"/>
          <w:spacing w:val="0"/>
          <w:w w:val="100"/>
          <w:kern w:val="0"/>
          <w:position w:val="0"/>
          <w:sz w:val="24"/>
          <w:szCs w:val="24"/>
        </w:rPr>
        <w:t>，项目选址符合《畜禽养殖业污染防治技术规范》（HJ/T81-2001）、《畜禽规模养殖污染防治条例》等要求。项目产生的病死</w:t>
      </w:r>
      <w:r>
        <w:rPr>
          <w:rFonts w:hint="default" w:ascii="Times New Roman" w:hAnsi="Times New Roman" w:eastAsia="宋体" w:cs="Times New Roman"/>
          <w:color w:val="auto"/>
          <w:spacing w:val="0"/>
          <w:w w:val="100"/>
          <w:kern w:val="0"/>
          <w:position w:val="0"/>
          <w:sz w:val="24"/>
          <w:szCs w:val="24"/>
          <w:lang w:eastAsia="zh-CN"/>
        </w:rPr>
        <w:t>牛</w:t>
      </w:r>
      <w:r>
        <w:rPr>
          <w:rFonts w:hint="default" w:ascii="Times New Roman" w:hAnsi="Times New Roman" w:eastAsia="宋体" w:cs="Times New Roman"/>
          <w:color w:val="auto"/>
          <w:spacing w:val="0"/>
          <w:w w:val="100"/>
          <w:kern w:val="0"/>
          <w:position w:val="0"/>
          <w:sz w:val="24"/>
          <w:szCs w:val="24"/>
        </w:rPr>
        <w:t>尸体及</w:t>
      </w:r>
      <w:r>
        <w:rPr>
          <w:rFonts w:hint="default" w:ascii="Times New Roman" w:hAnsi="Times New Roman" w:eastAsia="宋体" w:cs="Times New Roman"/>
          <w:color w:val="auto"/>
          <w:spacing w:val="0"/>
          <w:w w:val="100"/>
          <w:kern w:val="0"/>
          <w:position w:val="0"/>
          <w:sz w:val="24"/>
          <w:szCs w:val="24"/>
          <w:lang w:eastAsia="zh-CN"/>
        </w:rPr>
        <w:t>胎盘由</w:t>
      </w:r>
      <w:r>
        <w:rPr>
          <w:rFonts w:hint="default" w:ascii="Times New Roman" w:hAnsi="Times New Roman" w:eastAsia="宋体" w:cs="Times New Roman"/>
          <w:color w:val="auto"/>
          <w:spacing w:val="0"/>
          <w:w w:val="100"/>
          <w:kern w:val="0"/>
          <w:position w:val="0"/>
          <w:sz w:val="24"/>
          <w:szCs w:val="24"/>
          <w:highlight w:val="none"/>
          <w:lang w:eastAsia="zh-CN"/>
        </w:rPr>
        <w:t>防疫部门</w:t>
      </w:r>
      <w:r>
        <w:rPr>
          <w:rFonts w:hint="default" w:ascii="Times New Roman" w:hAnsi="Times New Roman" w:eastAsia="宋体" w:cs="Times New Roman"/>
          <w:color w:val="auto"/>
          <w:spacing w:val="0"/>
          <w:w w:val="100"/>
          <w:kern w:val="0"/>
          <w:position w:val="0"/>
          <w:sz w:val="24"/>
          <w:szCs w:val="24"/>
          <w:highlight w:val="none"/>
        </w:rPr>
        <w:t>专用车辆送往</w:t>
      </w:r>
      <w:r>
        <w:rPr>
          <w:rFonts w:hint="default" w:ascii="Times New Roman" w:hAnsi="Times New Roman" w:eastAsia="宋体" w:cs="Times New Roman"/>
          <w:b w:val="0"/>
          <w:bCs w:val="0"/>
          <w:color w:val="auto"/>
          <w:spacing w:val="0"/>
          <w:w w:val="100"/>
          <w:kern w:val="0"/>
          <w:position w:val="0"/>
          <w:sz w:val="24"/>
          <w:szCs w:val="24"/>
          <w:lang w:val="en-US" w:eastAsia="zh-CN"/>
        </w:rPr>
        <w:t>当地</w:t>
      </w:r>
      <w:r>
        <w:rPr>
          <w:rFonts w:hint="default" w:ascii="Times New Roman" w:hAnsi="Times New Roman" w:eastAsia="宋体" w:cs="Times New Roman"/>
          <w:color w:val="auto"/>
          <w:spacing w:val="0"/>
          <w:w w:val="100"/>
          <w:kern w:val="0"/>
          <w:position w:val="0"/>
          <w:sz w:val="24"/>
          <w:szCs w:val="24"/>
          <w:highlight w:val="none"/>
        </w:rPr>
        <w:t>无害化处置中心处置</w:t>
      </w:r>
      <w:r>
        <w:rPr>
          <w:rFonts w:hint="default" w:ascii="Times New Roman" w:hAnsi="Times New Roman" w:eastAsia="宋体" w:cs="Times New Roman"/>
          <w:color w:val="auto"/>
          <w:spacing w:val="0"/>
          <w:w w:val="100"/>
          <w:kern w:val="0"/>
          <w:position w:val="0"/>
          <w:sz w:val="24"/>
          <w:szCs w:val="24"/>
        </w:rPr>
        <w:t>。</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②加强粪污减量控制，促进畜禽养殖粪污资源化利用</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结合地域、畜种、规模等特点以及地方相关部门制定的畜禽粪污综合利用目标等要求，加强畜禽养殖粪污资源化利用，因地制宜选择经济高效适用的处理利用模式，采取粪污全量收集经厂区堆粪棚临时储存，出售给周边农户还田利用，促进畜禽规模养殖项目“种养结合”绿色发展。</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本项目采用经氨基酸平衡的低蛋白日粮，以减少粪污中氨的排放量，</w:t>
      </w:r>
      <w:r>
        <w:rPr>
          <w:rFonts w:hint="default" w:ascii="Times New Roman" w:hAnsi="Times New Roman" w:eastAsia="宋体" w:cs="Times New Roman"/>
          <w:color w:val="auto"/>
          <w:spacing w:val="0"/>
          <w:w w:val="100"/>
          <w:kern w:val="0"/>
          <w:position w:val="0"/>
          <w:sz w:val="24"/>
          <w:szCs w:val="24"/>
          <w:lang w:eastAsia="zh-CN"/>
        </w:rPr>
        <w:t>牛粪</w:t>
      </w:r>
      <w:r>
        <w:rPr>
          <w:rFonts w:hint="default" w:ascii="Times New Roman" w:hAnsi="Times New Roman" w:eastAsia="宋体" w:cs="Times New Roman"/>
          <w:color w:val="auto"/>
          <w:spacing w:val="0"/>
          <w:w w:val="100"/>
          <w:kern w:val="0"/>
          <w:position w:val="0"/>
          <w:sz w:val="24"/>
          <w:szCs w:val="24"/>
        </w:rPr>
        <w:t>采用人工+机械干清粪工艺进行清理，</w:t>
      </w:r>
      <w:r>
        <w:rPr>
          <w:rFonts w:hint="eastAsia" w:eastAsia="宋体" w:cs="Times New Roman"/>
          <w:color w:val="auto"/>
          <w:spacing w:val="0"/>
          <w:w w:val="100"/>
          <w:kern w:val="0"/>
          <w:position w:val="0"/>
          <w:sz w:val="24"/>
          <w:szCs w:val="24"/>
          <w:lang w:eastAsia="zh-CN"/>
        </w:rPr>
        <w:t>在堆粪棚暂存后直接出售给周边农户，还田利用；</w:t>
      </w:r>
      <w:r>
        <w:rPr>
          <w:rFonts w:hint="default" w:ascii="Times New Roman" w:hAnsi="Times New Roman" w:eastAsia="宋体" w:cs="Times New Roman"/>
          <w:color w:val="auto"/>
          <w:spacing w:val="0"/>
          <w:w w:val="100"/>
          <w:kern w:val="0"/>
          <w:position w:val="0"/>
          <w:sz w:val="24"/>
          <w:szCs w:val="24"/>
        </w:rPr>
        <w:t>废水经</w:t>
      </w:r>
      <w:r>
        <w:rPr>
          <w:rFonts w:hint="default" w:ascii="Times New Roman" w:hAnsi="Times New Roman" w:eastAsia="宋体" w:cs="Times New Roman"/>
          <w:color w:val="auto"/>
          <w:spacing w:val="0"/>
          <w:w w:val="100"/>
          <w:kern w:val="0"/>
          <w:position w:val="0"/>
          <w:sz w:val="24"/>
          <w:szCs w:val="24"/>
          <w:lang w:eastAsia="zh-CN"/>
        </w:rPr>
        <w:t>处理后</w:t>
      </w:r>
      <w:r>
        <w:rPr>
          <w:rFonts w:hint="default" w:ascii="Times New Roman" w:hAnsi="Times New Roman" w:eastAsia="宋体" w:cs="Times New Roman"/>
          <w:color w:val="auto"/>
          <w:spacing w:val="0"/>
          <w:w w:val="100"/>
          <w:kern w:val="0"/>
          <w:position w:val="0"/>
          <w:sz w:val="24"/>
          <w:szCs w:val="24"/>
          <w:highlight w:val="none"/>
          <w:lang w:val="zh-CN"/>
        </w:rPr>
        <w:t>用于</w:t>
      </w:r>
      <w:r>
        <w:rPr>
          <w:rFonts w:hint="eastAsia" w:eastAsia="宋体"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highlight w:val="none"/>
        </w:rPr>
        <w:t>；冬季储存于</w:t>
      </w:r>
      <w:r>
        <w:rPr>
          <w:rFonts w:hint="default" w:ascii="Times New Roman" w:hAnsi="Times New Roman" w:eastAsia="宋体" w:cs="Times New Roman"/>
          <w:color w:val="auto"/>
          <w:spacing w:val="0"/>
          <w:w w:val="100"/>
          <w:kern w:val="0"/>
          <w:position w:val="0"/>
          <w:sz w:val="24"/>
          <w:szCs w:val="24"/>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w:t>
      </w:r>
      <w:r>
        <w:rPr>
          <w:rFonts w:hint="default" w:ascii="Times New Roman" w:hAnsi="Times New Roman" w:eastAsia="宋体" w:cs="Times New Roman"/>
          <w:color w:val="auto"/>
          <w:spacing w:val="0"/>
          <w:w w:val="100"/>
          <w:kern w:val="0"/>
          <w:position w:val="0"/>
          <w:sz w:val="24"/>
          <w:szCs w:val="24"/>
          <w:highlight w:val="none"/>
          <w:lang w:val="en-US" w:eastAsia="zh-CN"/>
        </w:rPr>
        <w:t>总容积16000m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），待春季用于</w:t>
      </w:r>
      <w:r>
        <w:rPr>
          <w:rFonts w:hint="eastAsia" w:eastAsia="宋体"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rPr>
        <w:t>。</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③强化粪污治理措施，做好污染防治</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rPr>
        <w:t>项目采取“雨污分流、清污分流”，建设有污水管网和雨水管</w:t>
      </w:r>
      <w:r>
        <w:rPr>
          <w:rFonts w:hint="default" w:ascii="Times New Roman" w:hAnsi="Times New Roman" w:eastAsia="宋体" w:cs="Times New Roman"/>
          <w:color w:val="auto"/>
          <w:spacing w:val="0"/>
          <w:w w:val="100"/>
          <w:kern w:val="0"/>
          <w:position w:val="0"/>
          <w:sz w:val="24"/>
          <w:szCs w:val="24"/>
          <w:highlight w:val="none"/>
        </w:rPr>
        <w:t>网。</w:t>
      </w:r>
      <w:r>
        <w:rPr>
          <w:rFonts w:hint="default" w:ascii="Times New Roman" w:hAnsi="Times New Roman" w:eastAsia="宋体" w:cs="Times New Roman"/>
          <w:color w:val="auto"/>
          <w:spacing w:val="0"/>
          <w:w w:val="100"/>
          <w:kern w:val="0"/>
          <w:position w:val="0"/>
          <w:sz w:val="24"/>
          <w:szCs w:val="24"/>
          <w:highlight w:val="none"/>
          <w:lang w:eastAsia="zh-CN"/>
        </w:rPr>
        <w:t>项目</w:t>
      </w:r>
      <w:r>
        <w:rPr>
          <w:rFonts w:hint="default" w:ascii="Times New Roman" w:hAnsi="Times New Roman" w:eastAsia="宋体" w:cs="Times New Roman"/>
          <w:color w:val="auto"/>
          <w:spacing w:val="0"/>
          <w:w w:val="100"/>
          <w:kern w:val="0"/>
          <w:position w:val="0"/>
          <w:sz w:val="24"/>
          <w:szCs w:val="24"/>
          <w:highlight w:val="none"/>
        </w:rPr>
        <w:t>废水经自建污水处理站处理后达到《农田灌溉水质标准》（GB5084-2005）中</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旱作</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标准</w:t>
      </w:r>
      <w:r>
        <w:rPr>
          <w:rFonts w:hint="default" w:ascii="Times New Roman" w:hAnsi="Times New Roman" w:eastAsia="宋体" w:cs="Times New Roman"/>
          <w:color w:val="auto"/>
          <w:spacing w:val="0"/>
          <w:w w:val="100"/>
          <w:kern w:val="0"/>
          <w:position w:val="0"/>
          <w:sz w:val="24"/>
          <w:szCs w:val="24"/>
          <w:highlight w:val="none"/>
          <w:lang w:val="zh-CN"/>
        </w:rPr>
        <w:t>，同时达到</w:t>
      </w:r>
      <w:r>
        <w:rPr>
          <w:rFonts w:hint="default" w:ascii="Times New Roman" w:hAnsi="Times New Roman" w:eastAsia="宋体" w:cs="Times New Roman"/>
          <w:color w:val="auto"/>
          <w:spacing w:val="0"/>
          <w:w w:val="100"/>
          <w:kern w:val="0"/>
          <w:position w:val="0"/>
          <w:sz w:val="24"/>
          <w:szCs w:val="24"/>
          <w:highlight w:val="none"/>
        </w:rPr>
        <w:t>《畜禽养殖业污染物排放标准》（GB18596-2001）后，</w:t>
      </w:r>
      <w:r>
        <w:rPr>
          <w:rFonts w:hint="default" w:ascii="Times New Roman" w:hAnsi="Times New Roman" w:eastAsia="宋体" w:cs="Times New Roman"/>
          <w:color w:val="auto"/>
          <w:spacing w:val="0"/>
          <w:w w:val="100"/>
          <w:kern w:val="0"/>
          <w:position w:val="0"/>
          <w:sz w:val="24"/>
          <w:szCs w:val="24"/>
          <w:highlight w:val="none"/>
          <w:lang w:val="zh-CN"/>
        </w:rPr>
        <w:t>用于</w:t>
      </w:r>
      <w:r>
        <w:rPr>
          <w:rFonts w:hint="eastAsia" w:eastAsia="宋体"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highlight w:val="none"/>
        </w:rPr>
        <w:t>；冬季储存于</w:t>
      </w:r>
      <w:r>
        <w:rPr>
          <w:rFonts w:hint="default" w:ascii="Times New Roman" w:hAnsi="Times New Roman" w:eastAsia="宋体" w:cs="Times New Roman"/>
          <w:color w:val="auto"/>
          <w:spacing w:val="0"/>
          <w:w w:val="100"/>
          <w:kern w:val="0"/>
          <w:position w:val="0"/>
          <w:sz w:val="24"/>
          <w:szCs w:val="24"/>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w:t>
      </w:r>
      <w:r>
        <w:rPr>
          <w:rFonts w:hint="default" w:ascii="Times New Roman" w:hAnsi="Times New Roman" w:eastAsia="宋体" w:cs="Times New Roman"/>
          <w:color w:val="auto"/>
          <w:spacing w:val="0"/>
          <w:w w:val="100"/>
          <w:kern w:val="0"/>
          <w:position w:val="0"/>
          <w:sz w:val="24"/>
          <w:szCs w:val="24"/>
          <w:highlight w:val="none"/>
          <w:lang w:val="en-US" w:eastAsia="zh-CN"/>
        </w:rPr>
        <w:t>总容积16000m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），待春季用于</w:t>
      </w:r>
      <w:r>
        <w:rPr>
          <w:rFonts w:hint="eastAsia" w:eastAsia="宋体"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highlight w:val="none"/>
        </w:rPr>
        <w:t>，</w:t>
      </w:r>
      <w:r>
        <w:rPr>
          <w:rFonts w:hint="default" w:ascii="Times New Roman" w:hAnsi="Times New Roman" w:eastAsia="宋体" w:cs="Times New Roman"/>
          <w:color w:val="auto"/>
          <w:spacing w:val="0"/>
          <w:w w:val="100"/>
          <w:kern w:val="0"/>
          <w:position w:val="0"/>
          <w:sz w:val="24"/>
          <w:szCs w:val="24"/>
          <w:highlight w:val="none"/>
          <w:lang w:eastAsia="zh-CN"/>
        </w:rPr>
        <w:t>牛</w:t>
      </w:r>
      <w:r>
        <w:rPr>
          <w:rFonts w:hint="default" w:ascii="Times New Roman" w:hAnsi="Times New Roman" w:eastAsia="宋体" w:cs="Times New Roman"/>
          <w:color w:val="auto"/>
          <w:spacing w:val="0"/>
          <w:w w:val="100"/>
          <w:kern w:val="0"/>
          <w:position w:val="0"/>
          <w:sz w:val="24"/>
          <w:szCs w:val="24"/>
          <w:highlight w:val="none"/>
        </w:rPr>
        <w:t>粪</w:t>
      </w:r>
      <w:r>
        <w:rPr>
          <w:rFonts w:hint="eastAsia" w:eastAsia="宋体" w:cs="Times New Roman"/>
          <w:color w:val="auto"/>
          <w:spacing w:val="0"/>
          <w:w w:val="100"/>
          <w:kern w:val="0"/>
          <w:position w:val="0"/>
          <w:sz w:val="24"/>
          <w:szCs w:val="24"/>
          <w:highlight w:val="none"/>
          <w:lang w:eastAsia="zh-CN"/>
        </w:rPr>
        <w:t>清理</w:t>
      </w:r>
      <w:r>
        <w:rPr>
          <w:rFonts w:hint="eastAsia" w:eastAsia="宋体" w:cs="Times New Roman"/>
          <w:color w:val="auto"/>
          <w:spacing w:val="0"/>
          <w:w w:val="100"/>
          <w:kern w:val="0"/>
          <w:position w:val="0"/>
          <w:sz w:val="24"/>
          <w:szCs w:val="24"/>
          <w:lang w:eastAsia="zh-CN"/>
        </w:rPr>
        <w:t>暂存于堆粪棚，直接出售给周边农户，还田利用</w:t>
      </w:r>
      <w:r>
        <w:rPr>
          <w:rFonts w:hint="default" w:ascii="Times New Roman" w:hAnsi="Times New Roman" w:eastAsia="宋体" w:cs="Times New Roman"/>
          <w:color w:val="auto"/>
          <w:spacing w:val="0"/>
          <w:w w:val="100"/>
          <w:kern w:val="0"/>
          <w:position w:val="0"/>
          <w:sz w:val="24"/>
          <w:szCs w:val="24"/>
          <w:highlight w:val="none"/>
        </w:rPr>
        <w:t>。</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④落实环评信息公开要求，发挥公众参与的监督作用</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建设单位在项目环评报告书报送审批前，应采取适当形式，遵循依法、有序、公开、便利的原则，公开征求意见并对真实性和结果负责。</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地方生态环境部门应按照相关要求，主动公开项目环评报告书受理情况、拟作出的审批意见和审批情况，保障公众环境保护知情权、参与权和监督权。强化对建设单位的监督约束，落实建设项目环评信息的全过程、全覆盖公开，确保公众能够方便获取建设项目环评信息。</w:t>
      </w:r>
    </w:p>
    <w:p>
      <w:pPr>
        <w:pStyle w:val="36"/>
        <w:adjustRightInd w:val="0"/>
        <w:snapToGrid w:val="0"/>
        <w:spacing w:line="360" w:lineRule="auto"/>
        <w:jc w:val="both"/>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在项目环评编制过程中，建设单位严格按照《环境影响评价公众参与办法》对本项目基本情况及项目环境影响评价报告书进行了公示。</w:t>
      </w:r>
    </w:p>
    <w:p>
      <w:pPr>
        <w:pStyle w:val="32"/>
        <w:adjustRightInd w:val="0"/>
        <w:snapToGrid w:val="0"/>
        <w:rPr>
          <w:rFonts w:hint="default" w:ascii="Times New Roman" w:hAnsi="Times New Roman" w:eastAsia="宋体" w:cs="Times New Roman"/>
          <w:bCs/>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rPr>
        <w:t>综上所述，本项目建设符合《关于做好畜禽规模养殖项目环境影响评价管理工作的通知》要求</w:t>
      </w:r>
      <w:r>
        <w:rPr>
          <w:rFonts w:hint="default" w:ascii="Times New Roman" w:hAnsi="Times New Roman" w:eastAsia="宋体" w:cs="Times New Roman"/>
          <w:bCs/>
          <w:color w:val="auto"/>
          <w:spacing w:val="0"/>
          <w:w w:val="100"/>
          <w:kern w:val="0"/>
          <w:position w:val="0"/>
          <w:sz w:val="24"/>
          <w:szCs w:val="24"/>
          <w:highlight w:val="none"/>
          <w:lang w:val="en-US" w:eastAsia="zh-CN" w:bidi="ar-SA"/>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44" w:name="_Toc30323"/>
      <w:bookmarkStart w:id="445" w:name="_Toc4155"/>
      <w:bookmarkStart w:id="446" w:name="_Toc20712"/>
      <w:r>
        <w:rPr>
          <w:rFonts w:hint="default" w:ascii="Times New Roman" w:hAnsi="Times New Roman" w:eastAsia="宋体" w:cs="Times New Roman"/>
          <w:snapToGrid w:val="0"/>
          <w:color w:val="auto"/>
          <w:spacing w:val="0"/>
          <w:w w:val="100"/>
          <w:kern w:val="0"/>
          <w:position w:val="0"/>
          <w:sz w:val="28"/>
          <w:szCs w:val="28"/>
          <w:highlight w:val="none"/>
          <w:lang w:val="en-US" w:eastAsia="zh-CN"/>
        </w:rPr>
        <w:t>1.7.3“三线一单”符合性分析</w:t>
      </w:r>
      <w:bookmarkEnd w:id="444"/>
      <w:bookmarkEnd w:id="445"/>
      <w:bookmarkEnd w:id="446"/>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szCs w:val="22"/>
          <w:highlight w:val="none"/>
          <w:lang w:val="zh-CN"/>
        </w:rPr>
        <w:t>（</w:t>
      </w:r>
      <w:r>
        <w:rPr>
          <w:rFonts w:hint="default" w:ascii="Times New Roman" w:hAnsi="Times New Roman" w:eastAsia="宋体" w:cs="Times New Roman"/>
          <w:color w:val="auto"/>
          <w:spacing w:val="0"/>
          <w:w w:val="100"/>
          <w:kern w:val="0"/>
          <w:position w:val="0"/>
          <w:sz w:val="24"/>
          <w:szCs w:val="22"/>
          <w:highlight w:val="none"/>
          <w:lang w:val="en-US" w:eastAsia="zh-CN"/>
        </w:rPr>
        <w:t>1</w:t>
      </w:r>
      <w:r>
        <w:rPr>
          <w:rFonts w:hint="default" w:ascii="Times New Roman" w:hAnsi="Times New Roman" w:eastAsia="宋体" w:cs="Times New Roman"/>
          <w:color w:val="auto"/>
          <w:spacing w:val="0"/>
          <w:w w:val="100"/>
          <w:kern w:val="0"/>
          <w:position w:val="0"/>
          <w:sz w:val="24"/>
          <w:szCs w:val="22"/>
          <w:highlight w:val="none"/>
          <w:lang w:val="zh-CN"/>
        </w:rPr>
        <w:t>）生态保护红线符合性分析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根据自治区人民政府文件《关于发布宁夏回族自治区生态保护红线的通知》（宁政发〔2018〕23号），宁夏回族自治区生态保护红线总面积12863.77km</w:t>
      </w:r>
      <w:r>
        <w:rPr>
          <w:rFonts w:hint="default" w:ascii="Times New Roman" w:hAnsi="Times New Roman" w:eastAsia="宋体" w:cs="Times New Roman"/>
          <w:color w:val="auto"/>
          <w:spacing w:val="0"/>
          <w:w w:val="100"/>
          <w:kern w:val="0"/>
          <w:position w:val="0"/>
          <w:sz w:val="24"/>
          <w:szCs w:val="24"/>
          <w:vertAlign w:val="superscript"/>
        </w:rPr>
        <w:t>2</w:t>
      </w:r>
      <w:r>
        <w:rPr>
          <w:rFonts w:hint="default" w:ascii="Times New Roman" w:hAnsi="Times New Roman" w:eastAsia="宋体" w:cs="Times New Roman"/>
          <w:color w:val="auto"/>
          <w:spacing w:val="0"/>
          <w:w w:val="100"/>
          <w:kern w:val="0"/>
          <w:position w:val="0"/>
          <w:sz w:val="24"/>
          <w:szCs w:val="24"/>
        </w:rPr>
        <w:t>，包括水源涵养、生物多样性维护、水土保持、防风固沙、水土流失控制等5种生态功能类型、9个片区，构成了“三屏一带五区”为主的生态保护红线空间格局。其中，“三屏”为六盘山生态屏障、贺兰山生态屏障、罗山生态屏障，“一带”为黄河岸线生态廊道，“五区”为东部毛乌素沙地防风固沙区、西部腾格里沙漠边缘防风固沙区、中部干旱带水土流失控制区、东南黄土高原丘陵水土保持区、西南黄土高原丘陵水土保持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pacing w:val="0"/>
          <w:w w:val="100"/>
          <w:kern w:val="0"/>
          <w:position w:val="0"/>
          <w:sz w:val="24"/>
          <w:szCs w:val="24"/>
          <w:lang w:eastAsia="zh-CN"/>
        </w:rPr>
      </w:pPr>
      <w:r>
        <w:rPr>
          <w:rFonts w:hint="default" w:ascii="Times New Roman" w:hAnsi="Times New Roman" w:eastAsia="宋体" w:cs="Times New Roman"/>
          <w:color w:val="auto"/>
          <w:spacing w:val="0"/>
          <w:w w:val="100"/>
          <w:kern w:val="0"/>
          <w:position w:val="0"/>
          <w:sz w:val="24"/>
          <w:szCs w:val="24"/>
        </w:rPr>
        <w:t>本项目位于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rPr>
        <w:t>，不在宁夏回族自治区生态红线保护范围内，因此，项目厂址与生态保护红线划定方案是相符的</w:t>
      </w:r>
      <w:r>
        <w:rPr>
          <w:rFonts w:hint="default" w:ascii="Times New Roman" w:hAnsi="Times New Roman" w:cs="Times New Roman"/>
          <w:color w:val="auto"/>
          <w:spacing w:val="0"/>
          <w:w w:val="100"/>
          <w:kern w:val="0"/>
          <w:position w:val="0"/>
          <w:sz w:val="24"/>
          <w:szCs w:val="24"/>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本项目与宁夏回族自治区生态保护红线分布图位置关系图1.7-</w:t>
      </w:r>
      <w:r>
        <w:rPr>
          <w:rFonts w:hint="eastAsia" w:ascii="Times New Roman" w:hAnsi="Times New Roman" w:cs="Times New Roman"/>
          <w:color w:val="auto"/>
          <w:spacing w:val="0"/>
          <w:w w:val="100"/>
          <w:kern w:val="0"/>
          <w:position w:val="0"/>
          <w:sz w:val="24"/>
          <w:szCs w:val="24"/>
          <w:lang w:val="en-US" w:eastAsia="zh-CN"/>
        </w:rPr>
        <w:t>1</w:t>
      </w:r>
      <w:r>
        <w:rPr>
          <w:rFonts w:hint="default" w:ascii="Times New Roman" w:hAnsi="Times New Roman" w:eastAsia="宋体" w:cs="Times New Roman"/>
          <w:color w:val="auto"/>
          <w:spacing w:val="0"/>
          <w:w w:val="100"/>
          <w:kern w:val="0"/>
          <w:position w:val="0"/>
          <w:sz w:val="24"/>
          <w:szCs w:val="24"/>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lang w:eastAsia="zh-CN"/>
        </w:rPr>
      </w:pPr>
      <w:r>
        <w:rPr>
          <w:rFonts w:hint="default" w:ascii="Times New Roman" w:hAnsi="Times New Roman" w:cs="Times New Roman"/>
          <w:color w:val="auto"/>
          <w:spacing w:val="0"/>
          <w:w w:val="100"/>
          <w:kern w:val="0"/>
          <w:position w:val="0"/>
          <w:sz w:val="24"/>
          <w:szCs w:val="24"/>
          <w:lang w:eastAsia="zh-CN"/>
        </w:rPr>
        <w:t>根据《吴忠市人民政府关于实施“三线一单”生态环境分区管控的意见》（吴政规发〔2021〕2号）中附件《吴忠市“三线一单”图集—生态空间图》，本项目不在生态保护红线范围内，也不属于一般生态空间，项目的建设符合吴忠市“三线一单”生态环境分区管控的要求。</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green"/>
          <w:lang w:val="zh-CN"/>
        </w:rPr>
      </w:pPr>
      <w:r>
        <w:rPr>
          <w:rFonts w:hint="default" w:ascii="Times New Roman" w:hAnsi="Times New Roman" w:eastAsia="宋体" w:cs="Times New Roman"/>
          <w:color w:val="auto"/>
          <w:spacing w:val="0"/>
          <w:w w:val="100"/>
          <w:kern w:val="0"/>
          <w:position w:val="0"/>
          <w:sz w:val="24"/>
          <w:szCs w:val="22"/>
          <w:highlight w:val="none"/>
          <w:lang w:val="zh-CN"/>
        </w:rPr>
        <w:t>本项目与</w:t>
      </w:r>
      <w:r>
        <w:rPr>
          <w:rFonts w:hint="default" w:ascii="Times New Roman" w:hAnsi="Times New Roman" w:cs="Times New Roman"/>
          <w:color w:val="auto"/>
          <w:spacing w:val="0"/>
          <w:w w:val="100"/>
          <w:kern w:val="0"/>
          <w:position w:val="0"/>
          <w:sz w:val="24"/>
          <w:szCs w:val="24"/>
          <w:lang w:eastAsia="zh-CN"/>
        </w:rPr>
        <w:t>吴忠市“三线一单”生态环境管控分区</w:t>
      </w:r>
      <w:r>
        <w:rPr>
          <w:rFonts w:hint="default" w:ascii="Times New Roman" w:hAnsi="Times New Roman" w:eastAsia="宋体" w:cs="Times New Roman"/>
          <w:color w:val="auto"/>
          <w:spacing w:val="0"/>
          <w:w w:val="100"/>
          <w:kern w:val="0"/>
          <w:position w:val="0"/>
          <w:sz w:val="24"/>
          <w:szCs w:val="22"/>
          <w:highlight w:val="none"/>
          <w:lang w:val="zh-CN"/>
        </w:rPr>
        <w:t>图位置关系图1.7-</w:t>
      </w:r>
      <w:r>
        <w:rPr>
          <w:rFonts w:hint="eastAsia" w:ascii="Times New Roman" w:hAnsi="Times New Roman" w:cs="Times New Roman"/>
          <w:color w:val="auto"/>
          <w:spacing w:val="0"/>
          <w:w w:val="100"/>
          <w:kern w:val="0"/>
          <w:position w:val="0"/>
          <w:sz w:val="24"/>
          <w:szCs w:val="22"/>
          <w:highlight w:val="none"/>
          <w:lang w:val="en-US" w:eastAsia="zh-CN"/>
        </w:rPr>
        <w:t>2、图1.7-3</w:t>
      </w:r>
      <w:r>
        <w:rPr>
          <w:rFonts w:hint="default" w:ascii="Times New Roman" w:hAnsi="Times New Roman" w:eastAsia="宋体" w:cs="Times New Roman"/>
          <w:color w:val="auto"/>
          <w:spacing w:val="0"/>
          <w:w w:val="100"/>
          <w:kern w:val="0"/>
          <w:position w:val="0"/>
          <w:sz w:val="24"/>
          <w:szCs w:val="22"/>
          <w:highlight w:val="none"/>
          <w:lang w:val="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2</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szCs w:val="22"/>
          <w:highlight w:val="none"/>
          <w:lang w:val="zh-CN"/>
        </w:rPr>
        <w:t>环境质量底线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本项目位于吴忠市</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rPr>
        <w:t>，根据《2020宁夏生态环境质量状况》公开的区域环境空气质量数据可以看出，</w:t>
      </w:r>
      <w:r>
        <w:rPr>
          <w:rFonts w:hint="default" w:ascii="Times New Roman" w:hAnsi="Times New Roman" w:eastAsia="宋体" w:cs="Times New Roman"/>
          <w:color w:val="auto"/>
          <w:spacing w:val="0"/>
          <w:w w:val="100"/>
          <w:kern w:val="0"/>
          <w:position w:val="0"/>
          <w:sz w:val="24"/>
          <w:szCs w:val="24"/>
          <w:lang w:eastAsia="zh-CN"/>
        </w:rPr>
        <w:t>吴忠市</w:t>
      </w:r>
      <w:r>
        <w:rPr>
          <w:rFonts w:hint="default" w:ascii="Times New Roman" w:hAnsi="Times New Roman" w:eastAsia="宋体" w:cs="Times New Roman"/>
          <w:color w:val="auto"/>
          <w:spacing w:val="0"/>
          <w:w w:val="100"/>
          <w:kern w:val="0"/>
          <w:position w:val="0"/>
          <w:sz w:val="24"/>
          <w:szCs w:val="24"/>
          <w:lang w:val="en-US" w:eastAsia="zh-CN"/>
        </w:rPr>
        <w:t>2020年</w:t>
      </w:r>
      <w:r>
        <w:rPr>
          <w:rFonts w:hint="default" w:ascii="Times New Roman" w:hAnsi="Times New Roman" w:eastAsia="宋体" w:cs="Times New Roman"/>
          <w:color w:val="auto"/>
          <w:spacing w:val="0"/>
          <w:w w:val="100"/>
          <w:kern w:val="0"/>
          <w:position w:val="0"/>
          <w:sz w:val="24"/>
          <w:szCs w:val="24"/>
        </w:rPr>
        <w:t>SO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、NO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、年均值、O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rPr>
        <w:t>日最大8h滑动平均值的第90百分位数、CO24h平均第95百分位数均满足《环境空气质量标准》（GB3095-2012及2018年修改单）中二级标准要求，PM</w:t>
      </w:r>
      <w:r>
        <w:rPr>
          <w:rFonts w:hint="default" w:ascii="Times New Roman" w:hAnsi="Times New Roman" w:eastAsia="宋体" w:cs="Times New Roman"/>
          <w:color w:val="auto"/>
          <w:spacing w:val="0"/>
          <w:w w:val="100"/>
          <w:kern w:val="0"/>
          <w:position w:val="0"/>
          <w:sz w:val="24"/>
          <w:szCs w:val="24"/>
          <w:vertAlign w:val="subscript"/>
          <w:lang w:val="en-US" w:eastAsia="zh-CN"/>
        </w:rPr>
        <w:t>10</w:t>
      </w:r>
      <w:r>
        <w:rPr>
          <w:rFonts w:hint="default" w:ascii="Times New Roman" w:hAnsi="Times New Roman" w:eastAsia="宋体" w:cs="Times New Roman"/>
          <w:color w:val="auto"/>
          <w:spacing w:val="0"/>
          <w:w w:val="100"/>
          <w:kern w:val="0"/>
          <w:position w:val="0"/>
          <w:sz w:val="24"/>
          <w:szCs w:val="24"/>
        </w:rPr>
        <w:t>、PM</w:t>
      </w:r>
      <w:r>
        <w:rPr>
          <w:rFonts w:hint="default" w:ascii="Times New Roman" w:hAnsi="Times New Roman" w:eastAsia="宋体" w:cs="Times New Roman"/>
          <w:color w:val="auto"/>
          <w:spacing w:val="0"/>
          <w:w w:val="100"/>
          <w:kern w:val="0"/>
          <w:position w:val="0"/>
          <w:sz w:val="24"/>
          <w:szCs w:val="24"/>
          <w:vertAlign w:val="subscript"/>
        </w:rPr>
        <w:t>2.5</w:t>
      </w:r>
      <w:r>
        <w:rPr>
          <w:rFonts w:hint="default" w:ascii="Times New Roman" w:hAnsi="Times New Roman" w:eastAsia="宋体" w:cs="Times New Roman"/>
          <w:color w:val="auto"/>
          <w:spacing w:val="0"/>
          <w:w w:val="100"/>
          <w:kern w:val="0"/>
          <w:position w:val="0"/>
          <w:sz w:val="24"/>
          <w:szCs w:val="24"/>
        </w:rPr>
        <w:t>超过《环境空气质量标准》（GB3095-2012）二级标准，按照《环境影响评价技术导则 大气环境》（HJ2.2-2018）对项目所在区达标判断结果可知，本项目所在区为不达标区。</w:t>
      </w:r>
      <w:r>
        <w:rPr>
          <w:rFonts w:hint="default" w:ascii="Times New Roman" w:hAnsi="Times New Roman" w:eastAsia="宋体" w:cs="Times New Roman"/>
          <w:color w:val="auto"/>
          <w:spacing w:val="0"/>
          <w:w w:val="100"/>
          <w:kern w:val="0"/>
          <w:position w:val="0"/>
          <w:sz w:val="24"/>
          <w:szCs w:val="24"/>
          <w:lang w:val="en-US" w:eastAsia="zh-CN" w:bidi="ar"/>
        </w:rPr>
        <w:t>根据本项目环境现状监测结果，项目评价范围内H</w:t>
      </w:r>
      <w:r>
        <w:rPr>
          <w:rFonts w:hint="default" w:ascii="Times New Roman" w:hAnsi="Times New Roman" w:eastAsia="宋体" w:cs="Times New Roman"/>
          <w:color w:val="auto"/>
          <w:spacing w:val="0"/>
          <w:w w:val="100"/>
          <w:kern w:val="0"/>
          <w:position w:val="0"/>
          <w:sz w:val="24"/>
          <w:szCs w:val="24"/>
          <w:vertAlign w:val="subscript"/>
          <w:lang w:val="en-US" w:eastAsia="zh-CN" w:bidi="ar"/>
        </w:rPr>
        <w:t>2</w:t>
      </w:r>
      <w:r>
        <w:rPr>
          <w:rFonts w:hint="default" w:ascii="Times New Roman" w:hAnsi="Times New Roman" w:eastAsia="宋体" w:cs="Times New Roman"/>
          <w:color w:val="auto"/>
          <w:spacing w:val="0"/>
          <w:w w:val="100"/>
          <w:kern w:val="0"/>
          <w:position w:val="0"/>
          <w:sz w:val="24"/>
          <w:szCs w:val="24"/>
          <w:lang w:val="en-US" w:eastAsia="zh-CN" w:bidi="ar"/>
        </w:rPr>
        <w:t>S、NH</w:t>
      </w:r>
      <w:r>
        <w:rPr>
          <w:rFonts w:hint="default" w:ascii="Times New Roman" w:hAnsi="Times New Roman" w:eastAsia="宋体" w:cs="Times New Roman"/>
          <w:color w:val="auto"/>
          <w:spacing w:val="0"/>
          <w:w w:val="100"/>
          <w:kern w:val="0"/>
          <w:position w:val="0"/>
          <w:sz w:val="24"/>
          <w:szCs w:val="24"/>
          <w:vertAlign w:val="subscript"/>
          <w:lang w:val="en-US" w:eastAsia="zh-CN" w:bidi="ar"/>
        </w:rPr>
        <w:t>3</w:t>
      </w:r>
      <w:r>
        <w:rPr>
          <w:rFonts w:hint="default" w:ascii="Times New Roman" w:hAnsi="Times New Roman" w:eastAsia="宋体" w:cs="Times New Roman"/>
          <w:color w:val="auto"/>
          <w:spacing w:val="0"/>
          <w:w w:val="100"/>
          <w:kern w:val="0"/>
          <w:position w:val="0"/>
          <w:sz w:val="24"/>
          <w:szCs w:val="24"/>
          <w:lang w:val="en-US" w:eastAsia="zh-CN" w:bidi="ar"/>
        </w:rPr>
        <w:t>符合《环境影响评价技术导则 大气环境》（HJ2.2-2018）附录D其他污染物空气质量浓度参考限值</w:t>
      </w:r>
      <w:r>
        <w:rPr>
          <w:rFonts w:hint="eastAsia" w:ascii="Times New Roman" w:hAnsi="Times New Roman" w:cs="Times New Roman"/>
          <w:color w:val="auto"/>
          <w:spacing w:val="0"/>
          <w:w w:val="100"/>
          <w:kern w:val="0"/>
          <w:positio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eastAsia" w:ascii="Times New Roman" w:hAnsi="Times New Roman" w:cs="Times New Roman"/>
          <w:color w:val="auto"/>
          <w:spacing w:val="0"/>
          <w:w w:val="100"/>
          <w:kern w:val="0"/>
          <w:position w:val="0"/>
          <w:sz w:val="24"/>
          <w:szCs w:val="24"/>
          <w:lang w:val="en-US" w:eastAsia="zh-CN" w:bidi="ar"/>
        </w:rPr>
        <w:t>本项目所在区域主要地表水体为苦水河，根据</w:t>
      </w:r>
      <w:r>
        <w:rPr>
          <w:rFonts w:hint="default" w:ascii="Times New Roman" w:hAnsi="Times New Roman" w:eastAsia="宋体" w:cs="Times New Roman"/>
          <w:color w:val="auto"/>
          <w:spacing w:val="0"/>
          <w:w w:val="100"/>
          <w:kern w:val="0"/>
          <w:position w:val="0"/>
          <w:sz w:val="24"/>
          <w:szCs w:val="24"/>
          <w:lang w:val="en-US" w:eastAsia="zh-CN" w:bidi="ar"/>
        </w:rPr>
        <w:t>吴忠市环境监测站2019年苦水河孙家滩断面的监测数据</w:t>
      </w:r>
      <w:r>
        <w:rPr>
          <w:rFonts w:hint="eastAsia" w:ascii="Times New Roman" w:hAnsi="Times New Roman" w:cs="Times New Roman"/>
          <w:color w:val="auto"/>
          <w:spacing w:val="0"/>
          <w:w w:val="100"/>
          <w:kern w:val="0"/>
          <w:position w:val="0"/>
          <w:sz w:val="24"/>
          <w:szCs w:val="24"/>
          <w:lang w:val="en-US" w:eastAsia="zh-CN" w:bidi="ar"/>
        </w:rPr>
        <w:t>，</w:t>
      </w:r>
      <w:r>
        <w:rPr>
          <w:rFonts w:hint="default" w:ascii="Times New Roman" w:hAnsi="Times New Roman" w:eastAsia="宋体" w:cs="Times New Roman"/>
          <w:color w:val="auto"/>
          <w:spacing w:val="0"/>
          <w:w w:val="100"/>
          <w:kern w:val="0"/>
          <w:position w:val="0"/>
          <w:sz w:val="24"/>
          <w:szCs w:val="24"/>
          <w:lang w:val="en-US" w:eastAsia="zh-CN" w:bidi="ar"/>
        </w:rPr>
        <w:t>苦水河孙家滩断面水质单因子指数中氨氮、挥发酚、高锰酸盐指数、化 学需氧量、总氮、氟化物、硒、阴离子表面活性剂等均有超标，说明苦水河该断面水质超过《地表水环境质量标准》（GB3838-2002）中的Ⅳ类标准要求。高锰酸盐指数、阴离子表面活性剂、化学需氧量、总氮和氨氮超标主要是接纳上游沿线居民生活污水以及开发区污水处 理厂排污所致，氟化物、硒超标主要是区域地质所致河床岩土中含氟化物、盐类较多，水体溶解河床岩土中的氟化物和盐类，加之区域内蒸发强烈，河流补水较少，导致氟化物、硒本底值较高，出现超标现象。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lang w:val="en-US" w:eastAsia="zh-CN" w:bidi="ar"/>
        </w:rPr>
        <w:t>地下水现状监测项</w:t>
      </w:r>
      <w:r>
        <w:rPr>
          <w:rFonts w:hint="eastAsia" w:ascii="Times New Roman" w:hAnsi="Times New Roman" w:cs="Times New Roman"/>
          <w:color w:val="auto"/>
          <w:spacing w:val="0"/>
          <w:w w:val="100"/>
          <w:kern w:val="0"/>
          <w:position w:val="0"/>
          <w:sz w:val="24"/>
          <w:szCs w:val="24"/>
          <w:lang w:val="en-US" w:eastAsia="zh-CN" w:bidi="ar"/>
        </w:rPr>
        <w:t>不能</w:t>
      </w:r>
      <w:r>
        <w:rPr>
          <w:rFonts w:hint="default" w:ascii="Times New Roman" w:hAnsi="Times New Roman" w:eastAsia="宋体" w:cs="Times New Roman"/>
          <w:color w:val="auto"/>
          <w:spacing w:val="0"/>
          <w:w w:val="100"/>
          <w:kern w:val="0"/>
          <w:position w:val="0"/>
          <w:sz w:val="24"/>
          <w:szCs w:val="24"/>
          <w:lang w:val="en-US" w:eastAsia="zh-CN" w:bidi="ar"/>
        </w:rPr>
        <w:t>满足《地下水质量标准》（GB/T14848-2017）中的Ⅲ类标准要求；声环境质量现状监测昼夜间噪声值均满足《声环境质量标准》中的1类区标准限值的要求；土壤环境各监测点各项指标均能达到《土壤环境质量农用地土壤污染风险管控标准》（试行）(GB15618-2018）限值的要求，土壤环境质量良好，同时本项目已采取相应的土壤污染防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4"/>
          <w:lang w:val="en-US" w:eastAsia="zh-CN" w:bidi="ar"/>
        </w:rPr>
        <w:t>本项目运营后会产生一定的污染物，如臭气污染源的牛舍、堆粪场、粪污固废、生产设备运行噪声等，但在采取相应的污染防治措施后，各类污染物的排放不会对周边环境造成不良影响，即不会改变区域环境功能区质量要求，能维持环境功能区质量现状，因此本项目的建设符合环境质量底线要求。</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32"/>
          <w:highlight w:val="none"/>
          <w:lang w:eastAsia="zh-CN"/>
        </w:rPr>
      </w:pPr>
      <w:r>
        <w:rPr>
          <w:rFonts w:hint="default" w:ascii="Times New Roman" w:hAnsi="Times New Roman" w:eastAsia="宋体" w:cs="Times New Roman"/>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szCs w:val="32"/>
          <w:highlight w:val="none"/>
          <w:lang w:val="en-US" w:eastAsia="zh-CN"/>
        </w:rPr>
        <w:t>3</w:t>
      </w:r>
      <w:r>
        <w:rPr>
          <w:rFonts w:hint="default" w:ascii="Times New Roman" w:hAnsi="Times New Roman" w:eastAsia="宋体" w:cs="Times New Roman"/>
          <w:color w:val="auto"/>
          <w:spacing w:val="0"/>
          <w:w w:val="100"/>
          <w:kern w:val="0"/>
          <w:position w:val="0"/>
          <w:sz w:val="24"/>
          <w:szCs w:val="32"/>
          <w:highlight w:val="none"/>
          <w:lang w:eastAsia="zh-CN"/>
        </w:rPr>
        <w:t>）资源利用上线</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资源是环境的载体，</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资源利用上线</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地区能源、水、土地等资源消耗不得突破的</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天花板</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4"/>
          <w:szCs w:val="24"/>
        </w:rPr>
        <w:t>本项目运营期用水主要为</w:t>
      </w:r>
      <w:r>
        <w:rPr>
          <w:rFonts w:hint="default" w:ascii="Times New Roman" w:hAnsi="Times New Roman" w:eastAsia="宋体" w:cs="Times New Roman"/>
          <w:color w:val="auto"/>
          <w:spacing w:val="0"/>
          <w:w w:val="100"/>
          <w:kern w:val="0"/>
          <w:position w:val="0"/>
          <w:sz w:val="24"/>
          <w:szCs w:val="24"/>
          <w:lang w:val="zh-CN"/>
        </w:rPr>
        <w:t>牛饮用水、清洗用水、牛降温用水、生活用水及绿化用水</w:t>
      </w:r>
      <w:r>
        <w:rPr>
          <w:rFonts w:hint="default" w:ascii="Times New Roman" w:hAnsi="Times New Roman" w:eastAsia="宋体" w:cs="Times New Roman"/>
          <w:color w:val="auto"/>
          <w:spacing w:val="0"/>
          <w:w w:val="100"/>
          <w:kern w:val="0"/>
          <w:position w:val="0"/>
          <w:sz w:val="24"/>
          <w:szCs w:val="24"/>
        </w:rPr>
        <w:t>，总用水量</w:t>
      </w:r>
      <w:r>
        <w:rPr>
          <w:rFonts w:hint="default" w:ascii="Times New Roman" w:hAnsi="Times New Roman" w:cs="Times New Roman"/>
          <w:color w:val="auto"/>
          <w:spacing w:val="0"/>
          <w:w w:val="100"/>
          <w:kern w:val="0"/>
          <w:position w:val="0"/>
          <w:sz w:val="24"/>
          <w:szCs w:val="24"/>
          <w:lang w:val="en-US" w:eastAsia="zh-CN"/>
        </w:rPr>
        <w:t>177321</w:t>
      </w:r>
      <w:r>
        <w:rPr>
          <w:rFonts w:hint="default" w:ascii="Times New Roman" w:hAnsi="Times New Roman" w:eastAsia="宋体" w:cs="Times New Roman"/>
          <w:color w:val="auto"/>
          <w:spacing w:val="0"/>
          <w:w w:val="100"/>
          <w:kern w:val="0"/>
          <w:position w:val="0"/>
          <w:sz w:val="24"/>
          <w:szCs w:val="24"/>
        </w:rPr>
        <w:t>m</w:t>
      </w:r>
      <w:r>
        <w:rPr>
          <w:rFonts w:hint="default" w:ascii="Times New Roman" w:hAnsi="Times New Roman" w:eastAsia="宋体" w:cs="Times New Roman"/>
          <w:color w:val="auto"/>
          <w:spacing w:val="0"/>
          <w:w w:val="100"/>
          <w:kern w:val="0"/>
          <w:position w:val="0"/>
          <w:sz w:val="24"/>
          <w:szCs w:val="24"/>
          <w:vertAlign w:val="superscript"/>
        </w:rPr>
        <w:t>3</w:t>
      </w:r>
      <w:r>
        <w:rPr>
          <w:rFonts w:hint="default" w:ascii="Times New Roman" w:hAnsi="Times New Roman" w:eastAsia="宋体" w:cs="Times New Roman"/>
          <w:color w:val="auto"/>
          <w:spacing w:val="0"/>
          <w:w w:val="100"/>
          <w:kern w:val="0"/>
          <w:position w:val="0"/>
          <w:sz w:val="24"/>
          <w:szCs w:val="24"/>
        </w:rPr>
        <w:t>/a，项目对周围水环境资源占用较小；项目年用电量为</w:t>
      </w:r>
      <w:r>
        <w:rPr>
          <w:rFonts w:hint="default" w:ascii="Times New Roman" w:hAnsi="Times New Roman" w:eastAsia="宋体" w:cs="Times New Roman"/>
          <w:color w:val="auto"/>
          <w:spacing w:val="0"/>
          <w:w w:val="100"/>
          <w:kern w:val="0"/>
          <w:position w:val="0"/>
          <w:sz w:val="24"/>
          <w:szCs w:val="24"/>
          <w:lang w:val="en-US" w:eastAsia="zh-CN"/>
        </w:rPr>
        <w:t>36</w:t>
      </w:r>
      <w:r>
        <w:rPr>
          <w:rFonts w:hint="default" w:ascii="Times New Roman" w:hAnsi="Times New Roman" w:eastAsia="宋体" w:cs="Times New Roman"/>
          <w:color w:val="auto"/>
          <w:spacing w:val="0"/>
          <w:w w:val="100"/>
          <w:kern w:val="0"/>
          <w:position w:val="0"/>
          <w:sz w:val="24"/>
          <w:szCs w:val="24"/>
        </w:rPr>
        <w:t>万kW•h/a，用电量较小；项目占地面积</w:t>
      </w:r>
      <w:r>
        <w:rPr>
          <w:rFonts w:hint="eastAsia" w:ascii="Times New Roman" w:hAnsi="Times New Roman" w:cs="Times New Roman"/>
          <w:color w:val="auto"/>
          <w:spacing w:val="0"/>
          <w:w w:val="100"/>
          <w:kern w:val="0"/>
          <w:position w:val="0"/>
          <w:sz w:val="24"/>
          <w:szCs w:val="24"/>
          <w:lang w:val="en-US" w:eastAsia="zh-CN"/>
        </w:rPr>
        <w:t>276000</w:t>
      </w:r>
      <w:r>
        <w:rPr>
          <w:rFonts w:hint="default" w:ascii="Times New Roman" w:hAnsi="Times New Roman" w:eastAsia="宋体" w:cs="Times New Roman"/>
          <w:color w:val="auto"/>
          <w:spacing w:val="0"/>
          <w:w w:val="100"/>
          <w:kern w:val="0"/>
          <w:position w:val="0"/>
          <w:sz w:val="24"/>
          <w:szCs w:val="24"/>
        </w:rPr>
        <w:t>m</w:t>
      </w:r>
      <w:r>
        <w:rPr>
          <w:rFonts w:hint="default" w:ascii="Times New Roman" w:hAnsi="Times New Roman" w:eastAsia="宋体" w:cs="Times New Roman"/>
          <w:color w:val="auto"/>
          <w:spacing w:val="0"/>
          <w:w w:val="100"/>
          <w:kern w:val="0"/>
          <w:position w:val="0"/>
          <w:sz w:val="24"/>
          <w:szCs w:val="24"/>
          <w:vertAlign w:val="superscript"/>
        </w:rPr>
        <w:t>2</w:t>
      </w:r>
      <w:r>
        <w:rPr>
          <w:rFonts w:hint="default" w:ascii="Times New Roman" w:hAnsi="Times New Roman" w:eastAsia="宋体" w:cs="Times New Roman"/>
          <w:color w:val="auto"/>
          <w:spacing w:val="0"/>
          <w:w w:val="100"/>
          <w:kern w:val="0"/>
          <w:position w:val="0"/>
          <w:sz w:val="24"/>
          <w:szCs w:val="24"/>
        </w:rPr>
        <w:t>，占用土地资源较小，工程占地不涉及基本农田，土地资源消耗符合要求；综上所述，项目满足资源利用上线要求。总体而言，本项目符合资源利用上线的要求</w:t>
      </w:r>
      <w:r>
        <w:rPr>
          <w:rFonts w:hint="default" w:ascii="Times New Roman" w:hAnsi="Times New Roman" w:eastAsia="宋体" w:cs="Times New Roman"/>
          <w:color w:val="auto"/>
          <w:spacing w:val="0"/>
          <w:w w:val="100"/>
          <w:kern w:val="0"/>
          <w:position w:val="0"/>
          <w:highlight w:val="none"/>
        </w:rPr>
        <w:t>。</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lang w:eastAsia="zh-CN"/>
        </w:rPr>
        <w:t>）负面清单</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lang w:val="en-US" w:eastAsia="zh-CN" w:bidi="ar"/>
        </w:rPr>
        <w:t>本建设项目为奶牛养殖建设项目，不属于产业政策中限制类、淘汰类。同时项目所在区域暂无明确的环境准入负面清单，本项目不属于规划农田和宅基地用地，因此，本项目不在环境准入负面清单内。</w:t>
      </w:r>
    </w:p>
    <w:p>
      <w:pPr>
        <w:pStyle w:val="61"/>
        <w:adjustRightInd w:val="0"/>
        <w:snapToGrid w:val="0"/>
        <w:spacing w:line="360" w:lineRule="auto"/>
        <w:ind w:firstLine="480"/>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因此，项目的建设符合</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rPr>
        <w:t>三线一清单</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rPr>
        <w:t>相关要求。</w:t>
      </w:r>
    </w:p>
    <w:p>
      <w:pPr>
        <w:pStyle w:val="61"/>
        <w:adjustRightInd w:val="0"/>
        <w:snapToGrid w:val="0"/>
        <w:spacing w:line="360" w:lineRule="auto"/>
        <w:ind w:firstLine="480"/>
        <w:rPr>
          <w:rFonts w:hint="eastAsia" w:ascii="Times New Roman" w:hAnsi="Times New Roman" w:eastAsia="宋体" w:cs="Times New Roman"/>
          <w:color w:val="auto"/>
          <w:spacing w:val="0"/>
          <w:w w:val="100"/>
          <w:kern w:val="0"/>
          <w:position w:val="0"/>
          <w:highlight w:val="none"/>
          <w:lang w:eastAsia="zh-CN"/>
        </w:rPr>
      </w:pPr>
      <w:r>
        <w:rPr>
          <w:rFonts w:hint="eastAsia" w:ascii="Times New Roman" w:hAnsi="Times New Roman" w:eastAsia="宋体" w:cs="Times New Roman"/>
          <w:color w:val="auto"/>
          <w:spacing w:val="0"/>
          <w:w w:val="100"/>
          <w:kern w:val="0"/>
          <w:position w:val="0"/>
          <w:highlight w:val="none"/>
          <w:lang w:eastAsia="zh-CN"/>
        </w:rPr>
        <w:t>本项目与</w:t>
      </w:r>
      <w:r>
        <w:rPr>
          <w:rFonts w:hint="default" w:ascii="Times New Roman" w:hAnsi="Times New Roman" w:eastAsia="宋体" w:cs="Times New Roman"/>
          <w:color w:val="auto"/>
          <w:spacing w:val="0"/>
          <w:w w:val="100"/>
          <w:kern w:val="0"/>
          <w:position w:val="0"/>
          <w:highlight w:val="none"/>
        </w:rPr>
        <w:t>吴忠“三线一单”符合性分析</w:t>
      </w:r>
      <w:r>
        <w:rPr>
          <w:rFonts w:hint="eastAsia" w:ascii="Times New Roman" w:hAnsi="Times New Roman" w:eastAsia="宋体" w:cs="Times New Roman"/>
          <w:color w:val="auto"/>
          <w:spacing w:val="0"/>
          <w:w w:val="100"/>
          <w:kern w:val="0"/>
          <w:position w:val="0"/>
          <w:highlight w:val="none"/>
          <w:lang w:eastAsia="zh-CN"/>
        </w:rPr>
        <w:t>具体见下表。</w:t>
      </w:r>
    </w:p>
    <w:p>
      <w:pPr>
        <w:pStyle w:val="61"/>
        <w:adjustRightInd w:val="0"/>
        <w:snapToGrid w:val="0"/>
        <w:spacing w:line="360" w:lineRule="auto"/>
        <w:ind w:firstLine="480"/>
        <w:rPr>
          <w:rFonts w:hint="eastAsia" w:ascii="Times New Roman" w:hAnsi="Times New Roman" w:eastAsia="宋体" w:cs="Times New Roman"/>
          <w:color w:val="auto"/>
          <w:spacing w:val="0"/>
          <w:w w:val="100"/>
          <w:kern w:val="0"/>
          <w:position w:val="0"/>
          <w:highlight w:val="none"/>
          <w:lang w:eastAsia="zh-CN"/>
        </w:rPr>
      </w:pPr>
    </w:p>
    <w:p>
      <w:pPr>
        <w:pStyle w:val="61"/>
        <w:adjustRightInd w:val="0"/>
        <w:snapToGrid w:val="0"/>
        <w:spacing w:line="360" w:lineRule="auto"/>
        <w:ind w:firstLine="480"/>
        <w:rPr>
          <w:rFonts w:hint="eastAsia" w:ascii="Times New Roman" w:hAnsi="Times New Roman" w:eastAsia="宋体" w:cs="Times New Roman"/>
          <w:color w:val="auto"/>
          <w:spacing w:val="0"/>
          <w:w w:val="100"/>
          <w:kern w:val="0"/>
          <w:position w:val="0"/>
          <w:highlight w:val="none"/>
          <w:lang w:eastAsia="zh-CN"/>
        </w:rPr>
      </w:pPr>
    </w:p>
    <w:p>
      <w:pPr>
        <w:pStyle w:val="61"/>
        <w:adjustRightInd w:val="0"/>
        <w:snapToGrid w:val="0"/>
        <w:spacing w:line="360" w:lineRule="auto"/>
        <w:ind w:firstLine="480"/>
        <w:rPr>
          <w:rFonts w:hint="eastAsia" w:ascii="Times New Roman" w:hAnsi="Times New Roman" w:eastAsia="宋体" w:cs="Times New Roman"/>
          <w:color w:val="auto"/>
          <w:spacing w:val="0"/>
          <w:w w:val="100"/>
          <w:kern w:val="0"/>
          <w:position w:val="0"/>
          <w:highlight w:val="none"/>
          <w:lang w:eastAsia="zh-CN"/>
        </w:rPr>
        <w:sectPr>
          <w:headerReference r:id="rId6" w:type="default"/>
          <w:footerReference r:id="rId7"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pP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表1.7-1   本项目与吴忠“三线一单”符合性分析一览表</w:t>
      </w:r>
    </w:p>
    <w:tbl>
      <w:tblPr>
        <w:tblStyle w:val="25"/>
        <w:tblW w:w="141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1"/>
        <w:gridCol w:w="5442"/>
        <w:gridCol w:w="6330"/>
        <w:gridCol w:w="11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31"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三线一单</w:t>
            </w:r>
          </w:p>
        </w:tc>
        <w:tc>
          <w:tcPr>
            <w:tcW w:w="5442"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要求</w:t>
            </w:r>
          </w:p>
        </w:tc>
        <w:tc>
          <w:tcPr>
            <w:tcW w:w="63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本项目情况</w:t>
            </w:r>
          </w:p>
        </w:tc>
        <w:tc>
          <w:tcPr>
            <w:tcW w:w="1113"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1"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生态保护红</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线及生态分</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区管控</w:t>
            </w:r>
          </w:p>
        </w:tc>
        <w:tc>
          <w:tcPr>
            <w:tcW w:w="5442"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生态保护红线指在生态空间范围内具有特殊重要生态功能、必须强制性严格保护的区域，是保障和维护国家生态安全的底线和生命线，通常包括具有重要水源涵养、生物多样性维护、水土保持、防风固沙等功能的生态功能重要区域，以及水土流失、土地沙化、石漠化、盐渍化等生态环境敏感脆弱区域。</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生态保护红线原则上按禁止开发区域的要求进行管理。严禁不符合主体功能定位的各类开发活动，严禁任意改变用途。</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生态保护红线外的生态空间（一般生态空间）原则上按限制开发区域的要求进行管理。</w:t>
            </w:r>
          </w:p>
        </w:tc>
        <w:tc>
          <w:tcPr>
            <w:tcW w:w="63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cs="Times New Roman"/>
                <w:snapToGrid w:val="0"/>
                <w:color w:val="auto"/>
                <w:spacing w:val="0"/>
                <w:w w:val="100"/>
                <w:position w:val="0"/>
                <w:sz w:val="20"/>
                <w:szCs w:val="20"/>
              </w:rPr>
            </w:pP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本项目位于吴忠市同心县下马关镇上垣村。对照《吴忠市“三线一单”图集—生态空间图》，本项目</w:t>
            </w:r>
            <w:r>
              <w:rPr>
                <w:rFonts w:hint="eastAsia" w:ascii="Times New Roman" w:hAnsi="Times New Roman" w:eastAsia="宋体" w:cs="Times New Roman"/>
                <w:snapToGrid w:val="0"/>
                <w:color w:val="auto"/>
                <w:spacing w:val="0"/>
                <w:w w:val="100"/>
                <w:position w:val="0"/>
                <w:sz w:val="21"/>
                <w:szCs w:val="21"/>
                <w:lang w:eastAsia="zh-CN"/>
              </w:rPr>
              <w:t>不属于红线范围，也不属于</w:t>
            </w:r>
            <w:r>
              <w:rPr>
                <w:rFonts w:hint="default" w:ascii="Times New Roman" w:hAnsi="Times New Roman" w:eastAsia="宋体" w:cs="Times New Roman"/>
                <w:snapToGrid w:val="0"/>
                <w:color w:val="auto"/>
                <w:spacing w:val="0"/>
                <w:w w:val="100"/>
                <w:position w:val="0"/>
                <w:sz w:val="21"/>
                <w:szCs w:val="21"/>
              </w:rPr>
              <w:t>一般生态空间范围内，见图</w:t>
            </w:r>
            <w:r>
              <w:rPr>
                <w:rFonts w:hint="default" w:ascii="Times New Roman" w:hAnsi="Times New Roman" w:eastAsia="Times New Roman" w:cs="Times New Roman"/>
                <w:snapToGrid w:val="0"/>
                <w:color w:val="auto"/>
                <w:spacing w:val="0"/>
                <w:w w:val="100"/>
                <w:position w:val="0"/>
                <w:sz w:val="21"/>
                <w:szCs w:val="21"/>
              </w:rPr>
              <w:t>1.7-3</w:t>
            </w:r>
            <w:r>
              <w:rPr>
                <w:rFonts w:hint="default" w:ascii="Times New Roman" w:hAnsi="Times New Roman" w:eastAsia="宋体" w:cs="Times New Roman"/>
                <w:snapToGrid w:val="0"/>
                <w:color w:val="auto"/>
                <w:spacing w:val="0"/>
                <w:w w:val="100"/>
                <w:position w:val="0"/>
                <w:sz w:val="21"/>
                <w:szCs w:val="21"/>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本项目</w:t>
            </w:r>
            <w:r>
              <w:rPr>
                <w:rFonts w:hint="eastAsia" w:ascii="Times New Roman" w:hAnsi="Times New Roman" w:eastAsia="宋体" w:cs="Times New Roman"/>
                <w:snapToGrid w:val="0"/>
                <w:color w:val="auto"/>
                <w:spacing w:val="0"/>
                <w:w w:val="100"/>
                <w:position w:val="0"/>
                <w:sz w:val="21"/>
                <w:szCs w:val="21"/>
                <w:lang w:eastAsia="zh-CN"/>
              </w:rPr>
              <w:t>为新</w:t>
            </w:r>
            <w:r>
              <w:rPr>
                <w:rFonts w:hint="default" w:ascii="Times New Roman" w:hAnsi="Times New Roman" w:eastAsia="宋体" w:cs="Times New Roman"/>
                <w:snapToGrid w:val="0"/>
                <w:color w:val="auto"/>
                <w:spacing w:val="0"/>
                <w:w w:val="100"/>
                <w:position w:val="0"/>
                <w:sz w:val="21"/>
                <w:szCs w:val="21"/>
              </w:rPr>
              <w:t>增用地，</w:t>
            </w:r>
            <w:r>
              <w:rPr>
                <w:rFonts w:hint="eastAsia" w:ascii="Times New Roman" w:hAnsi="Times New Roman" w:eastAsia="宋体" w:cs="Times New Roman"/>
                <w:snapToGrid w:val="0"/>
                <w:color w:val="auto"/>
                <w:spacing w:val="0"/>
                <w:w w:val="100"/>
                <w:position w:val="0"/>
                <w:sz w:val="21"/>
                <w:szCs w:val="21"/>
                <w:lang w:eastAsia="zh-CN"/>
              </w:rPr>
              <w:t>属于设施农业用地，</w:t>
            </w:r>
            <w:r>
              <w:rPr>
                <w:rFonts w:hint="default" w:ascii="Times New Roman" w:hAnsi="Times New Roman" w:eastAsia="宋体" w:cs="Times New Roman"/>
                <w:snapToGrid w:val="0"/>
                <w:color w:val="auto"/>
                <w:spacing w:val="0"/>
                <w:w w:val="100"/>
                <w:position w:val="0"/>
                <w:sz w:val="21"/>
                <w:szCs w:val="21"/>
              </w:rPr>
              <w:t>不涉及占用生态红线外的生态空间。</w:t>
            </w:r>
          </w:p>
        </w:tc>
        <w:tc>
          <w:tcPr>
            <w:tcW w:w="1113"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31"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环境质量底</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线及分区管</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控</w:t>
            </w:r>
          </w:p>
        </w:tc>
        <w:tc>
          <w:tcPr>
            <w:tcW w:w="5442"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环境质量底线指按照水、大气、土壤环境质量不断优化的原则，结合环境质量现状和相关规划、功能区划要求，考虑环境质量改善潜力，确定的分区域分阶段环境质量目标及相应的环境管控、污染物排放控制等要求。</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水环境质量底线及分区管控：按照水环境质量“只能更好，不能变坏”的原则，基于水环境主 导功能、上下游传输关系、水源涵养需求、需要重点改善的优先控 制单元等内容，衔接自治区水功能区划、“水十条”实施方案、水污染防治目标责任书等既有要求，同时衔接“十四五”生态环境保护规划研究成果，考虑水环境质量改善潜力，综合确定全市水环境控制断面</w:t>
            </w:r>
            <w:r>
              <w:rPr>
                <w:rFonts w:hint="default" w:ascii="Times New Roman" w:hAnsi="Times New Roman" w:eastAsia="Times New Roman" w:cs="Times New Roman"/>
                <w:snapToGrid w:val="0"/>
                <w:color w:val="auto"/>
                <w:spacing w:val="0"/>
                <w:w w:val="100"/>
                <w:position w:val="0"/>
                <w:sz w:val="21"/>
                <w:szCs w:val="21"/>
              </w:rPr>
              <w:t xml:space="preserve">2025 </w:t>
            </w:r>
            <w:r>
              <w:rPr>
                <w:rFonts w:hint="default" w:ascii="Times New Roman" w:hAnsi="Times New Roman" w:eastAsia="宋体" w:cs="Times New Roman"/>
                <w:snapToGrid w:val="0"/>
                <w:color w:val="auto"/>
                <w:spacing w:val="0"/>
                <w:w w:val="100"/>
                <w:position w:val="0"/>
                <w:sz w:val="21"/>
                <w:szCs w:val="21"/>
              </w:rPr>
              <w:t>年、</w:t>
            </w:r>
            <w:r>
              <w:rPr>
                <w:rFonts w:hint="default" w:ascii="Times New Roman" w:hAnsi="Times New Roman" w:eastAsia="Times New Roman" w:cs="Times New Roman"/>
                <w:snapToGrid w:val="0"/>
                <w:color w:val="auto"/>
                <w:spacing w:val="0"/>
                <w:w w:val="100"/>
                <w:position w:val="0"/>
                <w:sz w:val="21"/>
                <w:szCs w:val="21"/>
              </w:rPr>
              <w:t>2035</w:t>
            </w:r>
            <w:r>
              <w:rPr>
                <w:rFonts w:hint="default" w:ascii="Times New Roman" w:hAnsi="Times New Roman" w:eastAsia="宋体" w:cs="Times New Roman"/>
                <w:snapToGrid w:val="0"/>
                <w:color w:val="auto"/>
                <w:spacing w:val="0"/>
                <w:w w:val="100"/>
                <w:position w:val="0"/>
                <w:sz w:val="21"/>
                <w:szCs w:val="21"/>
              </w:rPr>
              <w:t>年的水环境质量底线目标。</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分区：水环境优先保护区、水环境重点管控区、水环境一般管控区。</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大气环境质量底线及分区管控：</w:t>
            </w:r>
            <w:r>
              <w:rPr>
                <w:rFonts w:hint="default" w:ascii="Times New Roman" w:hAnsi="Times New Roman" w:eastAsia="Times New Roman" w:cs="Times New Roman"/>
                <w:snapToGrid w:val="0"/>
                <w:color w:val="auto"/>
                <w:spacing w:val="0"/>
                <w:w w:val="100"/>
                <w:position w:val="0"/>
                <w:sz w:val="21"/>
                <w:szCs w:val="21"/>
              </w:rPr>
              <w:t>2025</w:t>
            </w:r>
            <w:r>
              <w:rPr>
                <w:rFonts w:hint="default" w:ascii="Times New Roman" w:hAnsi="Times New Roman" w:eastAsia="宋体" w:cs="Times New Roman"/>
                <w:snapToGrid w:val="0"/>
                <w:color w:val="auto"/>
                <w:spacing w:val="0"/>
                <w:w w:val="100"/>
                <w:position w:val="0"/>
                <w:sz w:val="21"/>
                <w:szCs w:val="21"/>
              </w:rPr>
              <w:t>年和</w:t>
            </w:r>
            <w:r>
              <w:rPr>
                <w:rFonts w:hint="default" w:ascii="Times New Roman" w:hAnsi="Times New Roman" w:eastAsia="Times New Roman" w:cs="Times New Roman"/>
                <w:snapToGrid w:val="0"/>
                <w:color w:val="auto"/>
                <w:spacing w:val="0"/>
                <w:w w:val="100"/>
                <w:position w:val="0"/>
                <w:sz w:val="21"/>
                <w:szCs w:val="21"/>
              </w:rPr>
              <w:t>2035</w:t>
            </w:r>
            <w:r>
              <w:rPr>
                <w:rFonts w:hint="default" w:ascii="Times New Roman" w:hAnsi="Times New Roman" w:eastAsia="宋体" w:cs="Times New Roman"/>
                <w:snapToGrid w:val="0"/>
                <w:color w:val="auto"/>
                <w:spacing w:val="0"/>
                <w:w w:val="100"/>
                <w:position w:val="0"/>
                <w:sz w:val="21"/>
                <w:szCs w:val="21"/>
              </w:rPr>
              <w:t>年大气环境质量目标衔接自治区“十四五”生态环境保护规划研究结果设定的总体目标。具体指标待国家、自治区目标确定后进行进一步衔接。</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分区：大气境优先保护区、大气环境重点管控区、大气环境一般管控区。</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 xml:space="preserve">土壤污染风险防控底线及分区管控：以改善土壤环境质量为核心，以保障农产品质量和人居环境安全为出发点，依据“土十条”及国家、自治区相关要求，预期到 </w:t>
            </w:r>
            <w:r>
              <w:rPr>
                <w:rFonts w:hint="default" w:ascii="Times New Roman" w:hAnsi="Times New Roman" w:eastAsia="Times New Roman" w:cs="Times New Roman"/>
                <w:snapToGrid w:val="0"/>
                <w:color w:val="auto"/>
                <w:spacing w:val="0"/>
                <w:w w:val="100"/>
                <w:position w:val="0"/>
                <w:sz w:val="21"/>
                <w:szCs w:val="21"/>
              </w:rPr>
              <w:t>2025</w:t>
            </w:r>
            <w:r>
              <w:rPr>
                <w:rFonts w:hint="default" w:ascii="Times New Roman" w:hAnsi="Times New Roman" w:eastAsia="宋体" w:cs="Times New Roman"/>
                <w:snapToGrid w:val="0"/>
                <w:color w:val="auto"/>
                <w:spacing w:val="0"/>
                <w:w w:val="100"/>
                <w:position w:val="0"/>
                <w:sz w:val="21"/>
                <w:szCs w:val="21"/>
              </w:rPr>
              <w:t xml:space="preserve">年，吴忠受污染耕地安全利用率保持在 </w:t>
            </w:r>
            <w:r>
              <w:rPr>
                <w:rFonts w:hint="default" w:ascii="Times New Roman" w:hAnsi="Times New Roman" w:eastAsia="Times New Roman" w:cs="Times New Roman"/>
                <w:snapToGrid w:val="0"/>
                <w:color w:val="auto"/>
                <w:spacing w:val="0"/>
                <w:w w:val="100"/>
                <w:position w:val="0"/>
                <w:sz w:val="21"/>
                <w:szCs w:val="21"/>
              </w:rPr>
              <w:t>98%</w:t>
            </w:r>
            <w:r>
              <w:rPr>
                <w:rFonts w:hint="default" w:ascii="Times New Roman" w:hAnsi="Times New Roman" w:eastAsia="宋体" w:cs="Times New Roman"/>
                <w:snapToGrid w:val="0"/>
                <w:color w:val="auto"/>
                <w:spacing w:val="0"/>
                <w:w w:val="100"/>
                <w:position w:val="0"/>
                <w:sz w:val="21"/>
                <w:szCs w:val="21"/>
              </w:rPr>
              <w:t xml:space="preserve">以上，污染地块安全利用率高于 </w:t>
            </w:r>
            <w:r>
              <w:rPr>
                <w:rFonts w:hint="default" w:ascii="Times New Roman" w:hAnsi="Times New Roman" w:eastAsia="Times New Roman" w:cs="Times New Roman"/>
                <w:snapToGrid w:val="0"/>
                <w:color w:val="auto"/>
                <w:spacing w:val="0"/>
                <w:w w:val="100"/>
                <w:position w:val="0"/>
                <w:sz w:val="21"/>
                <w:szCs w:val="21"/>
              </w:rPr>
              <w:t>90%</w:t>
            </w:r>
            <w:r>
              <w:rPr>
                <w:rFonts w:hint="default" w:ascii="Times New Roman" w:hAnsi="Times New Roman" w:eastAsia="宋体" w:cs="Times New Roman"/>
                <w:snapToGrid w:val="0"/>
                <w:color w:val="auto"/>
                <w:spacing w:val="0"/>
                <w:w w:val="100"/>
                <w:position w:val="0"/>
                <w:sz w:val="21"/>
                <w:szCs w:val="21"/>
              </w:rPr>
              <w:t xml:space="preserve">；到 </w:t>
            </w:r>
            <w:r>
              <w:rPr>
                <w:rFonts w:hint="default" w:ascii="Times New Roman" w:hAnsi="Times New Roman" w:eastAsia="Times New Roman" w:cs="Times New Roman"/>
                <w:snapToGrid w:val="0"/>
                <w:color w:val="auto"/>
                <w:spacing w:val="0"/>
                <w:w w:val="100"/>
                <w:position w:val="0"/>
                <w:sz w:val="21"/>
                <w:szCs w:val="21"/>
              </w:rPr>
              <w:t xml:space="preserve">2035 </w:t>
            </w:r>
            <w:r>
              <w:rPr>
                <w:rFonts w:hint="default" w:ascii="Times New Roman" w:hAnsi="Times New Roman" w:eastAsia="宋体" w:cs="Times New Roman"/>
                <w:snapToGrid w:val="0"/>
                <w:color w:val="auto"/>
                <w:spacing w:val="0"/>
                <w:w w:val="100"/>
                <w:position w:val="0"/>
                <w:sz w:val="21"/>
                <w:szCs w:val="21"/>
              </w:rPr>
              <w:t>年，受污染耕地安全利用率、污染地块安全利用率达到国家、自治区考核标准。</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分区：农用地优先保护区、建设用地土壤污染风险重点管控区和一般管控区。</w:t>
            </w:r>
          </w:p>
        </w:tc>
        <w:tc>
          <w:tcPr>
            <w:tcW w:w="63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snapToGrid w:val="0"/>
                <w:color w:val="auto"/>
                <w:spacing w:val="0"/>
                <w:w w:val="100"/>
                <w:position w:val="0"/>
                <w:sz w:val="21"/>
                <w:szCs w:val="21"/>
                <w:lang w:eastAsia="zh-CN"/>
              </w:rPr>
            </w:pPr>
            <w:r>
              <w:rPr>
                <w:rFonts w:hint="default" w:ascii="Times New Roman" w:hAnsi="Times New Roman" w:eastAsia="宋体" w:cs="Times New Roman"/>
                <w:snapToGrid w:val="0"/>
                <w:color w:val="auto"/>
                <w:spacing w:val="0"/>
                <w:w w:val="100"/>
                <w:position w:val="0"/>
                <w:sz w:val="21"/>
                <w:szCs w:val="21"/>
              </w:rPr>
              <w:t>①</w:t>
            </w:r>
            <w:r>
              <w:rPr>
                <w:rFonts w:hint="eastAsia" w:ascii="Times New Roman" w:hAnsi="Times New Roman" w:eastAsia="宋体" w:cs="Times New Roman"/>
                <w:snapToGrid w:val="0"/>
                <w:color w:val="auto"/>
                <w:spacing w:val="0"/>
                <w:w w:val="100"/>
                <w:position w:val="0"/>
                <w:sz w:val="21"/>
                <w:szCs w:val="21"/>
                <w:lang w:eastAsia="zh-CN"/>
              </w:rPr>
              <w:t>环境空气</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cs="Times New Roman"/>
                <w:color w:val="auto"/>
                <w:spacing w:val="0"/>
                <w:w w:val="100"/>
                <w:kern w:val="0"/>
                <w:position w:val="0"/>
                <w:sz w:val="21"/>
                <w:szCs w:val="21"/>
                <w:lang w:val="en-US" w:eastAsia="zh-CN" w:bidi="ar"/>
              </w:rPr>
            </w:pPr>
            <w:r>
              <w:rPr>
                <w:rFonts w:hint="default" w:ascii="Times New Roman" w:hAnsi="Times New Roman" w:eastAsia="宋体" w:cs="Times New Roman"/>
                <w:color w:val="auto"/>
                <w:spacing w:val="0"/>
                <w:w w:val="100"/>
                <w:kern w:val="0"/>
                <w:position w:val="0"/>
                <w:sz w:val="21"/>
                <w:szCs w:val="21"/>
              </w:rPr>
              <w:t>根据《2020宁夏生态环境质量状况》公开的区域环境空气质量数据可以看出，</w:t>
            </w:r>
            <w:r>
              <w:rPr>
                <w:rFonts w:hint="default" w:ascii="Times New Roman" w:hAnsi="Times New Roman" w:eastAsia="宋体" w:cs="Times New Roman"/>
                <w:color w:val="auto"/>
                <w:spacing w:val="0"/>
                <w:w w:val="100"/>
                <w:kern w:val="0"/>
                <w:position w:val="0"/>
                <w:sz w:val="21"/>
                <w:szCs w:val="21"/>
                <w:lang w:eastAsia="zh-CN"/>
              </w:rPr>
              <w:t>吴忠市</w:t>
            </w:r>
            <w:r>
              <w:rPr>
                <w:rFonts w:hint="default" w:ascii="Times New Roman" w:hAnsi="Times New Roman" w:eastAsia="宋体" w:cs="Times New Roman"/>
                <w:color w:val="auto"/>
                <w:spacing w:val="0"/>
                <w:w w:val="100"/>
                <w:kern w:val="0"/>
                <w:position w:val="0"/>
                <w:sz w:val="21"/>
                <w:szCs w:val="21"/>
                <w:lang w:val="en-US" w:eastAsia="zh-CN"/>
              </w:rPr>
              <w:t>2020年</w:t>
            </w:r>
            <w:r>
              <w:rPr>
                <w:rFonts w:hint="default" w:ascii="Times New Roman" w:hAnsi="Times New Roman" w:eastAsia="宋体" w:cs="Times New Roman"/>
                <w:color w:val="auto"/>
                <w:spacing w:val="0"/>
                <w:w w:val="100"/>
                <w:kern w:val="0"/>
                <w:position w:val="0"/>
                <w:sz w:val="21"/>
                <w:szCs w:val="21"/>
              </w:rPr>
              <w:t>SO</w:t>
            </w:r>
            <w:r>
              <w:rPr>
                <w:rFonts w:hint="default" w:ascii="Times New Roman" w:hAnsi="Times New Roman" w:eastAsia="宋体" w:cs="Times New Roman"/>
                <w:color w:val="auto"/>
                <w:spacing w:val="0"/>
                <w:w w:val="100"/>
                <w:kern w:val="0"/>
                <w:position w:val="0"/>
                <w:sz w:val="21"/>
                <w:szCs w:val="21"/>
                <w:vertAlign w:val="subscript"/>
              </w:rPr>
              <w:t>2</w:t>
            </w:r>
            <w:r>
              <w:rPr>
                <w:rFonts w:hint="default" w:ascii="Times New Roman" w:hAnsi="Times New Roman" w:eastAsia="宋体" w:cs="Times New Roman"/>
                <w:color w:val="auto"/>
                <w:spacing w:val="0"/>
                <w:w w:val="100"/>
                <w:kern w:val="0"/>
                <w:position w:val="0"/>
                <w:sz w:val="21"/>
                <w:szCs w:val="21"/>
              </w:rPr>
              <w:t>、NO</w:t>
            </w:r>
            <w:r>
              <w:rPr>
                <w:rFonts w:hint="default" w:ascii="Times New Roman" w:hAnsi="Times New Roman" w:eastAsia="宋体" w:cs="Times New Roman"/>
                <w:color w:val="auto"/>
                <w:spacing w:val="0"/>
                <w:w w:val="100"/>
                <w:kern w:val="0"/>
                <w:position w:val="0"/>
                <w:sz w:val="21"/>
                <w:szCs w:val="21"/>
                <w:vertAlign w:val="subscript"/>
              </w:rPr>
              <w:t>2</w:t>
            </w:r>
            <w:r>
              <w:rPr>
                <w:rFonts w:hint="default" w:ascii="Times New Roman" w:hAnsi="Times New Roman" w:eastAsia="宋体" w:cs="Times New Roman"/>
                <w:color w:val="auto"/>
                <w:spacing w:val="0"/>
                <w:w w:val="100"/>
                <w:kern w:val="0"/>
                <w:position w:val="0"/>
                <w:sz w:val="21"/>
                <w:szCs w:val="21"/>
              </w:rPr>
              <w:t>、年均值、O</w:t>
            </w:r>
            <w:r>
              <w:rPr>
                <w:rFonts w:hint="default" w:ascii="Times New Roman" w:hAnsi="Times New Roman" w:eastAsia="宋体" w:cs="Times New Roman"/>
                <w:color w:val="auto"/>
                <w:spacing w:val="0"/>
                <w:w w:val="100"/>
                <w:kern w:val="0"/>
                <w:position w:val="0"/>
                <w:sz w:val="21"/>
                <w:szCs w:val="21"/>
                <w:vertAlign w:val="subscript"/>
              </w:rPr>
              <w:t>3</w:t>
            </w:r>
            <w:r>
              <w:rPr>
                <w:rFonts w:hint="default" w:ascii="Times New Roman" w:hAnsi="Times New Roman" w:eastAsia="宋体" w:cs="Times New Roman"/>
                <w:color w:val="auto"/>
                <w:spacing w:val="0"/>
                <w:w w:val="100"/>
                <w:kern w:val="0"/>
                <w:position w:val="0"/>
                <w:sz w:val="21"/>
                <w:szCs w:val="21"/>
              </w:rPr>
              <w:t>日最大8h滑动平均值的第90百分位数、CO24h平均第95百分位数均满足《环境空气质量标准》（GB3095-2012及2018年修改单）中二级标准要求，PM</w:t>
            </w:r>
            <w:r>
              <w:rPr>
                <w:rFonts w:hint="default" w:ascii="Times New Roman" w:hAnsi="Times New Roman" w:eastAsia="宋体" w:cs="Times New Roman"/>
                <w:color w:val="auto"/>
                <w:spacing w:val="0"/>
                <w:w w:val="100"/>
                <w:kern w:val="0"/>
                <w:position w:val="0"/>
                <w:sz w:val="21"/>
                <w:szCs w:val="21"/>
                <w:vertAlign w:val="subscript"/>
                <w:lang w:val="en-US" w:eastAsia="zh-CN"/>
              </w:rPr>
              <w:t>10</w:t>
            </w:r>
            <w:r>
              <w:rPr>
                <w:rFonts w:hint="default" w:ascii="Times New Roman" w:hAnsi="Times New Roman" w:eastAsia="宋体" w:cs="Times New Roman"/>
                <w:color w:val="auto"/>
                <w:spacing w:val="0"/>
                <w:w w:val="100"/>
                <w:kern w:val="0"/>
                <w:position w:val="0"/>
                <w:sz w:val="21"/>
                <w:szCs w:val="21"/>
              </w:rPr>
              <w:t>、PM</w:t>
            </w:r>
            <w:r>
              <w:rPr>
                <w:rFonts w:hint="default" w:ascii="Times New Roman" w:hAnsi="Times New Roman" w:eastAsia="宋体" w:cs="Times New Roman"/>
                <w:color w:val="auto"/>
                <w:spacing w:val="0"/>
                <w:w w:val="100"/>
                <w:kern w:val="0"/>
                <w:position w:val="0"/>
                <w:sz w:val="21"/>
                <w:szCs w:val="21"/>
                <w:vertAlign w:val="subscript"/>
              </w:rPr>
              <w:t>2.5</w:t>
            </w:r>
            <w:r>
              <w:rPr>
                <w:rFonts w:hint="default" w:ascii="Times New Roman" w:hAnsi="Times New Roman" w:eastAsia="宋体" w:cs="Times New Roman"/>
                <w:color w:val="auto"/>
                <w:spacing w:val="0"/>
                <w:w w:val="100"/>
                <w:kern w:val="0"/>
                <w:position w:val="0"/>
                <w:sz w:val="21"/>
                <w:szCs w:val="21"/>
              </w:rPr>
              <w:t>超过《环境空气质量标准》（GB3095-2012）二级标准，按照《环境影响评价技术导则 大气环境》（HJ2.2-2018）对项目所在区达标判断结果可知，本项目所在区为不达标区。</w:t>
            </w:r>
            <w:r>
              <w:rPr>
                <w:rFonts w:hint="default" w:ascii="Times New Roman" w:hAnsi="Times New Roman" w:eastAsia="宋体" w:cs="Times New Roman"/>
                <w:color w:val="auto"/>
                <w:spacing w:val="0"/>
                <w:w w:val="100"/>
                <w:kern w:val="0"/>
                <w:position w:val="0"/>
                <w:sz w:val="21"/>
                <w:szCs w:val="21"/>
                <w:lang w:val="en-US" w:eastAsia="zh-CN" w:bidi="ar"/>
              </w:rPr>
              <w:t>根据本项目环境现状监测结果，项目评价范围内H</w:t>
            </w:r>
            <w:r>
              <w:rPr>
                <w:rFonts w:hint="default" w:ascii="Times New Roman" w:hAnsi="Times New Roman" w:eastAsia="宋体" w:cs="Times New Roman"/>
                <w:color w:val="auto"/>
                <w:spacing w:val="0"/>
                <w:w w:val="100"/>
                <w:kern w:val="0"/>
                <w:position w:val="0"/>
                <w:sz w:val="21"/>
                <w:szCs w:val="21"/>
                <w:vertAlign w:val="subscript"/>
                <w:lang w:val="en-US" w:eastAsia="zh-CN" w:bidi="ar"/>
              </w:rPr>
              <w:t>2</w:t>
            </w:r>
            <w:r>
              <w:rPr>
                <w:rFonts w:hint="default" w:ascii="Times New Roman" w:hAnsi="Times New Roman" w:eastAsia="宋体" w:cs="Times New Roman"/>
                <w:color w:val="auto"/>
                <w:spacing w:val="0"/>
                <w:w w:val="100"/>
                <w:kern w:val="0"/>
                <w:position w:val="0"/>
                <w:sz w:val="21"/>
                <w:szCs w:val="21"/>
                <w:lang w:val="en-US" w:eastAsia="zh-CN" w:bidi="ar"/>
              </w:rPr>
              <w:t>S、NH</w:t>
            </w:r>
            <w:r>
              <w:rPr>
                <w:rFonts w:hint="default" w:ascii="Times New Roman" w:hAnsi="Times New Roman" w:eastAsia="宋体" w:cs="Times New Roman"/>
                <w:color w:val="auto"/>
                <w:spacing w:val="0"/>
                <w:w w:val="100"/>
                <w:kern w:val="0"/>
                <w:position w:val="0"/>
                <w:sz w:val="21"/>
                <w:szCs w:val="21"/>
                <w:vertAlign w:val="subscript"/>
                <w:lang w:val="en-US" w:eastAsia="zh-CN" w:bidi="ar"/>
              </w:rPr>
              <w:t>3</w:t>
            </w:r>
            <w:r>
              <w:rPr>
                <w:rFonts w:hint="default" w:ascii="Times New Roman" w:hAnsi="Times New Roman" w:eastAsia="宋体" w:cs="Times New Roman"/>
                <w:color w:val="auto"/>
                <w:spacing w:val="0"/>
                <w:w w:val="100"/>
                <w:kern w:val="0"/>
                <w:position w:val="0"/>
                <w:sz w:val="21"/>
                <w:szCs w:val="21"/>
                <w:lang w:val="en-US" w:eastAsia="zh-CN" w:bidi="ar"/>
              </w:rPr>
              <w:t>符合《环境影响评价技术导则 大气环境》（HJ2.2-2018）附录D其他污染物空气质量浓度参考限值</w:t>
            </w:r>
            <w:r>
              <w:rPr>
                <w:rFonts w:hint="eastAsia" w:ascii="Times New Roman" w:hAnsi="Times New Roman" w:cs="Times New Roman"/>
                <w:color w:val="auto"/>
                <w:spacing w:val="0"/>
                <w:w w:val="100"/>
                <w:kern w:val="0"/>
                <w:position w:val="0"/>
                <w:sz w:val="21"/>
                <w:szCs w:val="21"/>
                <w:lang w:val="en-US" w:eastAsia="zh-CN" w:bidi="ar"/>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eastAsia" w:ascii="Times New Roman" w:hAnsi="Times New Roman" w:eastAsia="宋体" w:cs="Times New Roman"/>
                <w:snapToGrid w:val="0"/>
                <w:color w:val="auto"/>
                <w:spacing w:val="0"/>
                <w:w w:val="100"/>
                <w:position w:val="0"/>
                <w:sz w:val="21"/>
                <w:szCs w:val="21"/>
                <w:lang w:val="en-US" w:eastAsia="zh-CN"/>
              </w:rPr>
              <w:t xml:space="preserve">   </w:t>
            </w:r>
            <w:r>
              <w:rPr>
                <w:rFonts w:hint="default" w:ascii="Times New Roman" w:hAnsi="Times New Roman" w:eastAsia="宋体" w:cs="Times New Roman"/>
                <w:snapToGrid w:val="0"/>
                <w:color w:val="auto"/>
                <w:spacing w:val="0"/>
                <w:w w:val="100"/>
                <w:position w:val="0"/>
                <w:sz w:val="21"/>
                <w:szCs w:val="21"/>
              </w:rPr>
              <w:t>②</w:t>
            </w:r>
            <w:r>
              <w:rPr>
                <w:rFonts w:hint="eastAsia" w:ascii="Times New Roman" w:hAnsi="Times New Roman" w:eastAsia="宋体" w:cs="Times New Roman"/>
                <w:snapToGrid w:val="0"/>
                <w:color w:val="auto"/>
                <w:spacing w:val="0"/>
                <w:w w:val="100"/>
                <w:position w:val="0"/>
                <w:sz w:val="21"/>
                <w:szCs w:val="21"/>
                <w:lang w:eastAsia="zh-CN"/>
              </w:rPr>
              <w:t>地表水环境</w:t>
            </w:r>
            <w:r>
              <w:rPr>
                <w:rFonts w:hint="default" w:ascii="Times New Roman" w:hAnsi="Times New Roman" w:eastAsia="宋体" w:cs="Times New Roman"/>
                <w:snapToGrid w:val="0"/>
                <w:color w:val="auto"/>
                <w:spacing w:val="0"/>
                <w:w w:val="100"/>
                <w:position w:val="0"/>
                <w:sz w:val="21"/>
                <w:szCs w:val="21"/>
              </w:rPr>
              <w:t>地下水环境</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本项目所在区域主要地表水体为苦水河，根据吴忠市环境监测站2019年苦水河孙家滩断面的监测数据，苦水河孙家滩断面水质单因子指数中氨氮、挥发酚、高锰酸盐指数、化学需氧量、总氮、氟化物、硒、阴离子表面活性剂等均有超标，说明苦水河该断面水质超过《地表水环境质量标准》（GB3838-2002）中的Ⅳ类标准要求。高锰酸盐指数、阴离子表面活性剂、化学需氧量、总氮和氨氮超标主要是接纳上游沿线居民生活污水以及开发区污水处 理厂排污所致，氟化物、硒超标主要是区域地质所致河床岩土中含氟化物、盐类较多，水体溶解河床岩土中的氟化物和盐类，加之区域内蒸发强烈，河流补水较少，导致氟化物、硒本底值较高，出现超标现象。</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eastAsia" w:ascii="Times New Roman" w:hAnsi="Times New Roman" w:eastAsia="宋体" w:cs="Times New Roman"/>
                <w:snapToGrid w:val="0"/>
                <w:color w:val="auto"/>
                <w:spacing w:val="0"/>
                <w:w w:val="100"/>
                <w:position w:val="0"/>
                <w:sz w:val="21"/>
                <w:szCs w:val="21"/>
                <w:lang w:eastAsia="zh-CN"/>
              </w:rPr>
            </w:pPr>
            <w:r>
              <w:rPr>
                <w:rFonts w:hint="eastAsia" w:ascii="Times New Roman" w:hAnsi="Times New Roman" w:eastAsia="宋体" w:cs="Times New Roman"/>
                <w:snapToGrid w:val="0"/>
                <w:color w:val="auto"/>
                <w:spacing w:val="0"/>
                <w:w w:val="100"/>
                <w:position w:val="0"/>
                <w:sz w:val="21"/>
                <w:szCs w:val="21"/>
                <w:lang w:eastAsia="zh-CN"/>
              </w:rPr>
              <w:t>③地下水环境</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场区上游</w:t>
            </w:r>
            <w:r>
              <w:rPr>
                <w:rFonts w:hint="default" w:ascii="Times New Roman" w:hAnsi="Times New Roman" w:eastAsia="Times New Roman" w:cs="Times New Roman"/>
                <w:snapToGrid w:val="0"/>
                <w:color w:val="auto"/>
                <w:spacing w:val="0"/>
                <w:w w:val="100"/>
                <w:position w:val="0"/>
                <w:sz w:val="21"/>
                <w:szCs w:val="21"/>
              </w:rPr>
              <w:t>1#</w:t>
            </w:r>
            <w:r>
              <w:rPr>
                <w:rFonts w:hint="default" w:ascii="Times New Roman" w:hAnsi="Times New Roman" w:eastAsia="宋体" w:cs="Times New Roman"/>
                <w:snapToGrid w:val="0"/>
                <w:color w:val="auto"/>
                <w:spacing w:val="0"/>
                <w:w w:val="100"/>
                <w:position w:val="0"/>
                <w:sz w:val="21"/>
                <w:szCs w:val="21"/>
              </w:rPr>
              <w:t xml:space="preserve">点总硬度、硫酸盐、氯化物、挥发酚类、耗氧量、氨氮、钠、溶解性总固体均有所超标，最大值标准指数为  </w:t>
            </w:r>
            <w:r>
              <w:rPr>
                <w:rFonts w:hint="default" w:ascii="Times New Roman" w:hAnsi="Times New Roman" w:eastAsia="Times New Roman" w:cs="Times New Roman"/>
                <w:snapToGrid w:val="0"/>
                <w:color w:val="auto"/>
                <w:spacing w:val="0"/>
                <w:w w:val="100"/>
                <w:position w:val="0"/>
                <w:sz w:val="21"/>
                <w:szCs w:val="21"/>
              </w:rPr>
              <w:t>5.46</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6.62</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5.8710.5</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10.27</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3.38</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8.73</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8.7</w:t>
            </w:r>
            <w:r>
              <w:rPr>
                <w:rFonts w:hint="default" w:ascii="Times New Roman" w:hAnsi="Times New Roman" w:eastAsia="宋体" w:cs="Times New Roman"/>
                <w:snapToGrid w:val="0"/>
                <w:color w:val="auto"/>
                <w:spacing w:val="0"/>
                <w:w w:val="100"/>
                <w:position w:val="0"/>
                <w:sz w:val="21"/>
                <w:szCs w:val="21"/>
              </w:rPr>
              <w:t xml:space="preserve">；场区内 </w:t>
            </w:r>
            <w:r>
              <w:rPr>
                <w:rFonts w:hint="default" w:ascii="Times New Roman" w:hAnsi="Times New Roman" w:eastAsia="Times New Roman" w:cs="Times New Roman"/>
                <w:snapToGrid w:val="0"/>
                <w:color w:val="auto"/>
                <w:spacing w:val="0"/>
                <w:w w:val="100"/>
                <w:position w:val="0"/>
                <w:sz w:val="21"/>
                <w:szCs w:val="21"/>
              </w:rPr>
              <w:t>2#</w:t>
            </w:r>
            <w:r>
              <w:rPr>
                <w:rFonts w:hint="default" w:ascii="Times New Roman" w:hAnsi="Times New Roman" w:eastAsia="宋体" w:cs="Times New Roman"/>
                <w:snapToGrid w:val="0"/>
                <w:color w:val="auto"/>
                <w:spacing w:val="0"/>
                <w:w w:val="100"/>
                <w:position w:val="0"/>
                <w:sz w:val="21"/>
                <w:szCs w:val="21"/>
              </w:rPr>
              <w:t xml:space="preserve">点总硬度、溶解性总固体硫酸盐、氯化物、氟化物、耗氧量、钠有所超标，最大值超标指数为 </w:t>
            </w:r>
            <w:r>
              <w:rPr>
                <w:rFonts w:hint="default" w:ascii="Times New Roman" w:hAnsi="Times New Roman" w:eastAsia="Times New Roman" w:cs="Times New Roman"/>
                <w:snapToGrid w:val="0"/>
                <w:color w:val="auto"/>
                <w:spacing w:val="0"/>
                <w:w w:val="100"/>
                <w:position w:val="0"/>
                <w:sz w:val="21"/>
                <w:szCs w:val="21"/>
              </w:rPr>
              <w:t>1.7</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3.41</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3.35</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5.30</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1.31</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1.40</w:t>
            </w:r>
            <w:r>
              <w:rPr>
                <w:rFonts w:hint="default" w:ascii="Times New Roman" w:hAnsi="Times New Roman" w:eastAsia="宋体" w:cs="Times New Roman"/>
                <w:snapToGrid w:val="0"/>
                <w:color w:val="auto"/>
                <w:spacing w:val="0"/>
                <w:w w:val="100"/>
                <w:position w:val="0"/>
                <w:sz w:val="21"/>
                <w:szCs w:val="21"/>
              </w:rPr>
              <w:t>、</w:t>
            </w:r>
            <w:r>
              <w:rPr>
                <w:rFonts w:hint="default" w:ascii="Times New Roman" w:hAnsi="Times New Roman" w:eastAsia="Times New Roman" w:cs="Times New Roman"/>
                <w:snapToGrid w:val="0"/>
                <w:color w:val="auto"/>
                <w:spacing w:val="0"/>
                <w:w w:val="100"/>
                <w:position w:val="0"/>
                <w:sz w:val="21"/>
                <w:szCs w:val="21"/>
              </w:rPr>
              <w:t>4.77</w:t>
            </w:r>
            <w:r>
              <w:rPr>
                <w:rFonts w:hint="default" w:ascii="Times New Roman" w:hAnsi="Times New Roman" w:eastAsia="宋体" w:cs="Times New Roman"/>
                <w:snapToGrid w:val="0"/>
                <w:color w:val="auto"/>
                <w:spacing w:val="0"/>
                <w:w w:val="100"/>
                <w:position w:val="0"/>
                <w:sz w:val="21"/>
                <w:szCs w:val="21"/>
              </w:rPr>
              <w:t>。根据监测结果项目区域地下水水质不能满足《地下水质量标准》</w:t>
            </w:r>
            <w:r>
              <w:rPr>
                <w:rFonts w:hint="default" w:ascii="Times New Roman" w:hAnsi="Times New Roman" w:eastAsia="Times New Roman" w:cs="Times New Roman"/>
                <w:snapToGrid w:val="0"/>
                <w:color w:val="auto"/>
                <w:spacing w:val="0"/>
                <w:w w:val="100"/>
                <w:position w:val="0"/>
                <w:sz w:val="21"/>
                <w:szCs w:val="21"/>
              </w:rPr>
              <w:t>(GB/T14848-2017)</w:t>
            </w:r>
            <w:r>
              <w:rPr>
                <w:rFonts w:hint="default" w:ascii="Times New Roman" w:hAnsi="Times New Roman" w:eastAsia="宋体" w:cs="Times New Roman"/>
                <w:snapToGrid w:val="0"/>
                <w:color w:val="auto"/>
                <w:spacing w:val="0"/>
                <w:w w:val="100"/>
                <w:position w:val="0"/>
                <w:sz w:val="21"/>
                <w:szCs w:val="21"/>
              </w:rPr>
              <w:t>中的Ⅲ类标准。超标原因与当地水文地质条件有关。</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eastAsia" w:ascii="Times New Roman" w:hAnsi="Times New Roman" w:eastAsia="宋体" w:cs="Times New Roman"/>
                <w:snapToGrid w:val="0"/>
                <w:color w:val="auto"/>
                <w:spacing w:val="0"/>
                <w:w w:val="100"/>
                <w:position w:val="0"/>
                <w:sz w:val="21"/>
                <w:szCs w:val="21"/>
                <w:lang w:val="en-US" w:eastAsia="zh-CN"/>
              </w:rPr>
              <w:t xml:space="preserve">    </w:t>
            </w:r>
            <w:r>
              <w:rPr>
                <w:rFonts w:hint="default" w:ascii="Times New Roman" w:hAnsi="Times New Roman" w:eastAsia="宋体" w:cs="Times New Roman"/>
                <w:snapToGrid w:val="0"/>
                <w:color w:val="auto"/>
                <w:spacing w:val="0"/>
                <w:w w:val="100"/>
                <w:position w:val="0"/>
                <w:sz w:val="21"/>
                <w:szCs w:val="21"/>
              </w:rPr>
              <w:t>④土壤环境</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监测结果显示各监测因子均满足《土壤环境质量 建设用地土壤污染风险管控标准（试行）》（</w:t>
            </w:r>
            <w:r>
              <w:rPr>
                <w:rFonts w:hint="default" w:ascii="Times New Roman" w:hAnsi="Times New Roman" w:eastAsia="Times New Roman" w:cs="Times New Roman"/>
                <w:snapToGrid w:val="0"/>
                <w:color w:val="auto"/>
                <w:spacing w:val="0"/>
                <w:w w:val="100"/>
                <w:position w:val="0"/>
                <w:sz w:val="21"/>
                <w:szCs w:val="21"/>
              </w:rPr>
              <w:t>GB36600-2018</w:t>
            </w:r>
            <w:r>
              <w:rPr>
                <w:rFonts w:hint="default" w:ascii="Times New Roman" w:hAnsi="Times New Roman" w:eastAsia="宋体" w:cs="Times New Roman"/>
                <w:snapToGrid w:val="0"/>
                <w:color w:val="auto"/>
                <w:spacing w:val="0"/>
                <w:w w:val="100"/>
                <w:position w:val="0"/>
                <w:sz w:val="21"/>
                <w:szCs w:val="21"/>
              </w:rPr>
              <w:t xml:space="preserve">）表 </w:t>
            </w:r>
            <w:r>
              <w:rPr>
                <w:rFonts w:hint="default" w:ascii="Times New Roman" w:hAnsi="Times New Roman" w:eastAsia="Times New Roman" w:cs="Times New Roman"/>
                <w:snapToGrid w:val="0"/>
                <w:color w:val="auto"/>
                <w:spacing w:val="0"/>
                <w:w w:val="100"/>
                <w:position w:val="0"/>
                <w:sz w:val="21"/>
                <w:szCs w:val="21"/>
              </w:rPr>
              <w:t xml:space="preserve">1 </w:t>
            </w:r>
            <w:r>
              <w:rPr>
                <w:rFonts w:hint="default" w:ascii="Times New Roman" w:hAnsi="Times New Roman" w:eastAsia="宋体" w:cs="Times New Roman"/>
                <w:snapToGrid w:val="0"/>
                <w:color w:val="auto"/>
                <w:spacing w:val="0"/>
                <w:w w:val="100"/>
                <w:position w:val="0"/>
                <w:sz w:val="21"/>
                <w:szCs w:val="21"/>
              </w:rPr>
              <w:t>中第二类用地的筛选值限值要求，表明评价区各采样点土壤中各监测因子对人体健康的风险可以忽略。</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综上，本项目建设会在一定程度上增加区域污染负荷，但不会改变区域环境质量整体状况，满足区域环境质量底线管理要求。</w:t>
            </w:r>
          </w:p>
        </w:tc>
        <w:tc>
          <w:tcPr>
            <w:tcW w:w="1113"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31"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资源利用上</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position w:val="0"/>
                <w:sz w:val="21"/>
                <w:szCs w:val="21"/>
                <w:lang w:eastAsia="zh-CN"/>
              </w:rPr>
            </w:pPr>
            <w:r>
              <w:rPr>
                <w:rFonts w:hint="default" w:ascii="Times New Roman" w:hAnsi="Times New Roman" w:eastAsia="宋体" w:cs="Times New Roman"/>
                <w:snapToGrid w:val="0"/>
                <w:color w:val="auto"/>
                <w:spacing w:val="0"/>
                <w:w w:val="100"/>
                <w:position w:val="0"/>
                <w:sz w:val="21"/>
                <w:szCs w:val="21"/>
              </w:rPr>
              <w:t>线及分区管</w:t>
            </w:r>
            <w:r>
              <w:rPr>
                <w:rFonts w:hint="default" w:ascii="Times New Roman" w:hAnsi="Times New Roman" w:eastAsia="宋体" w:cs="Times New Roman"/>
                <w:snapToGrid w:val="0"/>
                <w:color w:val="auto"/>
                <w:spacing w:val="0"/>
                <w:w w:val="100"/>
                <w:position w:val="0"/>
                <w:sz w:val="21"/>
                <w:szCs w:val="21"/>
                <w:lang w:eastAsia="zh-CN"/>
              </w:rPr>
              <w:t>控</w:t>
            </w:r>
          </w:p>
        </w:tc>
        <w:tc>
          <w:tcPr>
            <w:tcW w:w="5442"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资源利用上线：指按照自然资源资产“只能增值、不能贬值”的原则，以保障生态安全和改善环境质量为目的，利用自然资源资产负债表，结合自然资源开发管控，提出的分区域分阶段的资源开发利用总量、强度、效率等上线管控要求。</w:t>
            </w:r>
          </w:p>
        </w:tc>
        <w:tc>
          <w:tcPr>
            <w:tcW w:w="63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本项目年用水量</w:t>
            </w:r>
            <w:r>
              <w:rPr>
                <w:rFonts w:hint="eastAsia" w:ascii="Times New Roman" w:hAnsi="Times New Roman" w:eastAsia="宋体" w:cs="Times New Roman"/>
                <w:snapToGrid w:val="0"/>
                <w:color w:val="auto"/>
                <w:spacing w:val="0"/>
                <w:w w:val="100"/>
                <w:position w:val="0"/>
                <w:sz w:val="21"/>
                <w:szCs w:val="21"/>
                <w:lang w:val="en-US" w:eastAsia="zh-CN"/>
              </w:rPr>
              <w:t>177321</w:t>
            </w:r>
            <w:r>
              <w:rPr>
                <w:rFonts w:hint="default" w:ascii="Times New Roman" w:hAnsi="Times New Roman" w:eastAsia="宋体" w:cs="Times New Roman"/>
                <w:snapToGrid w:val="0"/>
                <w:color w:val="auto"/>
                <w:spacing w:val="0"/>
                <w:w w:val="100"/>
                <w:position w:val="0"/>
                <w:sz w:val="21"/>
                <w:szCs w:val="21"/>
              </w:rPr>
              <w:t>m</w:t>
            </w:r>
            <w:r>
              <w:rPr>
                <w:rFonts w:hint="default" w:ascii="Times New Roman" w:hAnsi="Times New Roman" w:eastAsia="宋体" w:cs="Times New Roman"/>
                <w:snapToGrid w:val="0"/>
                <w:color w:val="auto"/>
                <w:spacing w:val="0"/>
                <w:w w:val="100"/>
                <w:position w:val="0"/>
                <w:sz w:val="21"/>
                <w:szCs w:val="21"/>
                <w:vertAlign w:val="superscript"/>
              </w:rPr>
              <w:t>3</w:t>
            </w:r>
            <w:r>
              <w:rPr>
                <w:rFonts w:hint="default" w:ascii="Times New Roman" w:hAnsi="Times New Roman" w:eastAsia="宋体" w:cs="Times New Roman"/>
                <w:snapToGrid w:val="0"/>
                <w:color w:val="auto"/>
                <w:spacing w:val="0"/>
                <w:w w:val="100"/>
                <w:position w:val="0"/>
                <w:sz w:val="21"/>
                <w:szCs w:val="21"/>
              </w:rPr>
              <w:t>，来自市政供水管网，满足本项目用水需求；项目用电由市政供电管网提供，年用电量</w:t>
            </w:r>
            <w:r>
              <w:rPr>
                <w:rFonts w:hint="eastAsia" w:ascii="Times New Roman" w:hAnsi="Times New Roman" w:eastAsia="宋体" w:cs="Times New Roman"/>
                <w:snapToGrid w:val="0"/>
                <w:color w:val="auto"/>
                <w:spacing w:val="0"/>
                <w:w w:val="100"/>
                <w:position w:val="0"/>
                <w:sz w:val="21"/>
                <w:szCs w:val="21"/>
                <w:lang w:val="en-US" w:eastAsia="zh-CN"/>
              </w:rPr>
              <w:t>36</w:t>
            </w:r>
            <w:r>
              <w:rPr>
                <w:rFonts w:hint="default" w:ascii="Times New Roman" w:hAnsi="Times New Roman" w:eastAsia="宋体" w:cs="Times New Roman"/>
                <w:snapToGrid w:val="0"/>
                <w:color w:val="auto"/>
                <w:spacing w:val="0"/>
                <w:w w:val="100"/>
                <w:position w:val="0"/>
                <w:sz w:val="21"/>
                <w:szCs w:val="21"/>
              </w:rPr>
              <w:t>万kW·h，区域电量充足，能够满足本项目需求，项目建设不会对区域用电造成冲击。</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因此，符合资源利用上线的相关要求。</w:t>
            </w:r>
          </w:p>
        </w:tc>
        <w:tc>
          <w:tcPr>
            <w:tcW w:w="1113"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31"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环境管控单</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元与准入清</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单</w:t>
            </w:r>
          </w:p>
        </w:tc>
        <w:tc>
          <w:tcPr>
            <w:tcW w:w="5442"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坚持生态优先，考虑区域经济社会发展重点和差异，综合划定环境管控单元，在环境管控单元内落实生态保护红线、环境质量底线、资源利用上线的分区管控要求，实施分类管控。各生态环境要素中各类区域管控级别有重合时，按照“就高不就低”的原则处理，突出各生态环境要素优先保护区和重点管控区。</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环境管控单元类型：优先保护单元、重点管控单元、一般管控单元。</w:t>
            </w:r>
          </w:p>
        </w:tc>
        <w:tc>
          <w:tcPr>
            <w:tcW w:w="63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项目主要建设为肉牛养殖场，不在生态保护红线范围内，厂区进行绿化，通过对生产过程中产生的污染物经妥善处理后，对区域环境影响较小，因此本项目符合重点管控单元要求。</w:t>
            </w:r>
          </w:p>
        </w:tc>
        <w:tc>
          <w:tcPr>
            <w:tcW w:w="1113"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符合</w:t>
            </w:r>
          </w:p>
        </w:tc>
      </w:tr>
    </w:tbl>
    <w:p>
      <w:pPr>
        <w:tabs>
          <w:tab w:val="left" w:pos="2595"/>
        </w:tabs>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sectPr>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highlight w:val="none"/>
          <w:lang w:val="en-US" w:eastAsia="zh-CN"/>
        </w:rPr>
        <w:t>综上所述，本项目建设</w:t>
      </w:r>
      <w:r>
        <w:rPr>
          <w:rFonts w:hint="default" w:ascii="Times New Roman" w:hAnsi="Times New Roman" w:eastAsia="宋体" w:cs="Times New Roman"/>
          <w:color w:val="auto"/>
          <w:spacing w:val="0"/>
          <w:w w:val="100"/>
          <w:kern w:val="0"/>
          <w:position w:val="0"/>
          <w:sz w:val="24"/>
          <w:highlight w:val="none"/>
          <w:lang w:val="zh-CN"/>
        </w:rPr>
        <w:t>属于国家允许类项目，符合国家的产业政策。同时项目符合“三线一单”相关要求</w:t>
      </w:r>
      <w:r>
        <w:rPr>
          <w:rFonts w:hint="default" w:ascii="Times New Roman" w:hAnsi="Times New Roman" w:eastAsia="宋体" w:cs="Times New Roman"/>
          <w:color w:val="auto"/>
          <w:spacing w:val="0"/>
          <w:w w:val="100"/>
          <w:kern w:val="0"/>
          <w:position w:val="0"/>
          <w:sz w:val="24"/>
          <w:highlight w:val="none"/>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47" w:name="_Toc1274"/>
      <w:bookmarkStart w:id="448" w:name="_Toc31589"/>
      <w:bookmarkStart w:id="449" w:name="_Toc30654"/>
      <w:bookmarkStart w:id="450" w:name="_Toc4866"/>
      <w:bookmarkStart w:id="451" w:name="_Toc28428"/>
      <w:bookmarkStart w:id="452" w:name="_Toc22348"/>
      <w:r>
        <w:rPr>
          <w:rFonts w:hint="default" w:ascii="Times New Roman" w:hAnsi="Times New Roman" w:eastAsia="宋体" w:cs="Times New Roman"/>
          <w:snapToGrid w:val="0"/>
          <w:color w:val="auto"/>
          <w:spacing w:val="0"/>
          <w:w w:val="100"/>
          <w:kern w:val="0"/>
          <w:position w:val="0"/>
          <w:sz w:val="28"/>
          <w:szCs w:val="28"/>
          <w:highlight w:val="none"/>
          <w:lang w:val="en-US" w:eastAsia="zh-CN"/>
        </w:rPr>
        <w:t>1.7.4项目选址合理性分析</w:t>
      </w:r>
      <w:bookmarkEnd w:id="447"/>
      <w:bookmarkEnd w:id="448"/>
      <w:bookmarkEnd w:id="449"/>
      <w:bookmarkEnd w:id="450"/>
      <w:bookmarkEnd w:id="451"/>
      <w:bookmarkEnd w:id="452"/>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1.7.4.1</w:t>
      </w:r>
      <w:r>
        <w:rPr>
          <w:rFonts w:hint="default" w:ascii="Times New Roman" w:hAnsi="Times New Roman" w:eastAsia="宋体" w:cs="Times New Roman"/>
          <w:b/>
          <w:color w:val="auto"/>
          <w:spacing w:val="0"/>
          <w:w w:val="100"/>
          <w:kern w:val="0"/>
          <w:position w:val="0"/>
          <w:sz w:val="24"/>
          <w:highlight w:val="none"/>
          <w:lang w:val="zh-CN" w:eastAsia="zh-CN"/>
        </w:rPr>
        <w:t>与《畜禽养殖业污染防治技术规范》（HJ/T81-2001）的符合性分析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szCs w:val="22"/>
          <w:highlight w:val="none"/>
          <w:lang w:val="zh-CN"/>
        </w:rPr>
        <w:t>《畜禽养殖业污染防治技术规范》（HJ/T81-2001）中第3节对养殖场选址的要求：</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fldChar w:fldCharType="begin"/>
      </w:r>
      <w:r>
        <w:rPr>
          <w:rFonts w:hint="default" w:ascii="Times New Roman" w:hAnsi="Times New Roman" w:eastAsia="宋体" w:cs="Times New Roman"/>
          <w:color w:val="auto"/>
          <w:spacing w:val="0"/>
          <w:w w:val="100"/>
          <w:kern w:val="0"/>
          <w:position w:val="0"/>
          <w:sz w:val="24"/>
          <w:szCs w:val="24"/>
          <w:highlight w:val="none"/>
          <w:lang w:val="zh-CN"/>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lang w:val="zh-CN"/>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lang w:val="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禁止在下列区域内建设畜禽养殖场：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lang w:val="zh-CN"/>
        </w:rPr>
        <w:t>生活饮用水水源保护区、风景名胜区、自然保护区的核心区及缓冲区；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lang w:val="zh-CN"/>
        </w:rPr>
        <w:t>城市和城镇居民区，包括文教科研区、医疗区、商业区、工业区、游览区等人口集中地区；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lang w:val="zh-CN"/>
        </w:rPr>
        <w:t>县级人民政府依法划定的禁养区域；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lang w:val="zh-CN"/>
        </w:rPr>
        <w:t>国家或地方法律、法规规定需特殊保护的其他区域。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szCs w:val="22"/>
          <w:highlight w:val="none"/>
          <w:lang w:val="zh-CN"/>
        </w:rPr>
        <w:t>根据现场踏勘及查阅相关规划资料，本项目选址不属于上述禁止建设的区域，符合建设要求。</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fldChar w:fldCharType="begin"/>
      </w:r>
      <w:r>
        <w:rPr>
          <w:rFonts w:hint="default" w:ascii="Times New Roman" w:hAnsi="Times New Roman" w:eastAsia="宋体" w:cs="Times New Roman"/>
          <w:color w:val="auto"/>
          <w:spacing w:val="0"/>
          <w:w w:val="100"/>
          <w:kern w:val="0"/>
          <w:position w:val="0"/>
          <w:sz w:val="24"/>
          <w:szCs w:val="24"/>
          <w:highlight w:val="none"/>
          <w:lang w:val="zh-CN"/>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lang w:val="zh-CN"/>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lang w:val="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新建、改建、扩建的畜禽养殖场应避开规定的禁建区域，在禁建区域附近建设的，应设在规定的禁建区域常年主导风向的下风向或侧风向处，场界与禁建区域边界的最小距离不得小于500m。</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fldChar w:fldCharType="begin"/>
      </w:r>
      <w:r>
        <w:rPr>
          <w:rFonts w:hint="default" w:ascii="Times New Roman" w:hAnsi="Times New Roman" w:eastAsia="宋体" w:cs="Times New Roman"/>
          <w:color w:val="auto"/>
          <w:spacing w:val="0"/>
          <w:w w:val="100"/>
          <w:kern w:val="0"/>
          <w:position w:val="0"/>
          <w:sz w:val="24"/>
          <w:szCs w:val="24"/>
          <w:highlight w:val="none"/>
          <w:lang w:val="zh-CN"/>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lang w:val="zh-CN"/>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lang w:val="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畜禽养殖场的</w:t>
      </w:r>
      <w:r>
        <w:rPr>
          <w:rFonts w:hint="default" w:ascii="Times New Roman" w:hAnsi="Times New Roman" w:eastAsia="宋体" w:cs="Times New Roman"/>
          <w:color w:val="auto"/>
          <w:spacing w:val="0"/>
          <w:w w:val="100"/>
          <w:kern w:val="0"/>
          <w:position w:val="0"/>
          <w:sz w:val="24"/>
          <w:szCs w:val="22"/>
          <w:highlight w:val="none"/>
          <w:lang w:val="zh-CN"/>
        </w:rPr>
        <w:t>选址分析，还应注意场址的设置需远离工业企业，必须选择在生态环境良好、无“三废”污染或不直接受工业“三废”污染的区域，场址既要避开交通主干道便于防疫，又要交通方便，以便于饲料和出栏、入栏畜禽及其产品的运输。</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val="zh-CN"/>
        </w:rPr>
      </w:pPr>
      <w:r>
        <w:rPr>
          <w:rFonts w:hint="default" w:ascii="Times New Roman" w:hAnsi="Times New Roman" w:eastAsia="宋体" w:cs="Times New Roman"/>
          <w:color w:val="auto"/>
          <w:spacing w:val="0"/>
          <w:w w:val="100"/>
          <w:kern w:val="0"/>
          <w:position w:val="0"/>
          <w:sz w:val="24"/>
          <w:szCs w:val="22"/>
          <w:highlight w:val="none"/>
          <w:lang w:val="zh-CN"/>
        </w:rPr>
        <w:t>本项目建设用地为设施农用地，非基本农田保护区及耕地，非林业用地，项目500m范围内没有居民点等环境保护目标，建设区域不存在矿产资源，无天然气管线，无饮用水水源地。同时场区周围也没有受污染的水体及产生有害气体、烟雾、粉尘等污染源的工业企业或其他产生污染源的地区或场所，周围环境卫生条件良好。此外，本项目产生的污染物在采取本报告提出各项污染防治措施后，废水可综合利用，固体废物均可妥善处理，对周围环境影响较小，不会改变区域原有环境功能。</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lang w:val="en-US" w:eastAsia="zh-CN"/>
        </w:rPr>
        <w:t>1</w:t>
      </w:r>
      <w:r>
        <w:rPr>
          <w:rFonts w:hint="default" w:ascii="Times New Roman" w:hAnsi="Times New Roman" w:eastAsia="宋体" w:cs="Times New Roman"/>
          <w:b/>
          <w:color w:val="auto"/>
          <w:spacing w:val="0"/>
          <w:w w:val="100"/>
          <w:kern w:val="0"/>
          <w:position w:val="0"/>
          <w:sz w:val="24"/>
          <w:highlight w:val="none"/>
        </w:rPr>
        <w:t>.7.</w:t>
      </w:r>
      <w:r>
        <w:rPr>
          <w:rFonts w:hint="default" w:ascii="Times New Roman" w:hAnsi="Times New Roman" w:eastAsia="宋体" w:cs="Times New Roman"/>
          <w:b/>
          <w:color w:val="auto"/>
          <w:spacing w:val="0"/>
          <w:w w:val="100"/>
          <w:kern w:val="0"/>
          <w:position w:val="0"/>
          <w:sz w:val="24"/>
          <w:highlight w:val="none"/>
          <w:lang w:val="en-US" w:eastAsia="zh-CN"/>
        </w:rPr>
        <w:t>4.</w:t>
      </w:r>
      <w:r>
        <w:rPr>
          <w:rFonts w:hint="eastAsia" w:ascii="Times New Roman" w:hAnsi="Times New Roman" w:eastAsia="宋体" w:cs="Times New Roman"/>
          <w:b/>
          <w:color w:val="auto"/>
          <w:spacing w:val="0"/>
          <w:w w:val="100"/>
          <w:kern w:val="0"/>
          <w:position w:val="0"/>
          <w:sz w:val="24"/>
          <w:highlight w:val="none"/>
          <w:lang w:val="en-US" w:eastAsia="zh-CN"/>
        </w:rPr>
        <w:t>2</w:t>
      </w:r>
      <w:r>
        <w:rPr>
          <w:rFonts w:hint="default" w:ascii="Times New Roman" w:hAnsi="Times New Roman" w:eastAsia="宋体" w:cs="Times New Roman"/>
          <w:b/>
          <w:color w:val="auto"/>
          <w:spacing w:val="0"/>
          <w:w w:val="100"/>
          <w:kern w:val="0"/>
          <w:position w:val="0"/>
          <w:sz w:val="24"/>
          <w:highlight w:val="none"/>
        </w:rPr>
        <w:t>与</w:t>
      </w:r>
      <w:r>
        <w:rPr>
          <w:rFonts w:hint="default" w:ascii="Times New Roman" w:hAnsi="Times New Roman" w:eastAsia="宋体" w:cs="Times New Roman"/>
          <w:b/>
          <w:color w:val="auto"/>
          <w:spacing w:val="0"/>
          <w:w w:val="100"/>
          <w:kern w:val="0"/>
          <w:position w:val="0"/>
          <w:sz w:val="24"/>
          <w:highlight w:val="none"/>
          <w:lang w:val="zh-CN"/>
        </w:rPr>
        <w:t>《动物防疫条件审查办法》（农业部令</w:t>
      </w:r>
      <w:r>
        <w:rPr>
          <w:rFonts w:hint="default" w:ascii="Times New Roman" w:hAnsi="Times New Roman" w:eastAsia="宋体" w:cs="Times New Roman"/>
          <w:b/>
          <w:color w:val="auto"/>
          <w:spacing w:val="0"/>
          <w:w w:val="100"/>
          <w:kern w:val="0"/>
          <w:position w:val="0"/>
          <w:sz w:val="24"/>
          <w:highlight w:val="none"/>
        </w:rPr>
        <w:t>2010年第7号</w:t>
      </w:r>
      <w:r>
        <w:rPr>
          <w:rFonts w:hint="default" w:ascii="Times New Roman" w:hAnsi="Times New Roman" w:eastAsia="宋体" w:cs="Times New Roman"/>
          <w:b/>
          <w:color w:val="auto"/>
          <w:spacing w:val="0"/>
          <w:w w:val="100"/>
          <w:kern w:val="0"/>
          <w:position w:val="0"/>
          <w:sz w:val="24"/>
          <w:highlight w:val="none"/>
          <w:lang w:val="zh-CN"/>
        </w:rPr>
        <w:t>）的符合性分析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t>《动物防疫条件审查办法》中第五节对养殖场选址的要求：</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fldChar w:fldCharType="begin"/>
      </w:r>
      <w:r>
        <w:rPr>
          <w:rFonts w:hint="default" w:ascii="Times New Roman" w:hAnsi="Times New Roman" w:eastAsia="宋体" w:cs="Times New Roman"/>
          <w:color w:val="auto"/>
          <w:spacing w:val="0"/>
          <w:w w:val="100"/>
          <w:kern w:val="0"/>
          <w:position w:val="0"/>
          <w:sz w:val="24"/>
          <w:szCs w:val="24"/>
          <w:highlight w:val="none"/>
          <w:lang w:val="zh-CN"/>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lang w:val="zh-CN"/>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lang w:val="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距离生活饮用水源地、动物屠宰加工场所、动物和动物产品集贸市场500米以上；距离种畜禽场1000</w:t>
      </w:r>
      <w:r>
        <w:rPr>
          <w:rFonts w:hint="default" w:ascii="Times New Roman" w:hAnsi="Times New Roman" w:eastAsia="宋体" w:cs="Times New Roman"/>
          <w:color w:val="auto"/>
          <w:spacing w:val="0"/>
          <w:w w:val="100"/>
          <w:kern w:val="0"/>
          <w:position w:val="0"/>
          <w:sz w:val="24"/>
          <w:szCs w:val="24"/>
          <w:highlight w:val="none"/>
          <w:lang w:val="en-US" w:eastAsia="zh-CN"/>
        </w:rPr>
        <w:t>m</w:t>
      </w:r>
      <w:r>
        <w:rPr>
          <w:rFonts w:hint="default" w:ascii="Times New Roman" w:hAnsi="Times New Roman" w:eastAsia="宋体" w:cs="Times New Roman"/>
          <w:color w:val="auto"/>
          <w:spacing w:val="0"/>
          <w:w w:val="100"/>
          <w:kern w:val="0"/>
          <w:position w:val="0"/>
          <w:sz w:val="24"/>
          <w:szCs w:val="24"/>
          <w:highlight w:val="none"/>
          <w:lang w:val="zh-CN"/>
        </w:rPr>
        <w:t>以上；距离动物诊疗场所</w:t>
      </w:r>
      <w:r>
        <w:rPr>
          <w:rFonts w:hint="default" w:ascii="Times New Roman" w:hAnsi="Times New Roman" w:eastAsia="宋体" w:cs="Times New Roman"/>
          <w:color w:val="auto"/>
          <w:spacing w:val="0"/>
          <w:w w:val="100"/>
          <w:kern w:val="0"/>
          <w:position w:val="0"/>
          <w:sz w:val="24"/>
          <w:szCs w:val="24"/>
          <w:highlight w:val="none"/>
          <w:lang w:val="en-US" w:eastAsia="zh-CN"/>
        </w:rPr>
        <w:t>200m</w:t>
      </w:r>
      <w:r>
        <w:rPr>
          <w:rFonts w:hint="default" w:ascii="Times New Roman" w:hAnsi="Times New Roman" w:eastAsia="宋体" w:cs="Times New Roman"/>
          <w:color w:val="auto"/>
          <w:spacing w:val="0"/>
          <w:w w:val="100"/>
          <w:kern w:val="0"/>
          <w:position w:val="0"/>
          <w:sz w:val="24"/>
          <w:szCs w:val="24"/>
          <w:highlight w:val="none"/>
          <w:lang w:val="zh-CN"/>
        </w:rPr>
        <w:t>以上；动物饲养场（养殖小区）之间距离不少于500</w:t>
      </w:r>
      <w:r>
        <w:rPr>
          <w:rFonts w:hint="default" w:ascii="Times New Roman" w:hAnsi="Times New Roman" w:eastAsia="宋体" w:cs="Times New Roman"/>
          <w:color w:val="auto"/>
          <w:spacing w:val="0"/>
          <w:w w:val="100"/>
          <w:kern w:val="0"/>
          <w:position w:val="0"/>
          <w:sz w:val="24"/>
          <w:szCs w:val="24"/>
          <w:highlight w:val="none"/>
          <w:lang w:val="en-US" w:eastAsia="zh-CN"/>
        </w:rPr>
        <w:t>m</w:t>
      </w:r>
      <w:r>
        <w:rPr>
          <w:rFonts w:hint="default" w:ascii="Times New Roman" w:hAnsi="Times New Roman" w:eastAsia="宋体" w:cs="Times New Roman"/>
          <w:color w:val="auto"/>
          <w:spacing w:val="0"/>
          <w:w w:val="100"/>
          <w:kern w:val="0"/>
          <w:position w:val="0"/>
          <w:sz w:val="24"/>
          <w:szCs w:val="24"/>
          <w:highlight w:val="none"/>
          <w:lang w:val="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距离动物隔离场所、无害化处理场所3000</w:t>
      </w:r>
      <w:r>
        <w:rPr>
          <w:rFonts w:hint="default" w:ascii="Times New Roman" w:hAnsi="Times New Roman" w:eastAsia="宋体" w:cs="Times New Roman"/>
          <w:color w:val="auto"/>
          <w:spacing w:val="0"/>
          <w:w w:val="100"/>
          <w:kern w:val="0"/>
          <w:position w:val="0"/>
          <w:sz w:val="24"/>
          <w:szCs w:val="24"/>
          <w:highlight w:val="none"/>
          <w:lang w:val="en-US" w:eastAsia="zh-CN"/>
        </w:rPr>
        <w:t>m</w:t>
      </w:r>
      <w:r>
        <w:rPr>
          <w:rFonts w:hint="default" w:ascii="Times New Roman" w:hAnsi="Times New Roman" w:eastAsia="宋体" w:cs="Times New Roman"/>
          <w:color w:val="auto"/>
          <w:spacing w:val="0"/>
          <w:w w:val="100"/>
          <w:kern w:val="0"/>
          <w:position w:val="0"/>
          <w:sz w:val="24"/>
          <w:szCs w:val="24"/>
          <w:highlight w:val="none"/>
          <w:lang w:val="zh-CN"/>
        </w:rPr>
        <w:t>以上；</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szCs w:val="24"/>
          <w:highlight w:val="none"/>
          <w:lang w:val="zh-CN"/>
        </w:rPr>
        <w:t>距离城镇居民区、文化教育科研等人口集中区域及公路、铁路等主要交通干线500</w:t>
      </w:r>
      <w:r>
        <w:rPr>
          <w:rFonts w:hint="default" w:ascii="Times New Roman" w:hAnsi="Times New Roman" w:eastAsia="宋体" w:cs="Times New Roman"/>
          <w:color w:val="auto"/>
          <w:spacing w:val="0"/>
          <w:w w:val="100"/>
          <w:kern w:val="0"/>
          <w:position w:val="0"/>
          <w:sz w:val="24"/>
          <w:szCs w:val="24"/>
          <w:highlight w:val="none"/>
          <w:lang w:val="en-US" w:eastAsia="zh-CN"/>
        </w:rPr>
        <w:t>m</w:t>
      </w:r>
      <w:r>
        <w:rPr>
          <w:rFonts w:hint="default" w:ascii="Times New Roman" w:hAnsi="Times New Roman" w:eastAsia="宋体" w:cs="Times New Roman"/>
          <w:color w:val="auto"/>
          <w:spacing w:val="0"/>
          <w:w w:val="100"/>
          <w:kern w:val="0"/>
          <w:position w:val="0"/>
          <w:sz w:val="24"/>
          <w:szCs w:val="24"/>
          <w:highlight w:val="none"/>
          <w:lang w:val="zh-CN"/>
        </w:rPr>
        <w:t>以上。</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t>本项目建设地点位于吴忠市同心县下马关镇上垣村，项目周边3km范围内没有生活饮用水源地、动物屠宰加工场所、动物和动物产品集贸市场、动物隔离场所、无害化处理场所；项目选址符合动物防疫条件审查办法中相关要求。</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t>综上所述，本项目的选址符合《畜禽养殖业污染防治技术规范》（HJ/T81-2001）、《动物防疫条件审查办法》中的相关要求。因此项目选址合理。</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zh-CN" w:eastAsia="zh-CN"/>
        </w:rPr>
      </w:pPr>
      <w:r>
        <w:rPr>
          <w:rFonts w:hint="default" w:ascii="Times New Roman" w:hAnsi="Times New Roman" w:eastAsia="宋体" w:cs="Times New Roman"/>
          <w:b/>
          <w:color w:val="auto"/>
          <w:spacing w:val="0"/>
          <w:w w:val="100"/>
          <w:kern w:val="0"/>
          <w:position w:val="0"/>
          <w:sz w:val="24"/>
          <w:highlight w:val="none"/>
          <w:lang w:val="en-US" w:eastAsia="zh-CN"/>
        </w:rPr>
        <w:t>1.7.4.3</w:t>
      </w:r>
      <w:r>
        <w:rPr>
          <w:rFonts w:hint="default" w:ascii="Times New Roman" w:hAnsi="Times New Roman" w:eastAsia="宋体" w:cs="Times New Roman"/>
          <w:b/>
          <w:color w:val="auto"/>
          <w:spacing w:val="0"/>
          <w:w w:val="100"/>
          <w:kern w:val="0"/>
          <w:position w:val="0"/>
          <w:sz w:val="24"/>
          <w:highlight w:val="none"/>
          <w:lang w:val="zh-CN" w:eastAsia="zh-CN"/>
        </w:rPr>
        <w:t>养殖条件的符合性分析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lang w:val="zh-CN"/>
        </w:rPr>
        <w:t>本项目周围为农田，地势较高且土质松软、干燥，排水流畅，项目区具有干旱少雨，日照充足，蒸发量大，昼夜温差大等特点，历年年平均降水量278.0mm。历年最大全年蒸发量2459.3mm，历年最小全年蒸发量1783.1mm，历年年平均蒸发量2224.1mm。历年最多大风日数53次，历年最少大风日数4次。历年最大冻土深度137cm。历年日最大积雪厚度14cm。适宜多种畜禽生长繁殖，适合养殖场建设。根据《畜禽养殖产地环境评价规范》（HJ568-2010）中相关要求，结合项目所处地理位置的环境现状及现状监测资料进行对比，对比数据见表</w:t>
      </w:r>
      <w:r>
        <w:rPr>
          <w:rFonts w:hint="default" w:ascii="Times New Roman" w:hAnsi="Times New Roman" w:eastAsia="宋体" w:cs="Times New Roman"/>
          <w:color w:val="auto"/>
          <w:spacing w:val="0"/>
          <w:w w:val="100"/>
          <w:kern w:val="0"/>
          <w:position w:val="0"/>
          <w:sz w:val="24"/>
          <w:szCs w:val="22"/>
          <w:highlight w:val="none"/>
          <w:lang w:val="en-US" w:eastAsia="zh-CN"/>
        </w:rPr>
        <w:t>1.7-</w:t>
      </w:r>
      <w:r>
        <w:rPr>
          <w:rFonts w:hint="eastAsia" w:ascii="Times New Roman" w:hAnsi="Times New Roman"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表1.7-</w:t>
      </w:r>
      <w:r>
        <w:rPr>
          <w:rFonts w:hint="eastAsia" w:ascii="Times New Roman" w:hAnsi="Times New Roman" w:cs="Times New Roman"/>
          <w:b/>
          <w:bCs w:val="0"/>
          <w:color w:val="auto"/>
          <w:spacing w:val="0"/>
          <w:w w:val="100"/>
          <w:kern w:val="0"/>
          <w:position w:val="0"/>
          <w:sz w:val="24"/>
          <w:szCs w:val="24"/>
          <w:highlight w:val="none"/>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养殖场环境质量现状与养殖场产地评价规范环境对比表</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414"/>
        <w:gridCol w:w="2406"/>
        <w:gridCol w:w="29"/>
        <w:gridCol w:w="1765"/>
        <w:gridCol w:w="1957"/>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养殖场空气环境质量现状与养殖场产地评价规范空气环境要求对比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7" w:type="dxa"/>
            <w:gridSpan w:val="3"/>
            <w:noWrap w:val="0"/>
            <w:vAlign w:val="center"/>
          </w:tcPr>
          <w:p>
            <w:pPr>
              <w:pStyle w:val="12"/>
              <w:adjustRightInd w:val="0"/>
              <w:snapToGrid w:val="0"/>
              <w:spacing w:after="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养殖场空气环境质量现状</w:t>
            </w:r>
          </w:p>
        </w:tc>
        <w:tc>
          <w:tcPr>
            <w:tcW w:w="3751" w:type="dxa"/>
            <w:gridSpan w:val="3"/>
            <w:noWrap w:val="0"/>
            <w:vAlign w:val="center"/>
          </w:tcPr>
          <w:p>
            <w:pPr>
              <w:pStyle w:val="12"/>
              <w:adjustRightInd w:val="0"/>
              <w:snapToGrid w:val="0"/>
              <w:spacing w:after="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《畜禽养殖产地环境评价规范》（HJ568—2010）表5限值要求</w:t>
            </w:r>
          </w:p>
        </w:tc>
        <w:tc>
          <w:tcPr>
            <w:tcW w:w="1153" w:type="dxa"/>
            <w:vMerge w:val="restart"/>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对比结果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34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指标</w:t>
            </w:r>
          </w:p>
        </w:tc>
        <w:tc>
          <w:tcPr>
            <w:tcW w:w="2820"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数值（单位：mg/m</w:t>
            </w:r>
            <w:r>
              <w:rPr>
                <w:rFonts w:hint="default" w:ascii="Times New Roman" w:hAnsi="Times New Roman" w:eastAsia="宋体" w:cs="Times New Roman"/>
                <w:bCs/>
                <w:color w:val="auto"/>
                <w:spacing w:val="0"/>
                <w:w w:val="100"/>
                <w:kern w:val="0"/>
                <w:position w:val="0"/>
                <w:sz w:val="21"/>
                <w:szCs w:val="21"/>
                <w:highlight w:val="none"/>
                <w:vertAlign w:val="superscript"/>
              </w:rPr>
              <w:t>3</w:t>
            </w:r>
            <w:r>
              <w:rPr>
                <w:rFonts w:hint="default" w:ascii="Times New Roman" w:hAnsi="Times New Roman" w:eastAsia="宋体" w:cs="Times New Roman"/>
                <w:bCs/>
                <w:color w:val="auto"/>
                <w:spacing w:val="0"/>
                <w:w w:val="100"/>
                <w:kern w:val="0"/>
                <w:position w:val="0"/>
                <w:sz w:val="21"/>
                <w:szCs w:val="21"/>
                <w:highlight w:val="none"/>
              </w:rPr>
              <w:t>）</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指标</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数值（单位：mg/m</w:t>
            </w:r>
            <w:r>
              <w:rPr>
                <w:rFonts w:hint="default" w:ascii="Times New Roman" w:hAnsi="Times New Roman" w:eastAsia="宋体" w:cs="Times New Roman"/>
                <w:bCs/>
                <w:color w:val="auto"/>
                <w:spacing w:val="0"/>
                <w:w w:val="100"/>
                <w:kern w:val="0"/>
                <w:position w:val="0"/>
                <w:sz w:val="21"/>
                <w:szCs w:val="21"/>
                <w:highlight w:val="none"/>
                <w:vertAlign w:val="superscript"/>
              </w:rPr>
              <w:t>3</w:t>
            </w:r>
            <w:r>
              <w:rPr>
                <w:rFonts w:hint="default" w:ascii="Times New Roman" w:hAnsi="Times New Roman" w:eastAsia="宋体" w:cs="Times New Roman"/>
                <w:bCs/>
                <w:color w:val="auto"/>
                <w:spacing w:val="0"/>
                <w:w w:val="100"/>
                <w:kern w:val="0"/>
                <w:position w:val="0"/>
                <w:sz w:val="21"/>
                <w:szCs w:val="21"/>
                <w:highlight w:val="none"/>
              </w:rPr>
              <w:t>）</w:t>
            </w:r>
          </w:p>
        </w:tc>
        <w:tc>
          <w:tcPr>
            <w:tcW w:w="1153" w:type="dxa"/>
            <w:vMerge w:val="continue"/>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4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2820"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小时均值：</w:t>
            </w: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eastAsia" w:ascii="Times New Roman" w:hAnsi="Times New Roman" w:cs="Times New Roman"/>
                <w:color w:val="auto"/>
                <w:spacing w:val="0"/>
                <w:w w:val="100"/>
                <w:kern w:val="0"/>
                <w:position w:val="0"/>
                <w:sz w:val="21"/>
                <w:szCs w:val="21"/>
                <w:highlight w:val="none"/>
                <w:lang w:val="en-US" w:eastAsia="zh-CN"/>
              </w:rPr>
              <w:t>2</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eastAsia" w:ascii="Times New Roman" w:hAnsi="Times New Roman" w:cs="Times New Roman"/>
                <w:color w:val="auto"/>
                <w:spacing w:val="0"/>
                <w:w w:val="100"/>
                <w:kern w:val="0"/>
                <w:position w:val="0"/>
                <w:sz w:val="21"/>
                <w:szCs w:val="21"/>
                <w:highlight w:val="none"/>
                <w:lang w:val="en-US" w:eastAsia="zh-CN"/>
              </w:rPr>
              <w:t>9</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1日平均：5</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4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2820"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小时均值：</w:t>
            </w:r>
            <w:r>
              <w:rPr>
                <w:rFonts w:hint="default" w:ascii="Times New Roman" w:hAnsi="Times New Roman" w:eastAsia="宋体" w:cs="Times New Roman"/>
                <w:color w:val="auto"/>
                <w:spacing w:val="0"/>
                <w:w w:val="100"/>
                <w:kern w:val="0"/>
                <w:position w:val="0"/>
                <w:sz w:val="21"/>
                <w:szCs w:val="21"/>
                <w:highlight w:val="none"/>
                <w:lang w:val="en-US" w:eastAsia="zh-CN"/>
              </w:rPr>
              <w:t>0.00</w:t>
            </w:r>
            <w:r>
              <w:rPr>
                <w:rFonts w:hint="eastAsia" w:ascii="Times New Roman" w:hAnsi="Times New Roman" w:cs="Times New Roman"/>
                <w:color w:val="auto"/>
                <w:spacing w:val="0"/>
                <w:w w:val="100"/>
                <w:kern w:val="0"/>
                <w:position w:val="0"/>
                <w:sz w:val="21"/>
                <w:szCs w:val="21"/>
                <w:highlight w:val="none"/>
                <w:lang w:val="en-US" w:eastAsia="zh-CN"/>
              </w:rPr>
              <w:t>3</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val="en-US" w:eastAsia="zh-CN"/>
              </w:rPr>
              <w:t>0.00</w:t>
            </w:r>
            <w:r>
              <w:rPr>
                <w:rFonts w:hint="eastAsia" w:ascii="Times New Roman" w:hAnsi="Times New Roman" w:cs="Times New Roman"/>
                <w:color w:val="auto"/>
                <w:spacing w:val="0"/>
                <w:w w:val="100"/>
                <w:kern w:val="0"/>
                <w:position w:val="0"/>
                <w:sz w:val="21"/>
                <w:szCs w:val="21"/>
                <w:highlight w:val="none"/>
                <w:lang w:val="en-US" w:eastAsia="zh-CN"/>
              </w:rPr>
              <w:t>5</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1日平均：2</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4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TSP</w:t>
            </w:r>
          </w:p>
        </w:tc>
        <w:tc>
          <w:tcPr>
            <w:tcW w:w="2820"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default" w:ascii="Times New Roman" w:hAnsi="Times New Roman" w:eastAsia="宋体" w:cs="Times New Roman"/>
                <w:bCs/>
                <w:color w:val="auto"/>
                <w:spacing w:val="0"/>
                <w:w w:val="100"/>
                <w:kern w:val="0"/>
                <w:position w:val="0"/>
                <w:sz w:val="21"/>
                <w:szCs w:val="21"/>
                <w:highlight w:val="none"/>
              </w:rPr>
              <w:t>日均值：</w:t>
            </w:r>
            <w:r>
              <w:rPr>
                <w:rFonts w:hint="default" w:ascii="Times New Roman" w:hAnsi="Times New Roman" w:eastAsia="宋体" w:cs="Times New Roman"/>
                <w:bCs/>
                <w:color w:val="auto"/>
                <w:spacing w:val="0"/>
                <w:w w:val="100"/>
                <w:kern w:val="0"/>
                <w:position w:val="0"/>
                <w:sz w:val="21"/>
                <w:szCs w:val="21"/>
                <w:highlight w:val="none"/>
                <w:lang w:val="en-US" w:eastAsia="zh-CN"/>
              </w:rPr>
              <w:t>0.</w:t>
            </w:r>
            <w:r>
              <w:rPr>
                <w:rFonts w:hint="eastAsia" w:ascii="Times New Roman" w:hAnsi="Times New Roman" w:cs="Times New Roman"/>
                <w:bCs/>
                <w:color w:val="auto"/>
                <w:spacing w:val="0"/>
                <w:w w:val="100"/>
                <w:kern w:val="0"/>
                <w:position w:val="0"/>
                <w:sz w:val="21"/>
                <w:szCs w:val="21"/>
                <w:highlight w:val="none"/>
                <w:lang w:val="en-US" w:eastAsia="zh-CN"/>
              </w:rPr>
              <w:t>048</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val="en-US" w:eastAsia="zh-CN"/>
              </w:rPr>
              <w:t>0.</w:t>
            </w:r>
            <w:r>
              <w:rPr>
                <w:rFonts w:hint="eastAsia" w:ascii="Times New Roman" w:hAnsi="Times New Roman" w:cs="Times New Roman"/>
                <w:color w:val="auto"/>
                <w:spacing w:val="0"/>
                <w:w w:val="100"/>
                <w:kern w:val="0"/>
                <w:position w:val="0"/>
                <w:sz w:val="21"/>
                <w:szCs w:val="21"/>
                <w:highlight w:val="none"/>
                <w:lang w:val="en-US" w:eastAsia="zh-CN"/>
              </w:rPr>
              <w:t>082</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TSP</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1日平均：2</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4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lang w:eastAsia="zh-CN"/>
              </w:rPr>
              <w:t>臭气浓度</w:t>
            </w:r>
          </w:p>
        </w:tc>
        <w:tc>
          <w:tcPr>
            <w:tcW w:w="2820"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lang w:eastAsia="zh-CN"/>
              </w:rPr>
              <w:t>臭气浓度</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keepNext w:val="0"/>
              <w:keepLines w:val="0"/>
              <w:widowControl/>
              <w:suppressLineNumbers w:val="0"/>
              <w:jc w:val="left"/>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注：空气环境质量现状数据来源于</w:t>
            </w:r>
            <w:r>
              <w:rPr>
                <w:rFonts w:hint="eastAsia" w:ascii="Times New Roman" w:hAnsi="Times New Roman" w:cs="Times New Roman"/>
                <w:bCs/>
                <w:color w:val="auto"/>
                <w:spacing w:val="0"/>
                <w:w w:val="100"/>
                <w:kern w:val="0"/>
                <w:position w:val="0"/>
                <w:sz w:val="21"/>
                <w:szCs w:val="21"/>
                <w:highlight w:val="none"/>
                <w:lang w:val="en-US" w:eastAsia="zh-CN"/>
              </w:rPr>
              <w:t>宁夏盛世绿源环境检测有限责任公司</w:t>
            </w:r>
            <w:r>
              <w:rPr>
                <w:rFonts w:hint="default" w:ascii="Times New Roman" w:hAnsi="Times New Roman" w:eastAsia="宋体" w:cs="Times New Roman"/>
                <w:bCs/>
                <w:color w:val="auto"/>
                <w:spacing w:val="0"/>
                <w:w w:val="100"/>
                <w:kern w:val="0"/>
                <w:position w:val="0"/>
                <w:sz w:val="21"/>
                <w:szCs w:val="21"/>
                <w:highlight w:val="none"/>
              </w:rPr>
              <w:t>于</w:t>
            </w:r>
            <w:r>
              <w:rPr>
                <w:rFonts w:hint="default" w:ascii="Times New Roman" w:hAnsi="Times New Roman" w:eastAsia="宋体" w:cs="Times New Roman"/>
                <w:bCs/>
                <w:color w:val="auto"/>
                <w:spacing w:val="0"/>
                <w:w w:val="100"/>
                <w:kern w:val="0"/>
                <w:position w:val="0"/>
                <w:sz w:val="21"/>
                <w:szCs w:val="21"/>
                <w:highlight w:val="none"/>
                <w:lang w:val="en-US" w:eastAsia="zh-CN"/>
              </w:rPr>
              <w:t>2021</w:t>
            </w:r>
            <w:r>
              <w:rPr>
                <w:rFonts w:hint="default" w:ascii="Times New Roman" w:hAnsi="Times New Roman" w:eastAsia="宋体" w:cs="Times New Roman"/>
                <w:bCs/>
                <w:color w:val="auto"/>
                <w:spacing w:val="0"/>
                <w:w w:val="100"/>
                <w:kern w:val="0"/>
                <w:position w:val="0"/>
                <w:sz w:val="21"/>
                <w:szCs w:val="21"/>
                <w:highlight w:val="none"/>
              </w:rPr>
              <w:t>年</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月</w:t>
            </w:r>
            <w:r>
              <w:rPr>
                <w:rFonts w:hint="eastAsia" w:ascii="Times New Roman" w:hAnsi="Times New Roman" w:cs="Times New Roman"/>
                <w:bCs/>
                <w:color w:val="auto"/>
                <w:spacing w:val="0"/>
                <w:w w:val="100"/>
                <w:kern w:val="0"/>
                <w:position w:val="0"/>
                <w:sz w:val="21"/>
                <w:szCs w:val="21"/>
                <w:highlight w:val="none"/>
                <w:lang w:val="en-US" w:eastAsia="zh-CN"/>
              </w:rPr>
              <w:t>6</w:t>
            </w:r>
            <w:r>
              <w:rPr>
                <w:rFonts w:hint="default" w:ascii="Times New Roman" w:hAnsi="Times New Roman" w:eastAsia="宋体" w:cs="Times New Roman"/>
                <w:bCs/>
                <w:color w:val="auto"/>
                <w:spacing w:val="0"/>
                <w:w w:val="100"/>
                <w:kern w:val="0"/>
                <w:position w:val="0"/>
                <w:sz w:val="21"/>
                <w:szCs w:val="21"/>
                <w:highlight w:val="none"/>
              </w:rPr>
              <w:t>日～</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月</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日</w:t>
            </w:r>
            <w:r>
              <w:rPr>
                <w:rFonts w:hint="default" w:ascii="Times New Roman" w:hAnsi="Times New Roman" w:eastAsia="宋体" w:cs="Times New Roman"/>
                <w:bCs/>
                <w:color w:val="auto"/>
                <w:spacing w:val="0"/>
                <w:w w:val="100"/>
                <w:kern w:val="0"/>
                <w:position w:val="0"/>
                <w:sz w:val="21"/>
                <w:szCs w:val="21"/>
                <w:highlight w:val="none"/>
                <w:lang w:eastAsia="zh-CN"/>
              </w:rPr>
              <w:t>的</w:t>
            </w:r>
            <w:r>
              <w:rPr>
                <w:rFonts w:hint="default" w:ascii="Times New Roman" w:hAnsi="Times New Roman" w:eastAsia="宋体" w:cs="Times New Roman"/>
                <w:bCs/>
                <w:color w:val="auto"/>
                <w:spacing w:val="0"/>
                <w:w w:val="100"/>
                <w:kern w:val="0"/>
                <w:position w:val="0"/>
                <w:sz w:val="21"/>
                <w:szCs w:val="21"/>
                <w:highlight w:val="none"/>
              </w:rPr>
              <w:t>环境现状监测数据。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养殖场声环境质量现状与养殖场产地评价规范声环境要求对比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7" w:type="dxa"/>
            <w:gridSpan w:val="3"/>
            <w:noWrap w:val="0"/>
            <w:vAlign w:val="center"/>
          </w:tcPr>
          <w:p>
            <w:pPr>
              <w:pStyle w:val="12"/>
              <w:adjustRightInd w:val="0"/>
              <w:snapToGrid w:val="0"/>
              <w:spacing w:after="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养殖场声环境质量现状</w:t>
            </w:r>
          </w:p>
        </w:tc>
        <w:tc>
          <w:tcPr>
            <w:tcW w:w="3751" w:type="dxa"/>
            <w:gridSpan w:val="3"/>
            <w:noWrap w:val="0"/>
            <w:vAlign w:val="center"/>
          </w:tcPr>
          <w:p>
            <w:pPr>
              <w:pStyle w:val="12"/>
              <w:adjustRightInd w:val="0"/>
              <w:snapToGrid w:val="0"/>
              <w:spacing w:after="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《养殖场产地评价规范》（HJ568—2010）表6限值要求</w:t>
            </w:r>
          </w:p>
        </w:tc>
        <w:tc>
          <w:tcPr>
            <w:tcW w:w="1153" w:type="dxa"/>
            <w:vMerge w:val="restart"/>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对比结果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昼间dB（A）</w:t>
            </w:r>
          </w:p>
        </w:tc>
        <w:tc>
          <w:tcPr>
            <w:tcW w:w="2406"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夜间dB（A）</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昼间dB（A）</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夜间dB（A）</w:t>
            </w:r>
          </w:p>
        </w:tc>
        <w:tc>
          <w:tcPr>
            <w:tcW w:w="1153" w:type="dxa"/>
            <w:vMerge w:val="continue"/>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cs="Times New Roman"/>
                <w:bCs/>
                <w:color w:val="auto"/>
                <w:spacing w:val="0"/>
                <w:w w:val="100"/>
                <w:kern w:val="0"/>
                <w:position w:val="0"/>
                <w:sz w:val="21"/>
                <w:szCs w:val="21"/>
                <w:highlight w:val="none"/>
                <w:lang w:val="en-US" w:eastAsia="zh-CN"/>
              </w:rPr>
              <w:t>48</w:t>
            </w:r>
            <w:r>
              <w:rPr>
                <w:rFonts w:hint="default" w:ascii="Times New Roman" w:hAnsi="Times New Roman" w:eastAsia="宋体" w:cs="Times New Roman"/>
                <w:bCs/>
                <w:color w:val="auto"/>
                <w:spacing w:val="0"/>
                <w:w w:val="100"/>
                <w:kern w:val="0"/>
                <w:position w:val="0"/>
                <w:sz w:val="21"/>
                <w:szCs w:val="21"/>
                <w:highlight w:val="none"/>
              </w:rPr>
              <w:t>~</w:t>
            </w:r>
            <w:r>
              <w:rPr>
                <w:rFonts w:hint="default" w:ascii="Times New Roman" w:hAnsi="Times New Roman" w:eastAsia="宋体" w:cs="Times New Roman"/>
                <w:bCs/>
                <w:color w:val="auto"/>
                <w:spacing w:val="0"/>
                <w:w w:val="100"/>
                <w:kern w:val="0"/>
                <w:position w:val="0"/>
                <w:sz w:val="21"/>
                <w:szCs w:val="21"/>
                <w:highlight w:val="none"/>
                <w:lang w:val="en-US" w:eastAsia="zh-CN"/>
              </w:rPr>
              <w:t>5</w:t>
            </w:r>
            <w:r>
              <w:rPr>
                <w:rFonts w:hint="eastAsia" w:ascii="Times New Roman" w:hAnsi="Times New Roman" w:cs="Times New Roman"/>
                <w:bCs/>
                <w:color w:val="auto"/>
                <w:spacing w:val="0"/>
                <w:w w:val="100"/>
                <w:kern w:val="0"/>
                <w:position w:val="0"/>
                <w:sz w:val="21"/>
                <w:szCs w:val="21"/>
                <w:highlight w:val="none"/>
                <w:lang w:val="en-US" w:eastAsia="zh-CN"/>
              </w:rPr>
              <w:t>0</w:t>
            </w:r>
          </w:p>
        </w:tc>
        <w:tc>
          <w:tcPr>
            <w:tcW w:w="2406"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4</w:t>
            </w:r>
            <w:r>
              <w:rPr>
                <w:rFonts w:hint="eastAsia" w:ascii="Times New Roman" w:hAnsi="Times New Roman" w:cs="Times New Roman"/>
                <w:bCs/>
                <w:color w:val="auto"/>
                <w:spacing w:val="0"/>
                <w:w w:val="100"/>
                <w:kern w:val="0"/>
                <w:position w:val="0"/>
                <w:sz w:val="21"/>
                <w:szCs w:val="21"/>
                <w:highlight w:val="none"/>
                <w:lang w:val="en-US" w:eastAsia="zh-CN"/>
              </w:rPr>
              <w:t>2</w:t>
            </w:r>
            <w:r>
              <w:rPr>
                <w:rFonts w:hint="default" w:ascii="Times New Roman" w:hAnsi="Times New Roman" w:eastAsia="宋体" w:cs="Times New Roman"/>
                <w:bCs/>
                <w:color w:val="auto"/>
                <w:spacing w:val="0"/>
                <w:w w:val="100"/>
                <w:kern w:val="0"/>
                <w:position w:val="0"/>
                <w:sz w:val="21"/>
                <w:szCs w:val="21"/>
                <w:highlight w:val="none"/>
              </w:rPr>
              <w:t>~</w:t>
            </w:r>
            <w:r>
              <w:rPr>
                <w:rFonts w:hint="default" w:ascii="Times New Roman" w:hAnsi="Times New Roman" w:eastAsia="宋体" w:cs="Times New Roman"/>
                <w:bCs/>
                <w:color w:val="auto"/>
                <w:spacing w:val="0"/>
                <w:w w:val="100"/>
                <w:kern w:val="0"/>
                <w:position w:val="0"/>
                <w:sz w:val="21"/>
                <w:szCs w:val="21"/>
                <w:highlight w:val="none"/>
                <w:lang w:val="en-US" w:eastAsia="zh-CN"/>
              </w:rPr>
              <w:t>4</w:t>
            </w:r>
            <w:r>
              <w:rPr>
                <w:rFonts w:hint="eastAsia" w:ascii="Times New Roman" w:hAnsi="Times New Roman" w:cs="Times New Roman"/>
                <w:bCs/>
                <w:color w:val="auto"/>
                <w:spacing w:val="0"/>
                <w:w w:val="100"/>
                <w:kern w:val="0"/>
                <w:position w:val="0"/>
                <w:sz w:val="21"/>
                <w:szCs w:val="21"/>
                <w:highlight w:val="none"/>
                <w:lang w:val="en-US" w:eastAsia="zh-CN"/>
              </w:rPr>
              <w:t>4</w:t>
            </w:r>
          </w:p>
        </w:tc>
        <w:tc>
          <w:tcPr>
            <w:tcW w:w="1794"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cs="Times New Roman"/>
                <w:bCs/>
                <w:color w:val="auto"/>
                <w:spacing w:val="0"/>
                <w:w w:val="100"/>
                <w:kern w:val="0"/>
                <w:position w:val="0"/>
                <w:sz w:val="21"/>
                <w:szCs w:val="21"/>
                <w:highlight w:val="none"/>
                <w:lang w:val="en-US" w:eastAsia="zh-CN"/>
              </w:rPr>
              <w:t>60</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cs="Times New Roman"/>
                <w:bCs/>
                <w:color w:val="auto"/>
                <w:spacing w:val="0"/>
                <w:w w:val="100"/>
                <w:kern w:val="0"/>
                <w:position w:val="0"/>
                <w:sz w:val="21"/>
                <w:szCs w:val="21"/>
                <w:highlight w:val="none"/>
                <w:lang w:val="en-US" w:eastAsia="zh-CN"/>
              </w:rPr>
              <w:t>50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pStyle w:val="12"/>
              <w:adjustRightInd w:val="0"/>
              <w:snapToGrid w:val="0"/>
              <w:spacing w:after="0"/>
              <w:jc w:val="left"/>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注：声环境质量现状数据来源于</w:t>
            </w:r>
            <w:r>
              <w:rPr>
                <w:rFonts w:hint="eastAsia" w:ascii="Times New Roman" w:hAnsi="Times New Roman" w:cs="Times New Roman"/>
                <w:bCs/>
                <w:color w:val="auto"/>
                <w:spacing w:val="0"/>
                <w:w w:val="100"/>
                <w:kern w:val="0"/>
                <w:position w:val="0"/>
                <w:sz w:val="21"/>
                <w:szCs w:val="21"/>
                <w:highlight w:val="none"/>
                <w:lang w:val="en-US" w:eastAsia="zh-CN"/>
              </w:rPr>
              <w:t>宁夏盛世绿源环境检测有限责任公司</w:t>
            </w:r>
            <w:r>
              <w:rPr>
                <w:rFonts w:hint="default" w:ascii="Times New Roman" w:hAnsi="Times New Roman" w:eastAsia="宋体" w:cs="Times New Roman"/>
                <w:bCs/>
                <w:color w:val="auto"/>
                <w:spacing w:val="0"/>
                <w:w w:val="100"/>
                <w:kern w:val="0"/>
                <w:position w:val="0"/>
                <w:sz w:val="21"/>
                <w:szCs w:val="21"/>
                <w:highlight w:val="none"/>
              </w:rPr>
              <w:t>于</w:t>
            </w:r>
            <w:r>
              <w:rPr>
                <w:rFonts w:hint="default" w:ascii="Times New Roman" w:hAnsi="Times New Roman" w:eastAsia="宋体" w:cs="Times New Roman"/>
                <w:bCs/>
                <w:color w:val="auto"/>
                <w:spacing w:val="0"/>
                <w:w w:val="100"/>
                <w:kern w:val="0"/>
                <w:position w:val="0"/>
                <w:sz w:val="21"/>
                <w:szCs w:val="21"/>
                <w:highlight w:val="none"/>
                <w:lang w:val="en-US" w:eastAsia="zh-CN"/>
              </w:rPr>
              <w:t>2021</w:t>
            </w:r>
            <w:r>
              <w:rPr>
                <w:rFonts w:hint="default" w:ascii="Times New Roman" w:hAnsi="Times New Roman" w:eastAsia="宋体" w:cs="Times New Roman"/>
                <w:bCs/>
                <w:color w:val="auto"/>
                <w:spacing w:val="0"/>
                <w:w w:val="100"/>
                <w:kern w:val="0"/>
                <w:position w:val="0"/>
                <w:sz w:val="21"/>
                <w:szCs w:val="21"/>
                <w:highlight w:val="none"/>
              </w:rPr>
              <w:t>年</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月</w:t>
            </w:r>
            <w:r>
              <w:rPr>
                <w:rFonts w:hint="eastAsia" w:ascii="Times New Roman" w:hAnsi="Times New Roman" w:cs="Times New Roman"/>
                <w:bCs/>
                <w:color w:val="auto"/>
                <w:spacing w:val="0"/>
                <w:w w:val="100"/>
                <w:kern w:val="0"/>
                <w:position w:val="0"/>
                <w:sz w:val="21"/>
                <w:szCs w:val="21"/>
                <w:highlight w:val="none"/>
                <w:lang w:val="en-US" w:eastAsia="zh-CN"/>
              </w:rPr>
              <w:t>6</w:t>
            </w:r>
            <w:r>
              <w:rPr>
                <w:rFonts w:hint="default" w:ascii="Times New Roman" w:hAnsi="Times New Roman" w:eastAsia="宋体" w:cs="Times New Roman"/>
                <w:bCs/>
                <w:color w:val="auto"/>
                <w:spacing w:val="0"/>
                <w:w w:val="100"/>
                <w:kern w:val="0"/>
                <w:position w:val="0"/>
                <w:sz w:val="21"/>
                <w:szCs w:val="21"/>
                <w:highlight w:val="none"/>
              </w:rPr>
              <w:t>日</w:t>
            </w:r>
            <w:r>
              <w:rPr>
                <w:rFonts w:hint="default" w:ascii="Times New Roman" w:hAnsi="Times New Roman" w:eastAsia="宋体" w:cs="Times New Roman"/>
                <w:bCs/>
                <w:color w:val="auto"/>
                <w:spacing w:val="0"/>
                <w:w w:val="100"/>
                <w:kern w:val="0"/>
                <w:position w:val="0"/>
                <w:sz w:val="21"/>
                <w:szCs w:val="21"/>
                <w:highlight w:val="none"/>
                <w:lang w:eastAsia="zh-CN"/>
              </w:rPr>
              <w:t>对</w:t>
            </w:r>
            <w:r>
              <w:rPr>
                <w:rFonts w:hint="default" w:ascii="Times New Roman" w:hAnsi="Times New Roman" w:cs="Times New Roman"/>
                <w:bCs/>
                <w:color w:val="auto"/>
                <w:spacing w:val="0"/>
                <w:w w:val="100"/>
                <w:kern w:val="0"/>
                <w:position w:val="0"/>
                <w:sz w:val="21"/>
                <w:szCs w:val="21"/>
                <w:highlight w:val="none"/>
                <w:lang w:eastAsia="zh-CN"/>
              </w:rPr>
              <w:t>“</w:t>
            </w:r>
            <w:r>
              <w:rPr>
                <w:rFonts w:hint="default" w:ascii="Times New Roman" w:hAnsi="Times New Roman" w:eastAsia="宋体" w:cs="Times New Roman"/>
                <w:bCs/>
                <w:color w:val="auto"/>
                <w:spacing w:val="0"/>
                <w:w w:val="100"/>
                <w:kern w:val="0"/>
                <w:position w:val="0"/>
                <w:sz w:val="21"/>
                <w:szCs w:val="21"/>
                <w:highlight w:val="none"/>
                <w:lang w:eastAsia="zh-CN"/>
              </w:rPr>
              <w:t>本项目</w:t>
            </w:r>
            <w:r>
              <w:rPr>
                <w:rFonts w:hint="default" w:ascii="Times New Roman" w:hAnsi="Times New Roman" w:cs="Times New Roman"/>
                <w:bCs/>
                <w:color w:val="auto"/>
                <w:spacing w:val="0"/>
                <w:w w:val="100"/>
                <w:kern w:val="0"/>
                <w:position w:val="0"/>
                <w:sz w:val="21"/>
                <w:szCs w:val="21"/>
                <w:highlight w:val="none"/>
                <w:lang w:eastAsia="zh-CN"/>
              </w:rPr>
              <w:t>”</w:t>
            </w:r>
            <w:r>
              <w:rPr>
                <w:rFonts w:hint="default" w:ascii="Times New Roman" w:hAnsi="Times New Roman" w:eastAsia="宋体" w:cs="Times New Roman"/>
                <w:bCs/>
                <w:color w:val="auto"/>
                <w:spacing w:val="0"/>
                <w:w w:val="100"/>
                <w:kern w:val="0"/>
                <w:position w:val="0"/>
                <w:sz w:val="21"/>
                <w:szCs w:val="21"/>
                <w:highlight w:val="none"/>
              </w:rPr>
              <w:t>的监测结果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pStyle w:val="12"/>
              <w:adjustRightInd w:val="0"/>
              <w:snapToGrid w:val="0"/>
              <w:spacing w:after="0"/>
              <w:ind w:firstLine="2100" w:firstLineChars="1000"/>
              <w:jc w:val="left"/>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养殖场土壤环境质量现状与养殖场产地评价规范土壤环境要求对比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6" w:type="dxa"/>
            <w:gridSpan w:val="4"/>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养殖场土壤环境质量现状</w:t>
            </w:r>
          </w:p>
        </w:tc>
        <w:tc>
          <w:tcPr>
            <w:tcW w:w="3722" w:type="dxa"/>
            <w:gridSpan w:val="2"/>
            <w:noWrap w:val="0"/>
            <w:vAlign w:val="center"/>
          </w:tcPr>
          <w:p>
            <w:pPr>
              <w:pStyle w:val="12"/>
              <w:adjustRightInd w:val="0"/>
              <w:snapToGrid w:val="0"/>
              <w:spacing w:after="0"/>
              <w:jc w:val="center"/>
              <w:rPr>
                <w:rFonts w:hint="default" w:ascii="Times New Roman" w:hAnsi="Times New Roman" w:eastAsia="宋体" w:cs="Times New Roman"/>
                <w:b/>
                <w:bCs/>
                <w:color w:val="auto"/>
                <w:spacing w:val="0"/>
                <w:w w:val="100"/>
                <w:kern w:val="0"/>
                <w:position w:val="0"/>
                <w:sz w:val="21"/>
                <w:szCs w:val="21"/>
                <w:highlight w:val="none"/>
                <w:lang w:eastAsia="zh-CN"/>
              </w:rPr>
            </w:pPr>
            <w:r>
              <w:rPr>
                <w:rFonts w:hint="default" w:ascii="Times New Roman" w:hAnsi="Times New Roman" w:eastAsia="宋体" w:cs="Times New Roman"/>
                <w:b/>
                <w:bCs/>
                <w:color w:val="auto"/>
                <w:spacing w:val="0"/>
                <w:w w:val="100"/>
                <w:kern w:val="0"/>
                <w:position w:val="0"/>
                <w:sz w:val="21"/>
                <w:szCs w:val="21"/>
                <w:highlight w:val="none"/>
              </w:rPr>
              <w:t>《养殖场产地评价规范》（HJ568</w:t>
            </w:r>
            <w:r>
              <w:rPr>
                <w:rFonts w:hint="eastAsia" w:ascii="Times New Roman" w:hAnsi="Times New Roman" w:cs="Times New Roman"/>
                <w:b/>
                <w:bCs/>
                <w:color w:val="auto"/>
                <w:spacing w:val="0"/>
                <w:w w:val="100"/>
                <w:kern w:val="0"/>
                <w:position w:val="0"/>
                <w:sz w:val="21"/>
                <w:szCs w:val="21"/>
                <w:highlight w:val="none"/>
                <w:lang w:val="en-US" w:eastAsia="zh-CN"/>
              </w:rPr>
              <w:t>-</w:t>
            </w:r>
            <w:r>
              <w:rPr>
                <w:rFonts w:hint="default" w:ascii="Times New Roman" w:hAnsi="Times New Roman" w:eastAsia="宋体" w:cs="Times New Roman"/>
                <w:b/>
                <w:bCs/>
                <w:color w:val="auto"/>
                <w:spacing w:val="0"/>
                <w:w w:val="100"/>
                <w:kern w:val="0"/>
                <w:position w:val="0"/>
                <w:sz w:val="21"/>
                <w:szCs w:val="21"/>
                <w:highlight w:val="none"/>
              </w:rPr>
              <w:t>2010）表4限值要求</w:t>
            </w:r>
            <w:r>
              <w:rPr>
                <w:rFonts w:hint="default" w:ascii="Times New Roman" w:hAnsi="Times New Roman" w:eastAsia="宋体" w:cs="Times New Roman"/>
                <w:b/>
                <w:bCs/>
                <w:color w:val="auto"/>
                <w:spacing w:val="0"/>
                <w:w w:val="100"/>
                <w:kern w:val="0"/>
                <w:position w:val="0"/>
                <w:sz w:val="21"/>
                <w:szCs w:val="21"/>
                <w:highlight w:val="none"/>
                <w:lang w:eastAsia="zh-CN"/>
              </w:rPr>
              <w:t>（养殖场、养殖小区）</w:t>
            </w:r>
          </w:p>
        </w:tc>
        <w:tc>
          <w:tcPr>
            <w:tcW w:w="1153" w:type="dxa"/>
            <w:noWrap w:val="0"/>
            <w:vAlign w:val="center"/>
          </w:tcPr>
          <w:p>
            <w:pPr>
              <w:pStyle w:val="12"/>
              <w:adjustRightInd w:val="0"/>
              <w:snapToGrid w:val="0"/>
              <w:spacing w:after="0"/>
              <w:jc w:val="left"/>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对比结果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指标</w:t>
            </w:r>
          </w:p>
        </w:tc>
        <w:tc>
          <w:tcPr>
            <w:tcW w:w="2435" w:type="dxa"/>
            <w:gridSpan w:val="2"/>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数值（单位：mg/kg）</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指标</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数值（单位：mg/kg）</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汞</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0.026</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0.053</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汞</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1.5</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砷</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7.71</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10.4</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砷</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lang w:val="en-US" w:eastAsia="zh-CN"/>
              </w:rPr>
              <w:t>40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铜</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25.8</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28.9</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铜</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400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铅</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8.3</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10.6</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铅</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500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镉</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0.2</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0.3</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镉</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锌</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70.7</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83.3</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锌</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500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铬</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44.8</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53.7</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铬</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300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gridSpan w:val="2"/>
            <w:noWrap w:val="0"/>
            <w:vAlign w:val="center"/>
          </w:tcPr>
          <w:p>
            <w:pPr>
              <w:pStyle w:val="12"/>
              <w:adjustRightInd w:val="0"/>
              <w:snapToGrid w:val="0"/>
              <w:spacing w:after="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镍</w:t>
            </w:r>
          </w:p>
        </w:tc>
        <w:tc>
          <w:tcPr>
            <w:tcW w:w="2435" w:type="dxa"/>
            <w:gridSpan w:val="2"/>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eastAsia="宋体" w:cs="Times New Roman"/>
                <w:snapToGrid w:val="0"/>
                <w:color w:val="auto"/>
                <w:spacing w:val="0"/>
                <w:w w:val="100"/>
                <w:kern w:val="0"/>
                <w:position w:val="0"/>
                <w:sz w:val="21"/>
                <w:szCs w:val="21"/>
                <w:lang w:val="en-US" w:eastAsia="zh-CN"/>
              </w:rPr>
              <w:t>29.8</w:t>
            </w:r>
            <w:r>
              <w:rPr>
                <w:rFonts w:hint="eastAsia" w:ascii="Times New Roman" w:hAnsi="Times New Roman" w:cs="Times New Roman"/>
                <w:snapToGrid w:val="0"/>
                <w:color w:val="auto"/>
                <w:spacing w:val="0"/>
                <w:w w:val="100"/>
                <w:kern w:val="0"/>
                <w:position w:val="0"/>
                <w:sz w:val="21"/>
                <w:szCs w:val="21"/>
                <w:lang w:val="en-US" w:eastAsia="zh-CN"/>
              </w:rPr>
              <w:t>~</w:t>
            </w:r>
            <w:r>
              <w:rPr>
                <w:rFonts w:hint="eastAsia" w:ascii="Times New Roman" w:hAnsi="Times New Roman" w:eastAsia="宋体" w:cs="Times New Roman"/>
                <w:snapToGrid w:val="0"/>
                <w:color w:val="auto"/>
                <w:spacing w:val="0"/>
                <w:w w:val="100"/>
                <w:kern w:val="0"/>
                <w:position w:val="0"/>
                <w:sz w:val="21"/>
                <w:szCs w:val="21"/>
                <w:lang w:val="en-US" w:eastAsia="zh-CN"/>
              </w:rPr>
              <w:t>34.0</w:t>
            </w:r>
          </w:p>
        </w:tc>
        <w:tc>
          <w:tcPr>
            <w:tcW w:w="1765"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镍</w:t>
            </w:r>
          </w:p>
        </w:tc>
        <w:tc>
          <w:tcPr>
            <w:tcW w:w="1957"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200</w:t>
            </w:r>
          </w:p>
        </w:tc>
        <w:tc>
          <w:tcPr>
            <w:tcW w:w="1153" w:type="dxa"/>
            <w:noWrap w:val="0"/>
            <w:vAlign w:val="center"/>
          </w:tcPr>
          <w:p>
            <w:pPr>
              <w:pStyle w:val="12"/>
              <w:adjustRightInd w:val="0"/>
              <w:snapToGrid w:val="0"/>
              <w:spacing w:after="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71" w:type="dxa"/>
            <w:gridSpan w:val="7"/>
            <w:noWrap w:val="0"/>
            <w:vAlign w:val="center"/>
          </w:tcPr>
          <w:p>
            <w:pPr>
              <w:pStyle w:val="12"/>
              <w:adjustRightInd w:val="0"/>
              <w:snapToGrid w:val="0"/>
              <w:spacing w:after="0"/>
              <w:jc w:val="left"/>
              <w:rPr>
                <w:rFonts w:hint="eastAsia"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注：土壤环境质量现状数据来源于</w:t>
            </w:r>
            <w:r>
              <w:rPr>
                <w:rFonts w:hint="eastAsia" w:ascii="Times New Roman" w:hAnsi="Times New Roman" w:cs="Times New Roman"/>
                <w:bCs/>
                <w:color w:val="auto"/>
                <w:spacing w:val="0"/>
                <w:w w:val="100"/>
                <w:kern w:val="0"/>
                <w:position w:val="0"/>
                <w:sz w:val="21"/>
                <w:szCs w:val="21"/>
                <w:highlight w:val="none"/>
                <w:lang w:val="en-US" w:eastAsia="zh-CN"/>
              </w:rPr>
              <w:t>宁夏盛世绿源环境检测有限责任公司</w:t>
            </w:r>
            <w:r>
              <w:rPr>
                <w:rFonts w:hint="default" w:ascii="Times New Roman" w:hAnsi="Times New Roman" w:eastAsia="宋体" w:cs="Times New Roman"/>
                <w:bCs/>
                <w:color w:val="auto"/>
                <w:spacing w:val="0"/>
                <w:w w:val="100"/>
                <w:kern w:val="0"/>
                <w:position w:val="0"/>
                <w:sz w:val="21"/>
                <w:szCs w:val="21"/>
                <w:highlight w:val="none"/>
              </w:rPr>
              <w:t>于</w:t>
            </w:r>
            <w:r>
              <w:rPr>
                <w:rFonts w:hint="default" w:ascii="Times New Roman" w:hAnsi="Times New Roman" w:eastAsia="宋体" w:cs="Times New Roman"/>
                <w:bCs/>
                <w:color w:val="auto"/>
                <w:spacing w:val="0"/>
                <w:w w:val="100"/>
                <w:kern w:val="0"/>
                <w:position w:val="0"/>
                <w:sz w:val="21"/>
                <w:szCs w:val="21"/>
                <w:highlight w:val="none"/>
                <w:lang w:val="en-US" w:eastAsia="zh-CN"/>
              </w:rPr>
              <w:t>2021</w:t>
            </w:r>
            <w:r>
              <w:rPr>
                <w:rFonts w:hint="default" w:ascii="Times New Roman" w:hAnsi="Times New Roman" w:eastAsia="宋体" w:cs="Times New Roman"/>
                <w:bCs/>
                <w:color w:val="auto"/>
                <w:spacing w:val="0"/>
                <w:w w:val="100"/>
                <w:kern w:val="0"/>
                <w:position w:val="0"/>
                <w:sz w:val="21"/>
                <w:szCs w:val="21"/>
                <w:highlight w:val="none"/>
              </w:rPr>
              <w:t>年</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月</w:t>
            </w:r>
            <w:r>
              <w:rPr>
                <w:rFonts w:hint="eastAsia" w:ascii="Times New Roman" w:hAnsi="Times New Roman" w:cs="Times New Roman"/>
                <w:bCs/>
                <w:color w:val="auto"/>
                <w:spacing w:val="0"/>
                <w:w w:val="100"/>
                <w:kern w:val="0"/>
                <w:position w:val="0"/>
                <w:sz w:val="21"/>
                <w:szCs w:val="21"/>
                <w:highlight w:val="none"/>
                <w:lang w:val="en-US" w:eastAsia="zh-CN"/>
              </w:rPr>
              <w:t>6</w:t>
            </w:r>
            <w:r>
              <w:rPr>
                <w:rFonts w:hint="default" w:ascii="Times New Roman" w:hAnsi="Times New Roman" w:eastAsia="宋体" w:cs="Times New Roman"/>
                <w:bCs/>
                <w:color w:val="auto"/>
                <w:spacing w:val="0"/>
                <w:w w:val="100"/>
                <w:kern w:val="0"/>
                <w:position w:val="0"/>
                <w:sz w:val="21"/>
                <w:szCs w:val="21"/>
                <w:highlight w:val="none"/>
              </w:rPr>
              <w:t>日</w:t>
            </w:r>
            <w:r>
              <w:rPr>
                <w:rFonts w:hint="eastAsia" w:ascii="Times New Roman" w:hAnsi="Times New Roman" w:eastAsia="宋体" w:cs="Times New Roman"/>
                <w:bCs/>
                <w:color w:val="auto"/>
                <w:spacing w:val="0"/>
                <w:w w:val="100"/>
                <w:kern w:val="0"/>
                <w:position w:val="0"/>
                <w:sz w:val="21"/>
                <w:szCs w:val="21"/>
                <w:highlight w:val="none"/>
                <w:lang w:eastAsia="zh-CN"/>
              </w:rPr>
              <w:t>对项目</w:t>
            </w:r>
            <w:r>
              <w:rPr>
                <w:rFonts w:hint="default" w:ascii="Times New Roman" w:hAnsi="Times New Roman" w:eastAsia="宋体" w:cs="Times New Roman"/>
                <w:bCs/>
                <w:color w:val="auto"/>
                <w:spacing w:val="0"/>
                <w:w w:val="100"/>
                <w:kern w:val="0"/>
                <w:position w:val="0"/>
                <w:sz w:val="21"/>
                <w:szCs w:val="21"/>
                <w:highlight w:val="none"/>
              </w:rPr>
              <w:t>监测</w:t>
            </w:r>
            <w:r>
              <w:rPr>
                <w:rFonts w:hint="eastAsia" w:ascii="Times New Roman" w:hAnsi="Times New Roman" w:cs="Times New Roman"/>
                <w:bCs/>
                <w:color w:val="auto"/>
                <w:spacing w:val="0"/>
                <w:w w:val="100"/>
                <w:kern w:val="0"/>
                <w:position w:val="0"/>
                <w:sz w:val="21"/>
                <w:szCs w:val="21"/>
                <w:highlight w:val="none"/>
                <w:lang w:eastAsia="zh-CN"/>
              </w:rPr>
              <w:t>结果</w:t>
            </w:r>
          </w:p>
        </w:tc>
      </w:tr>
    </w:tbl>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highlight w:val="none"/>
          <w:lang w:val="zh-CN"/>
        </w:rPr>
        <w:t>本项目用地属于设施农用地，项目用地性质符合相关规定。本项目选址不属于禁建区域范围内或禁建区域附近；本项目规划设置养殖区、办公生活区、草料区，场区内的道路按照净道和污道不交叉的原则进行布置，周边交通便利；本项目所在地不属于城市和城镇居民区，建设区域远离工业企业。</w:t>
      </w:r>
      <w:r>
        <w:rPr>
          <w:rFonts w:hint="default" w:ascii="Times New Roman" w:hAnsi="Times New Roman" w:eastAsia="宋体" w:cs="Times New Roman"/>
          <w:color w:val="auto"/>
          <w:spacing w:val="0"/>
          <w:w w:val="100"/>
          <w:kern w:val="0"/>
          <w:position w:val="0"/>
          <w:sz w:val="24"/>
          <w:highlight w:val="none"/>
        </w:rPr>
        <w:t>符合</w:t>
      </w:r>
      <w:r>
        <w:rPr>
          <w:rFonts w:hint="default" w:ascii="Times New Roman" w:hAnsi="Times New Roman" w:eastAsia="宋体" w:cs="Times New Roman"/>
          <w:color w:val="auto"/>
          <w:spacing w:val="0"/>
          <w:w w:val="100"/>
          <w:kern w:val="0"/>
          <w:position w:val="0"/>
          <w:sz w:val="24"/>
          <w:highlight w:val="none"/>
          <w:lang w:val="zh-CN"/>
        </w:rPr>
        <w:t>《畜禽规模养殖污染防治条例》（2014年1月1日）、《畜禽养殖业污染防治技术规范》（HJ/T81-2001）、《农村畜禽养殖业污染防治技术规范》（DB64/T702-2011）、《畜禽养殖业污染治理工程技术规范》（HJ497-2009）、《畜禽养殖产地环境评价规范》（HJ568-2010）、《国务院办公厅关于加快推进畜禽养殖废弃物资源化利用的意见》（国办发[2017]48号）、《关于做好畜禽规模养殖项目环境影响评价管理工作的通知》（环办环评[2018]31号）以</w:t>
      </w:r>
      <w:r>
        <w:rPr>
          <w:rFonts w:hint="default" w:ascii="Times New Roman" w:hAnsi="Times New Roman" w:eastAsia="宋体" w:cs="Times New Roman"/>
          <w:color w:val="auto"/>
          <w:spacing w:val="0"/>
          <w:w w:val="100"/>
          <w:kern w:val="0"/>
          <w:position w:val="0"/>
          <w:sz w:val="24"/>
          <w:highlight w:val="none"/>
        </w:rPr>
        <w:t>及《农业农村部关于调整动物防疫条件审查有关规定的通知》（2019年12月18日）</w:t>
      </w:r>
      <w:r>
        <w:rPr>
          <w:rFonts w:hint="default" w:ascii="Times New Roman" w:hAnsi="Times New Roman" w:eastAsia="宋体" w:cs="Times New Roman"/>
          <w:color w:val="auto"/>
          <w:spacing w:val="0"/>
          <w:w w:val="100"/>
          <w:kern w:val="0"/>
          <w:position w:val="0"/>
          <w:sz w:val="24"/>
          <w:highlight w:val="none"/>
          <w:lang w:val="zh-CN"/>
        </w:rPr>
        <w:t>中的要求。</w:t>
      </w:r>
      <w:r>
        <w:rPr>
          <w:rFonts w:hint="default" w:ascii="Times New Roman" w:hAnsi="Times New Roman" w:eastAsia="宋体" w:cs="Times New Roman"/>
          <w:color w:val="auto"/>
          <w:spacing w:val="0"/>
          <w:w w:val="100"/>
          <w:kern w:val="0"/>
          <w:position w:val="0"/>
          <w:sz w:val="24"/>
          <w:szCs w:val="22"/>
          <w:highlight w:val="none"/>
        </w:rPr>
        <w:t>项目大气环境现状符合规范表5畜禽养殖场环境空气质量评价指标限值，项目声环境现状符合规范中表6畜禽养殖场声环境质量评价指标限值，项目土壤环境现状符合规范中表4畜禽养殖场土壤环境质量评价指标限值。因此本项目选址符合畜禽养殖场地选址相关要求</w:t>
      </w:r>
      <w:r>
        <w:rPr>
          <w:rFonts w:hint="default" w:ascii="Times New Roman" w:hAnsi="Times New Roman" w:eastAsia="宋体" w:cs="Times New Roman"/>
          <w:color w:val="auto"/>
          <w:spacing w:val="0"/>
          <w:w w:val="100"/>
          <w:kern w:val="0"/>
          <w:position w:val="0"/>
          <w:sz w:val="24"/>
          <w:highlight w:val="none"/>
          <w:lang w:val="zh-CN"/>
        </w:rPr>
        <w:t>，与养殖相关标准相符，本项目的选址合理。</w:t>
      </w:r>
    </w:p>
    <w:p>
      <w:pPr>
        <w:pStyle w:val="12"/>
        <w:adjustRightInd w:val="0"/>
        <w:snapToGrid w:val="0"/>
        <w:spacing w:before="156" w:beforeLines="50"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453" w:name="_Toc231187035"/>
      <w:bookmarkStart w:id="454" w:name="_Toc3058"/>
      <w:bookmarkStart w:id="455" w:name="_Toc15643"/>
      <w:bookmarkStart w:id="456" w:name="_Toc31805"/>
      <w:bookmarkStart w:id="457" w:name="_Toc8531"/>
      <w:bookmarkStart w:id="458" w:name="_Toc25240"/>
      <w:bookmarkStart w:id="459" w:name="_Toc24051"/>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2</w:t>
      </w:r>
      <w:bookmarkEnd w:id="453"/>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建设项目概况及工程分析</w:t>
      </w:r>
      <w:bookmarkEnd w:id="454"/>
      <w:bookmarkEnd w:id="455"/>
      <w:bookmarkEnd w:id="456"/>
      <w:bookmarkEnd w:id="457"/>
      <w:bookmarkEnd w:id="458"/>
      <w:bookmarkEnd w:id="459"/>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460" w:name="_Toc30594"/>
      <w:bookmarkStart w:id="461" w:name="_Toc8584"/>
      <w:bookmarkStart w:id="462" w:name="_Toc21850"/>
      <w:bookmarkStart w:id="463" w:name="_Toc19137"/>
      <w:bookmarkStart w:id="464" w:name="_Toc27480"/>
      <w:r>
        <w:rPr>
          <w:rFonts w:hint="default" w:ascii="Times New Roman" w:hAnsi="Times New Roman" w:eastAsia="宋体" w:cs="Times New Roman"/>
          <w:snapToGrid w:val="0"/>
          <w:color w:val="auto"/>
          <w:spacing w:val="0"/>
          <w:w w:val="100"/>
          <w:kern w:val="0"/>
          <w:position w:val="0"/>
          <w:highlight w:val="none"/>
          <w:lang w:val="en-US" w:eastAsia="zh-CN"/>
        </w:rPr>
        <w:t>2.1项目概况</w:t>
      </w:r>
      <w:bookmarkEnd w:id="460"/>
      <w:bookmarkEnd w:id="461"/>
      <w:bookmarkEnd w:id="462"/>
      <w:bookmarkEnd w:id="463"/>
      <w:bookmarkEnd w:id="464"/>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65" w:name="_Toc7709"/>
      <w:bookmarkStart w:id="466" w:name="_Toc13856"/>
      <w:bookmarkStart w:id="467" w:name="_Toc19312"/>
      <w:bookmarkStart w:id="468" w:name="_Toc6353"/>
      <w:r>
        <w:rPr>
          <w:rFonts w:hint="default" w:ascii="Times New Roman" w:hAnsi="Times New Roman" w:eastAsia="宋体" w:cs="Times New Roman"/>
          <w:snapToGrid w:val="0"/>
          <w:color w:val="auto"/>
          <w:spacing w:val="0"/>
          <w:w w:val="100"/>
          <w:kern w:val="0"/>
          <w:position w:val="0"/>
          <w:sz w:val="28"/>
          <w:szCs w:val="28"/>
          <w:highlight w:val="none"/>
          <w:lang w:val="en-US" w:eastAsia="zh-CN"/>
        </w:rPr>
        <w:t>2.1.1项目</w:t>
      </w:r>
      <w:bookmarkEnd w:id="465"/>
      <w:r>
        <w:rPr>
          <w:rFonts w:hint="default" w:ascii="Times New Roman" w:hAnsi="Times New Roman" w:eastAsia="宋体" w:cs="Times New Roman"/>
          <w:snapToGrid w:val="0"/>
          <w:color w:val="auto"/>
          <w:spacing w:val="0"/>
          <w:w w:val="100"/>
          <w:kern w:val="0"/>
          <w:position w:val="0"/>
          <w:sz w:val="28"/>
          <w:szCs w:val="28"/>
          <w:highlight w:val="none"/>
          <w:lang w:val="en-US" w:eastAsia="zh-CN"/>
        </w:rPr>
        <w:t>基本情况</w:t>
      </w:r>
      <w:bookmarkEnd w:id="466"/>
      <w:bookmarkEnd w:id="467"/>
      <w:bookmarkEnd w:id="468"/>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Cs/>
          <w:color w:val="auto"/>
          <w:spacing w:val="0"/>
          <w:w w:val="100"/>
          <w:kern w:val="0"/>
          <w:position w:val="0"/>
          <w:sz w:val="24"/>
          <w:highlight w:val="none"/>
          <w:lang w:eastAsia="zh-CN"/>
        </w:rPr>
      </w:pPr>
      <w:r>
        <w:rPr>
          <w:rFonts w:hint="default" w:ascii="Times New Roman" w:hAnsi="Times New Roman" w:eastAsia="宋体" w:cs="Times New Roman"/>
          <w:b/>
          <w:bCs/>
          <w:color w:val="auto"/>
          <w:spacing w:val="0"/>
          <w:w w:val="100"/>
          <w:kern w:val="0"/>
          <w:position w:val="0"/>
          <w:sz w:val="24"/>
          <w:highlight w:val="none"/>
        </w:rPr>
        <w:t>项目名称：</w:t>
      </w:r>
      <w:r>
        <w:rPr>
          <w:rFonts w:hint="default" w:ascii="Times New Roman" w:hAnsi="Times New Roman" w:cs="Times New Roman"/>
          <w:color w:val="auto"/>
          <w:spacing w:val="0"/>
          <w:w w:val="100"/>
          <w:kern w:val="0"/>
          <w:position w:val="0"/>
          <w:sz w:val="24"/>
          <w:szCs w:val="24"/>
          <w:lang w:eastAsia="zh-CN"/>
        </w:rPr>
        <w:t>5000头奶牛扶贫养殖基地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Cs/>
          <w:color w:val="auto"/>
          <w:spacing w:val="0"/>
          <w:w w:val="100"/>
          <w:kern w:val="0"/>
          <w:position w:val="0"/>
          <w:sz w:val="24"/>
          <w:highlight w:val="none"/>
          <w:lang w:eastAsia="zh-CN"/>
        </w:rPr>
      </w:pPr>
      <w:r>
        <w:rPr>
          <w:rFonts w:hint="default" w:ascii="Times New Roman" w:hAnsi="Times New Roman" w:eastAsia="宋体" w:cs="Times New Roman"/>
          <w:b/>
          <w:bCs/>
          <w:color w:val="auto"/>
          <w:spacing w:val="0"/>
          <w:w w:val="100"/>
          <w:kern w:val="0"/>
          <w:position w:val="0"/>
          <w:sz w:val="24"/>
          <w:highlight w:val="none"/>
          <w:lang w:val="zh-CN"/>
        </w:rPr>
        <w:t>建设单位：</w:t>
      </w:r>
      <w:r>
        <w:rPr>
          <w:rFonts w:hint="default" w:ascii="Times New Roman" w:hAnsi="Times New Roman" w:eastAsia="宋体" w:cs="Times New Roman"/>
          <w:color w:val="auto"/>
          <w:spacing w:val="0"/>
          <w:w w:val="100"/>
          <w:kern w:val="0"/>
          <w:position w:val="0"/>
          <w:sz w:val="24"/>
          <w:szCs w:val="24"/>
          <w:lang w:eastAsia="zh-CN"/>
        </w:rPr>
        <w:t>宁夏垣盛越农牧综合开发有限公司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b/>
          <w:bCs/>
          <w:color w:val="auto"/>
          <w:spacing w:val="0"/>
          <w:w w:val="100"/>
          <w:kern w:val="0"/>
          <w:position w:val="0"/>
          <w:sz w:val="24"/>
          <w:highlight w:val="none"/>
          <w:lang w:val="zh-CN"/>
        </w:rPr>
        <w:t>建设性质：</w:t>
      </w:r>
      <w:r>
        <w:rPr>
          <w:rFonts w:hint="default" w:ascii="Times New Roman" w:hAnsi="Times New Roman" w:eastAsia="宋体" w:cs="Times New Roman"/>
          <w:color w:val="auto"/>
          <w:spacing w:val="0"/>
          <w:w w:val="100"/>
          <w:kern w:val="0"/>
          <w:position w:val="0"/>
          <w:sz w:val="24"/>
          <w:highlight w:val="none"/>
          <w:lang w:val="zh-CN"/>
        </w:rPr>
        <w:t>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highlight w:val="none"/>
        </w:rPr>
        <w:t>占地面积：</w:t>
      </w:r>
      <w:r>
        <w:rPr>
          <w:rFonts w:hint="default" w:ascii="Times New Roman" w:hAnsi="Times New Roman" w:eastAsia="宋体" w:cs="Times New Roman"/>
          <w:color w:val="auto"/>
          <w:spacing w:val="0"/>
          <w:w w:val="100"/>
          <w:kern w:val="0"/>
          <w:position w:val="0"/>
          <w:sz w:val="24"/>
          <w:highlight w:val="none"/>
          <w:lang w:val="zh-CN"/>
        </w:rPr>
        <w:t>项目总用地面积为</w:t>
      </w:r>
      <w:r>
        <w:rPr>
          <w:rFonts w:hint="eastAsia" w:ascii="Times New Roman" w:hAnsi="Times New Roman" w:cs="Times New Roman"/>
          <w:color w:val="auto"/>
          <w:spacing w:val="0"/>
          <w:w w:val="100"/>
          <w:kern w:val="0"/>
          <w:position w:val="0"/>
          <w:sz w:val="24"/>
          <w:highlight w:val="none"/>
          <w:lang w:val="en-US" w:eastAsia="zh-CN"/>
        </w:rPr>
        <w:t>276000</w:t>
      </w:r>
      <w:r>
        <w:rPr>
          <w:rFonts w:hint="default" w:ascii="Times New Roman" w:hAnsi="Times New Roman" w:eastAsia="宋体" w:cs="Times New Roman"/>
          <w:color w:val="auto"/>
          <w:spacing w:val="0"/>
          <w:w w:val="100"/>
          <w:kern w:val="0"/>
          <w:position w:val="0"/>
          <w:sz w:val="24"/>
          <w:highlight w:val="none"/>
          <w:lang w:val="zh-CN"/>
        </w:rPr>
        <w:t>m</w:t>
      </w:r>
      <w:r>
        <w:rPr>
          <w:rFonts w:hint="default" w:ascii="Times New Roman" w:hAnsi="Times New Roman" w:eastAsia="宋体" w:cs="Times New Roman"/>
          <w:color w:val="auto"/>
          <w:spacing w:val="0"/>
          <w:w w:val="100"/>
          <w:kern w:val="0"/>
          <w:position w:val="0"/>
          <w:sz w:val="24"/>
          <w:highlight w:val="none"/>
          <w:vertAlign w:val="superscript"/>
          <w:lang w:val="zh-CN"/>
        </w:rPr>
        <w:t>2</w:t>
      </w:r>
      <w:r>
        <w:rPr>
          <w:rFonts w:hint="default" w:ascii="Times New Roman" w:hAnsi="Times New Roman" w:eastAsia="宋体" w:cs="Times New Roman"/>
          <w:color w:val="auto"/>
          <w:spacing w:val="0"/>
          <w:w w:val="100"/>
          <w:kern w:val="0"/>
          <w:position w:val="0"/>
          <w:sz w:val="24"/>
          <w:highlight w:val="none"/>
          <w:lang w:val="zh-CN"/>
        </w:rPr>
        <w:t>，约合</w:t>
      </w:r>
      <w:r>
        <w:rPr>
          <w:rFonts w:hint="eastAsia" w:ascii="Times New Roman" w:hAnsi="Times New Roman" w:cs="Times New Roman"/>
          <w:color w:val="auto"/>
          <w:spacing w:val="0"/>
          <w:w w:val="100"/>
          <w:kern w:val="0"/>
          <w:position w:val="0"/>
          <w:sz w:val="24"/>
          <w:highlight w:val="none"/>
          <w:lang w:val="en-US" w:eastAsia="zh-CN"/>
        </w:rPr>
        <w:t>414</w:t>
      </w:r>
      <w:r>
        <w:rPr>
          <w:rFonts w:hint="default" w:ascii="Times New Roman" w:hAnsi="Times New Roman" w:eastAsia="宋体" w:cs="Times New Roman"/>
          <w:color w:val="auto"/>
          <w:spacing w:val="0"/>
          <w:w w:val="100"/>
          <w:kern w:val="0"/>
          <w:position w:val="0"/>
          <w:sz w:val="24"/>
          <w:highlight w:val="none"/>
          <w:lang w:val="en-US" w:eastAsia="zh-CN"/>
        </w:rPr>
        <w:t>亩</w:t>
      </w:r>
      <w:r>
        <w:rPr>
          <w:rFonts w:hint="default" w:ascii="Times New Roman" w:hAnsi="Times New Roman" w:eastAsia="宋体" w:cs="Times New Roman"/>
          <w:color w:val="auto"/>
          <w:spacing w:val="0"/>
          <w:w w:val="100"/>
          <w:kern w:val="0"/>
          <w:positio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eastAsia="宋体" w:cs="Times New Roman"/>
          <w:b/>
          <w:bCs/>
          <w:color w:val="auto"/>
          <w:spacing w:val="0"/>
          <w:w w:val="100"/>
          <w:kern w:val="0"/>
          <w:position w:val="0"/>
          <w:sz w:val="24"/>
          <w:highlight w:val="none"/>
        </w:rPr>
        <w:t>项目投资：</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lang w:eastAsia="zh-CN"/>
        </w:rPr>
        <w:t>（资金来源：企业自筹</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highlight w:val="none"/>
        </w:rPr>
        <w:t>行业类别：</w:t>
      </w:r>
      <w:r>
        <w:rPr>
          <w:rFonts w:hint="default" w:ascii="Times New Roman" w:hAnsi="Times New Roman" w:eastAsia="宋体" w:cs="Times New Roman"/>
          <w:color w:val="auto"/>
          <w:spacing w:val="0"/>
          <w:w w:val="100"/>
          <w:kern w:val="0"/>
          <w:position w:val="0"/>
          <w:sz w:val="24"/>
          <w:highlight w:val="none"/>
        </w:rPr>
        <w:t>A0311牛的饲养</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szCs w:val="24"/>
          <w:highlight w:val="none"/>
          <w:lang w:val="zh-CN" w:eastAsia="zh-CN" w:bidi="ar-SA"/>
        </w:rPr>
        <w:t>建设地点</w:t>
      </w:r>
      <w:r>
        <w:rPr>
          <w:rFonts w:hint="default" w:ascii="Times New Roman" w:hAnsi="Times New Roman" w:eastAsia="宋体" w:cs="Times New Roman"/>
          <w:color w:val="auto"/>
          <w:spacing w:val="0"/>
          <w:w w:val="100"/>
          <w:kern w:val="0"/>
          <w:position w:val="0"/>
          <w:sz w:val="24"/>
          <w:highlight w:val="none"/>
          <w:lang w:val="zh-CN"/>
        </w:rPr>
        <w:t>：</w:t>
      </w:r>
      <w:r>
        <w:rPr>
          <w:rFonts w:hint="default" w:ascii="Times New Roman" w:hAnsi="Times New Roman" w:eastAsia="宋体" w:cs="Times New Roman"/>
          <w:color w:val="auto"/>
          <w:spacing w:val="0"/>
          <w:w w:val="100"/>
          <w:kern w:val="0"/>
          <w:position w:val="0"/>
          <w:sz w:val="24"/>
          <w:szCs w:val="24"/>
          <w:highlight w:val="none"/>
          <w:lang w:val="en-US" w:eastAsia="zh-CN" w:bidi="ar-SA"/>
        </w:rPr>
        <w:t>项目位于吴忠市同心县下马关镇上垣村</w:t>
      </w:r>
      <w:bookmarkStart w:id="469" w:name="OLE_LINK15"/>
      <w:r>
        <w:rPr>
          <w:rFonts w:hint="default" w:ascii="Times New Roman" w:hAnsi="Times New Roman" w:eastAsia="宋体" w:cs="Times New Roman"/>
          <w:color w:val="auto"/>
          <w:spacing w:val="0"/>
          <w:w w:val="100"/>
          <w:kern w:val="0"/>
          <w:position w:val="0"/>
          <w:sz w:val="24"/>
          <w:highlight w:val="none"/>
          <w:lang w:val="en-US" w:eastAsia="zh-CN"/>
        </w:rPr>
        <w:t>。项目地理位置图</w:t>
      </w:r>
      <w:r>
        <w:rPr>
          <w:rFonts w:hint="default" w:ascii="Times New Roman" w:hAnsi="Times New Roman" w:eastAsia="宋体" w:cs="Times New Roman"/>
          <w:color w:val="auto"/>
          <w:spacing w:val="0"/>
          <w:w w:val="100"/>
          <w:kern w:val="0"/>
          <w:position w:val="0"/>
          <w:sz w:val="24"/>
          <w:highlight w:val="none"/>
        </w:rPr>
        <w:t>见图2.1-1</w:t>
      </w:r>
      <w:bookmarkEnd w:id="469"/>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eastAsia="zh-CN"/>
        </w:rPr>
        <w:t>项目周边关系</w:t>
      </w:r>
      <w:r>
        <w:rPr>
          <w:rFonts w:hint="default" w:ascii="Times New Roman" w:hAnsi="Times New Roman" w:eastAsia="宋体" w:cs="Times New Roman"/>
          <w:color w:val="auto"/>
          <w:spacing w:val="0"/>
          <w:w w:val="100"/>
          <w:kern w:val="0"/>
          <w:position w:val="0"/>
          <w:sz w:val="24"/>
          <w:highlight w:val="none"/>
        </w:rPr>
        <w:t>见图2.1-2。</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zh-CN" w:eastAsia="zh-CN"/>
        </w:rPr>
      </w:pPr>
      <w:bookmarkStart w:id="470" w:name="_Toc8342"/>
      <w:bookmarkStart w:id="471" w:name="_Toc10613"/>
      <w:bookmarkStart w:id="472" w:name="_Toc11748"/>
      <w:bookmarkStart w:id="473" w:name="_Toc22294"/>
      <w:bookmarkStart w:id="474" w:name="_Toc28146"/>
      <w:bookmarkStart w:id="475" w:name="_Toc624"/>
      <w:bookmarkStart w:id="476" w:name="_Toc10699"/>
      <w:bookmarkStart w:id="477" w:name="_Toc32400"/>
      <w:r>
        <w:rPr>
          <w:rFonts w:hint="default" w:ascii="Times New Roman" w:hAnsi="Times New Roman" w:eastAsia="宋体" w:cs="Times New Roman"/>
          <w:snapToGrid w:val="0"/>
          <w:color w:val="auto"/>
          <w:spacing w:val="0"/>
          <w:w w:val="100"/>
          <w:kern w:val="0"/>
          <w:position w:val="0"/>
          <w:sz w:val="28"/>
          <w:szCs w:val="28"/>
          <w:highlight w:val="none"/>
          <w:lang w:val="en-US" w:eastAsia="zh-CN"/>
        </w:rPr>
        <w:t>2.1.2</w:t>
      </w:r>
      <w:bookmarkEnd w:id="470"/>
      <w:bookmarkEnd w:id="471"/>
      <w:bookmarkEnd w:id="472"/>
      <w:bookmarkEnd w:id="473"/>
      <w:bookmarkEnd w:id="474"/>
      <w:r>
        <w:rPr>
          <w:rFonts w:hint="default" w:ascii="Times New Roman" w:hAnsi="Times New Roman" w:eastAsia="宋体" w:cs="Times New Roman"/>
          <w:snapToGrid w:val="0"/>
          <w:color w:val="auto"/>
          <w:spacing w:val="0"/>
          <w:w w:val="100"/>
          <w:kern w:val="0"/>
          <w:position w:val="0"/>
          <w:sz w:val="28"/>
          <w:szCs w:val="28"/>
          <w:highlight w:val="none"/>
          <w:lang w:val="en-US" w:eastAsia="zh-CN"/>
        </w:rPr>
        <w:t>项目建设内容</w:t>
      </w:r>
      <w:bookmarkEnd w:id="475"/>
      <w:bookmarkEnd w:id="476"/>
      <w:bookmarkEnd w:id="477"/>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cyan"/>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zh-CN" w:eastAsia="zh-CN" w:bidi="ar-SA"/>
        </w:rPr>
        <w:t>本项目总用地面积为</w:t>
      </w:r>
      <w:r>
        <w:rPr>
          <w:rFonts w:hint="eastAsia" w:ascii="Times New Roman" w:hAnsi="Times New Roman" w:cs="Times New Roman"/>
          <w:color w:val="auto"/>
          <w:spacing w:val="0"/>
          <w:w w:val="100"/>
          <w:kern w:val="0"/>
          <w:position w:val="0"/>
          <w:sz w:val="24"/>
          <w:highlight w:val="none"/>
          <w:lang w:val="en-US" w:eastAsia="zh-CN"/>
        </w:rPr>
        <w:t>276000</w:t>
      </w:r>
      <w:r>
        <w:rPr>
          <w:rFonts w:hint="default" w:ascii="Times New Roman" w:hAnsi="Times New Roman" w:eastAsia="宋体" w:cs="Times New Roman"/>
          <w:color w:val="auto"/>
          <w:spacing w:val="0"/>
          <w:w w:val="100"/>
          <w:kern w:val="0"/>
          <w:position w:val="0"/>
          <w:sz w:val="24"/>
          <w:szCs w:val="24"/>
          <w:highlight w:val="none"/>
          <w:lang w:val="en-US" w:eastAsia="zh-CN" w:bidi="ar-SA"/>
        </w:rPr>
        <w:t>m</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100"/>
          <w:kern w:val="0"/>
          <w:position w:val="0"/>
          <w:sz w:val="24"/>
          <w:szCs w:val="24"/>
          <w:highlight w:val="none"/>
          <w:lang w:val="zh-CN" w:eastAsia="zh-CN" w:bidi="ar-SA"/>
        </w:rPr>
        <w:t>（约合</w:t>
      </w:r>
      <w:r>
        <w:rPr>
          <w:rFonts w:hint="eastAsia" w:ascii="Times New Roman" w:hAnsi="Times New Roman" w:cs="Times New Roman"/>
          <w:color w:val="auto"/>
          <w:spacing w:val="0"/>
          <w:w w:val="100"/>
          <w:kern w:val="0"/>
          <w:position w:val="0"/>
          <w:sz w:val="24"/>
          <w:szCs w:val="24"/>
          <w:highlight w:val="none"/>
          <w:lang w:val="en-US" w:eastAsia="zh-CN" w:bidi="ar-SA"/>
        </w:rPr>
        <w:t>414</w:t>
      </w:r>
      <w:r>
        <w:rPr>
          <w:rFonts w:hint="default" w:ascii="Times New Roman" w:hAnsi="Times New Roman" w:eastAsia="宋体" w:cs="Times New Roman"/>
          <w:color w:val="auto"/>
          <w:spacing w:val="0"/>
          <w:w w:val="100"/>
          <w:kern w:val="0"/>
          <w:position w:val="0"/>
          <w:sz w:val="24"/>
          <w:szCs w:val="24"/>
          <w:highlight w:val="none"/>
          <w:lang w:val="en-US" w:eastAsia="zh-CN" w:bidi="ar-SA"/>
        </w:rPr>
        <w:t>亩</w:t>
      </w:r>
      <w:r>
        <w:rPr>
          <w:rFonts w:hint="default" w:ascii="Times New Roman" w:hAnsi="Times New Roman" w:eastAsia="宋体" w:cs="Times New Roman"/>
          <w:color w:val="auto"/>
          <w:spacing w:val="0"/>
          <w:w w:val="100"/>
          <w:kern w:val="0"/>
          <w:position w:val="0"/>
          <w:sz w:val="24"/>
          <w:szCs w:val="24"/>
          <w:highlight w:val="none"/>
          <w:lang w:val="zh-CN" w:eastAsia="zh-CN" w:bidi="ar-SA"/>
        </w:rPr>
        <w:t>），其中</w:t>
      </w:r>
      <w:r>
        <w:rPr>
          <w:rFonts w:hint="default" w:ascii="Times New Roman" w:hAnsi="Times New Roman" w:eastAsia="宋体" w:cs="Times New Roman"/>
          <w:color w:val="auto"/>
          <w:spacing w:val="0"/>
          <w:w w:val="100"/>
          <w:kern w:val="0"/>
          <w:position w:val="0"/>
          <w:sz w:val="24"/>
          <w:szCs w:val="24"/>
          <w:highlight w:val="none"/>
          <w:lang w:val="en-US" w:eastAsia="zh-CN" w:bidi="ar-SA"/>
        </w:rPr>
        <w:t>建筑面积</w:t>
      </w:r>
      <w:r>
        <w:rPr>
          <w:rFonts w:hint="default" w:ascii="Times New Roman" w:hAnsi="Times New Roman" w:cs="Times New Roman"/>
          <w:color w:val="auto"/>
          <w:spacing w:val="0"/>
          <w:w w:val="100"/>
          <w:kern w:val="0"/>
          <w:position w:val="0"/>
          <w:sz w:val="24"/>
          <w:szCs w:val="24"/>
          <w:highlight w:val="none"/>
          <w:lang w:val="en-US" w:eastAsia="zh-CN" w:bidi="ar-SA"/>
        </w:rPr>
        <w:t>50860</w:t>
      </w:r>
      <w:r>
        <w:rPr>
          <w:rFonts w:hint="default" w:ascii="Times New Roman" w:hAnsi="Times New Roman" w:eastAsia="宋体" w:cs="Times New Roman"/>
          <w:color w:val="auto"/>
          <w:spacing w:val="0"/>
          <w:w w:val="100"/>
          <w:kern w:val="0"/>
          <w:position w:val="0"/>
          <w:sz w:val="24"/>
          <w:szCs w:val="24"/>
          <w:highlight w:val="none"/>
          <w:lang w:val="en-US" w:eastAsia="zh-CN" w:bidi="ar-SA"/>
        </w:rPr>
        <w:t>m</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100"/>
          <w:kern w:val="0"/>
          <w:position w:val="0"/>
          <w:sz w:val="24"/>
          <w:szCs w:val="24"/>
          <w:highlight w:val="none"/>
          <w:lang w:val="en-US" w:eastAsia="zh-CN" w:bidi="ar-SA"/>
        </w:rPr>
        <w:t>，</w:t>
      </w:r>
      <w:r>
        <w:rPr>
          <w:rFonts w:hint="default" w:ascii="Times New Roman" w:hAnsi="Times New Roman" w:eastAsia="宋体" w:cs="Times New Roman"/>
          <w:color w:val="auto"/>
          <w:spacing w:val="0"/>
          <w:w w:val="100"/>
          <w:kern w:val="0"/>
          <w:position w:val="0"/>
          <w:sz w:val="24"/>
          <w:szCs w:val="24"/>
          <w:highlight w:val="none"/>
          <w:lang w:val="zh-CN" w:eastAsia="zh-CN" w:bidi="ar-SA"/>
        </w:rPr>
        <w:t>主要新建奶牛舍2栋、青年牛舍2栋、产牛舍1栋、犊牛舍2栋、怀犊牛舍3栋</w:t>
      </w:r>
      <w:r>
        <w:rPr>
          <w:rFonts w:hint="default" w:ascii="Times New Roman" w:hAnsi="Times New Roman" w:cs="Times New Roman"/>
          <w:color w:val="auto"/>
          <w:spacing w:val="0"/>
          <w:w w:val="100"/>
          <w:kern w:val="0"/>
          <w:position w:val="0"/>
          <w:sz w:val="24"/>
          <w:szCs w:val="24"/>
          <w:highlight w:val="none"/>
          <w:lang w:val="zh-CN" w:eastAsia="zh-CN" w:bidi="ar-SA"/>
        </w:rPr>
        <w:t>、</w:t>
      </w:r>
      <w:r>
        <w:rPr>
          <w:rFonts w:hint="default" w:ascii="Times New Roman" w:hAnsi="Times New Roman" w:eastAsia="宋体" w:cs="Times New Roman"/>
          <w:color w:val="auto"/>
          <w:spacing w:val="0"/>
          <w:w w:val="100"/>
          <w:kern w:val="0"/>
          <w:position w:val="0"/>
          <w:sz w:val="24"/>
          <w:szCs w:val="24"/>
          <w:highlight w:val="none"/>
          <w:lang w:val="zh-CN" w:eastAsia="zh-CN" w:bidi="ar-SA"/>
        </w:rPr>
        <w:t>挤奶厅、干草棚、青贮池、堆粪棚、污水处理设施、宿舍办公区及相关配套设施</w:t>
      </w:r>
      <w:r>
        <w:rPr>
          <w:rFonts w:hint="default" w:ascii="Times New Roman" w:hAnsi="Times New Roman" w:eastAsia="宋体" w:cs="Times New Roman"/>
          <w:color w:val="auto"/>
          <w:spacing w:val="0"/>
          <w:w w:val="100"/>
          <w:kern w:val="0"/>
          <w:position w:val="0"/>
          <w:sz w:val="24"/>
          <w:szCs w:val="24"/>
          <w:highlight w:val="none"/>
          <w:lang w:val="en-US" w:eastAsia="zh-CN" w:bidi="ar-SA"/>
        </w:rPr>
        <w:t>。</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项目主要建设内容见表2.1-</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表2.1-1   项目工程组成一览表</w:t>
      </w:r>
    </w:p>
    <w:tbl>
      <w:tblPr>
        <w:tblStyle w:val="25"/>
        <w:tblW w:w="493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460"/>
        <w:gridCol w:w="638"/>
        <w:gridCol w:w="69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类别</w:t>
            </w: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项目内容</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项目组成及规模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主体工程</w:t>
            </w: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eastAsia="zh-CN"/>
              </w:rPr>
              <w:t>牛舍</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eastAsia="zh-CN"/>
              </w:rPr>
              <w:t>本项目新建奶牛舍2栋</w:t>
            </w:r>
            <w:r>
              <w:rPr>
                <w:rFonts w:hint="default" w:ascii="Times New Roman" w:hAnsi="Times New Roman" w:cs="Times New Roman"/>
                <w:color w:val="auto"/>
                <w:spacing w:val="0"/>
                <w:w w:val="100"/>
                <w:kern w:val="0"/>
                <w:position w:val="0"/>
                <w:szCs w:val="21"/>
                <w:highlight w:val="none"/>
                <w:lang w:eastAsia="zh-CN"/>
              </w:rPr>
              <w:t>、青年牛舍</w:t>
            </w:r>
            <w:r>
              <w:rPr>
                <w:rFonts w:hint="default" w:ascii="Times New Roman" w:hAnsi="Times New Roman" w:cs="Times New Roman"/>
                <w:color w:val="auto"/>
                <w:spacing w:val="0"/>
                <w:w w:val="100"/>
                <w:kern w:val="0"/>
                <w:position w:val="0"/>
                <w:szCs w:val="21"/>
                <w:highlight w:val="none"/>
                <w:lang w:val="en-US" w:eastAsia="zh-CN"/>
              </w:rPr>
              <w:t>2栋、</w:t>
            </w:r>
            <w:r>
              <w:rPr>
                <w:rFonts w:hint="default" w:ascii="Times New Roman" w:hAnsi="Times New Roman" w:eastAsia="宋体" w:cs="Times New Roman"/>
                <w:color w:val="auto"/>
                <w:spacing w:val="0"/>
                <w:w w:val="100"/>
                <w:kern w:val="0"/>
                <w:position w:val="0"/>
                <w:szCs w:val="21"/>
                <w:highlight w:val="none"/>
                <w:lang w:eastAsia="zh-CN"/>
              </w:rPr>
              <w:t>产牛舍1栋</w:t>
            </w:r>
            <w:r>
              <w:rPr>
                <w:rFonts w:hint="default" w:ascii="Times New Roman" w:hAnsi="Times New Roman"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lang w:eastAsia="zh-CN"/>
              </w:rPr>
              <w:t>犊牛舍2栋</w:t>
            </w:r>
            <w:r>
              <w:rPr>
                <w:rFonts w:hint="default" w:ascii="Times New Roman" w:hAnsi="Times New Roman" w:cs="Times New Roman"/>
                <w:color w:val="auto"/>
                <w:spacing w:val="0"/>
                <w:w w:val="100"/>
                <w:kern w:val="0"/>
                <w:position w:val="0"/>
                <w:szCs w:val="21"/>
                <w:highlight w:val="none"/>
                <w:lang w:eastAsia="zh-CN"/>
              </w:rPr>
              <w:t>、怀犊牛舍</w:t>
            </w:r>
            <w:r>
              <w:rPr>
                <w:rFonts w:hint="default" w:ascii="Times New Roman" w:hAnsi="Times New Roman" w:cs="Times New Roman"/>
                <w:color w:val="auto"/>
                <w:spacing w:val="0"/>
                <w:w w:val="100"/>
                <w:kern w:val="0"/>
                <w:position w:val="0"/>
                <w:szCs w:val="21"/>
                <w:highlight w:val="none"/>
                <w:lang w:val="en-US" w:eastAsia="zh-CN"/>
              </w:rPr>
              <w:t>3栋</w:t>
            </w:r>
            <w:r>
              <w:rPr>
                <w:rFonts w:hint="default" w:ascii="Times New Roman" w:hAnsi="Times New Roman" w:cs="Times New Roman"/>
                <w:color w:val="auto"/>
                <w:spacing w:val="0"/>
                <w:w w:val="100"/>
                <w:kern w:val="0"/>
                <w:position w:val="0"/>
                <w:szCs w:val="21"/>
                <w:highlight w:val="none"/>
                <w:lang w:eastAsia="zh-CN"/>
              </w:rPr>
              <w:t>，总建筑面积</w:t>
            </w:r>
            <w:r>
              <w:rPr>
                <w:rFonts w:hint="default" w:ascii="Times New Roman" w:hAnsi="Times New Roman" w:eastAsia="宋体" w:cs="Times New Roman"/>
                <w:color w:val="auto"/>
                <w:spacing w:val="0"/>
                <w:w w:val="100"/>
                <w:kern w:val="0"/>
                <w:position w:val="0"/>
                <w:szCs w:val="21"/>
                <w:highlight w:val="none"/>
                <w:lang w:eastAsia="zh-CN"/>
              </w:rPr>
              <w:t>共</w:t>
            </w:r>
            <w:r>
              <w:rPr>
                <w:rFonts w:hint="default" w:ascii="Times New Roman" w:hAnsi="Times New Roman" w:cs="Times New Roman"/>
                <w:color w:val="auto"/>
                <w:spacing w:val="0"/>
                <w:w w:val="100"/>
                <w:kern w:val="0"/>
                <w:position w:val="0"/>
                <w:szCs w:val="21"/>
                <w:highlight w:val="none"/>
                <w:lang w:val="en-US" w:eastAsia="zh-CN"/>
              </w:rPr>
              <w:t>37120</w:t>
            </w:r>
            <w:r>
              <w:rPr>
                <w:rFonts w:hint="default" w:ascii="Times New Roman" w:hAnsi="Times New Roman" w:eastAsia="宋体" w:cs="Times New Roman"/>
                <w:color w:val="auto"/>
                <w:spacing w:val="0"/>
                <w:w w:val="100"/>
                <w:kern w:val="0"/>
                <w:position w:val="0"/>
                <w:szCs w:val="21"/>
                <w:highlight w:val="none"/>
                <w:lang w:eastAsia="zh-CN"/>
              </w:rPr>
              <w:t>m</w:t>
            </w:r>
            <w:r>
              <w:rPr>
                <w:rFonts w:hint="default" w:ascii="Times New Roman" w:hAnsi="Times New Roman" w:eastAsia="宋体" w:cs="Times New Roman"/>
                <w:color w:val="auto"/>
                <w:spacing w:val="0"/>
                <w:w w:val="100"/>
                <w:kern w:val="0"/>
                <w:position w:val="0"/>
                <w:szCs w:val="21"/>
                <w:highlight w:val="none"/>
                <w:vertAlign w:val="superscript"/>
                <w:lang w:eastAsia="zh-CN"/>
              </w:rPr>
              <w:t>2</w:t>
            </w:r>
            <w:r>
              <w:rPr>
                <w:rFonts w:hint="default" w:ascii="Times New Roman" w:hAnsi="Times New Roman" w:eastAsia="宋体" w:cs="Times New Roman"/>
                <w:color w:val="auto"/>
                <w:spacing w:val="0"/>
                <w:w w:val="100"/>
                <w:kern w:val="0"/>
                <w:position w:val="0"/>
                <w:szCs w:val="21"/>
                <w:highlight w:val="none"/>
                <w:lang w:eastAsia="zh-CN"/>
              </w:rPr>
              <w:t>；均</w:t>
            </w:r>
            <w:r>
              <w:rPr>
                <w:rFonts w:hint="default" w:ascii="Times New Roman" w:hAnsi="Times New Roman" w:eastAsia="宋体" w:cs="Times New Roman"/>
                <w:color w:val="auto"/>
                <w:spacing w:val="0"/>
                <w:w w:val="100"/>
                <w:kern w:val="0"/>
                <w:position w:val="0"/>
                <w:szCs w:val="21"/>
                <w:highlight w:val="none"/>
              </w:rPr>
              <w:t>采用双坡式中间通风钢架结构，牛舍内饲喂通道、采食通道均采用混凝土进行硬化</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 w:val="21"/>
              </w:rPr>
              <w:t>两侧均配套建设活动场</w:t>
            </w:r>
            <w:r>
              <w:rPr>
                <w:rFonts w:hint="default" w:ascii="Times New Roman" w:hAnsi="Times New Roman" w:eastAsia="宋体" w:cs="Times New Roman"/>
                <w:color w:val="auto"/>
                <w:spacing w:val="0"/>
                <w:w w:val="100"/>
                <w:kern w:val="0"/>
                <w:position w:val="0"/>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挤奶</w:t>
            </w:r>
            <w:r>
              <w:rPr>
                <w:rFonts w:hint="default" w:ascii="Times New Roman" w:hAnsi="Times New Roman" w:cs="Times New Roman"/>
                <w:color w:val="auto"/>
                <w:spacing w:val="0"/>
                <w:w w:val="100"/>
                <w:kern w:val="0"/>
                <w:position w:val="0"/>
                <w:szCs w:val="21"/>
                <w:highlight w:val="none"/>
                <w:lang w:val="en-US" w:eastAsia="zh-CN"/>
              </w:rPr>
              <w:t>厅</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本项目于场区东侧建设</w:t>
            </w:r>
            <w:r>
              <w:rPr>
                <w:rFonts w:hint="default" w:ascii="Times New Roman" w:hAnsi="Times New Roman" w:eastAsia="宋体" w:cs="Times New Roman"/>
                <w:color w:val="auto"/>
                <w:spacing w:val="0"/>
                <w:w w:val="100"/>
                <w:kern w:val="0"/>
                <w:position w:val="0"/>
                <w:szCs w:val="21"/>
                <w:highlight w:val="none"/>
              </w:rPr>
              <w:t>挤奶</w:t>
            </w:r>
            <w:r>
              <w:rPr>
                <w:rFonts w:hint="default" w:ascii="Times New Roman" w:hAnsi="Times New Roman" w:cs="Times New Roman"/>
                <w:color w:val="auto"/>
                <w:spacing w:val="0"/>
                <w:w w:val="100"/>
                <w:kern w:val="0"/>
                <w:position w:val="0"/>
                <w:szCs w:val="21"/>
                <w:highlight w:val="none"/>
                <w:lang w:eastAsia="zh-CN"/>
              </w:rPr>
              <w:t>厅</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座，建筑面积为</w:t>
            </w:r>
            <w:r>
              <w:rPr>
                <w:rFonts w:hint="default" w:ascii="Times New Roman" w:hAnsi="Times New Roman" w:cs="Times New Roman"/>
                <w:color w:val="auto"/>
                <w:spacing w:val="0"/>
                <w:w w:val="100"/>
                <w:kern w:val="0"/>
                <w:position w:val="0"/>
                <w:szCs w:val="21"/>
                <w:highlight w:val="none"/>
                <w:lang w:val="en-US" w:eastAsia="zh-CN"/>
              </w:rPr>
              <w:t>1440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2</w:t>
            </w:r>
            <w:r>
              <w:rPr>
                <w:rFonts w:hint="default" w:ascii="Times New Roman" w:hAnsi="Times New Roman" w:eastAsia="宋体" w:cs="Times New Roman"/>
                <w:color w:val="auto"/>
                <w:spacing w:val="0"/>
                <w:w w:val="100"/>
                <w:kern w:val="0"/>
                <w:position w:val="0"/>
                <w:szCs w:val="21"/>
                <w:highlight w:val="none"/>
              </w:rPr>
              <w:t>，主要用于泌乳奶牛挤奶及收集储存</w:t>
            </w:r>
            <w:r>
              <w:rPr>
                <w:rFonts w:hint="default" w:ascii="Times New Roman" w:hAnsi="Times New Roman" w:eastAsia="宋体" w:cs="Times New Roman"/>
                <w:color w:val="auto"/>
                <w:spacing w:val="0"/>
                <w:w w:val="100"/>
                <w:kern w:val="0"/>
                <w:position w:val="0"/>
                <w:szCs w:val="21"/>
                <w:highlight w:val="none"/>
                <w:lang w:eastAsia="zh-CN"/>
              </w:rPr>
              <w:t>，挤奶台保障</w:t>
            </w:r>
            <w:r>
              <w:rPr>
                <w:rFonts w:hint="default" w:ascii="Times New Roman" w:hAnsi="Times New Roman" w:cs="Times New Roman"/>
                <w:color w:val="auto"/>
                <w:spacing w:val="0"/>
                <w:w w:val="100"/>
                <w:kern w:val="0"/>
                <w:position w:val="0"/>
                <w:szCs w:val="21"/>
                <w:highlight w:val="none"/>
                <w:lang w:val="en-US" w:eastAsia="zh-CN"/>
              </w:rPr>
              <w:t>5</w:t>
            </w:r>
            <w:r>
              <w:rPr>
                <w:rFonts w:hint="default" w:ascii="Times New Roman" w:hAnsi="Times New Roman" w:eastAsia="宋体" w:cs="Times New Roman"/>
                <w:color w:val="auto"/>
                <w:spacing w:val="0"/>
                <w:w w:val="100"/>
                <w:kern w:val="0"/>
                <w:position w:val="0"/>
                <w:szCs w:val="21"/>
                <w:highlight w:val="none"/>
                <w:lang w:val="en-US" w:eastAsia="zh-CN"/>
              </w:rPr>
              <w:t>000头奶牛的挤奶量</w:t>
            </w: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lang w:eastAsia="zh-CN"/>
              </w:rPr>
              <w:t>辅助工程</w:t>
            </w: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办公</w:t>
            </w:r>
            <w:r>
              <w:rPr>
                <w:rFonts w:hint="default" w:ascii="Times New Roman" w:hAnsi="Times New Roman" w:cs="Times New Roman"/>
                <w:color w:val="auto"/>
                <w:spacing w:val="0"/>
                <w:w w:val="100"/>
                <w:kern w:val="0"/>
                <w:position w:val="0"/>
                <w:szCs w:val="21"/>
                <w:highlight w:val="none"/>
                <w:lang w:val="en-US" w:eastAsia="zh-CN"/>
              </w:rPr>
              <w:t>区</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设</w:t>
            </w:r>
            <w:r>
              <w:rPr>
                <w:rFonts w:hint="default" w:ascii="Times New Roman" w:hAnsi="Times New Roman" w:cs="Times New Roman"/>
                <w:color w:val="auto"/>
                <w:spacing w:val="0"/>
                <w:w w:val="100"/>
                <w:kern w:val="0"/>
                <w:position w:val="0"/>
                <w:szCs w:val="21"/>
                <w:highlight w:val="none"/>
                <w:lang w:val="en-US" w:eastAsia="zh-CN"/>
              </w:rPr>
              <w:t>办公室、职工宿舍</w:t>
            </w:r>
            <w:r>
              <w:rPr>
                <w:rFonts w:hint="default" w:ascii="Times New Roman" w:hAnsi="Times New Roman" w:eastAsia="宋体" w:cs="Times New Roman"/>
                <w:color w:val="auto"/>
                <w:spacing w:val="0"/>
                <w:w w:val="100"/>
                <w:kern w:val="0"/>
                <w:position w:val="0"/>
                <w:szCs w:val="21"/>
                <w:highlight w:val="none"/>
                <w:lang w:val="en-US" w:eastAsia="zh-CN"/>
              </w:rPr>
              <w:t>砖混结构，</w:t>
            </w:r>
            <w:r>
              <w:rPr>
                <w:rFonts w:hint="default" w:ascii="Times New Roman" w:hAnsi="Times New Roman" w:cs="Times New Roman"/>
                <w:color w:val="auto"/>
                <w:spacing w:val="0"/>
                <w:w w:val="100"/>
                <w:kern w:val="0"/>
                <w:position w:val="0"/>
                <w:szCs w:val="21"/>
                <w:highlight w:val="none"/>
                <w:lang w:val="en-US" w:eastAsia="zh-CN"/>
              </w:rPr>
              <w:t>单层</w:t>
            </w:r>
            <w:r>
              <w:rPr>
                <w:rFonts w:hint="default" w:ascii="Times New Roman" w:hAnsi="Times New Roman" w:eastAsia="宋体" w:cs="Times New Roman"/>
                <w:color w:val="auto"/>
                <w:spacing w:val="0"/>
                <w:w w:val="100"/>
                <w:kern w:val="0"/>
                <w:position w:val="0"/>
                <w:szCs w:val="21"/>
                <w:highlight w:val="none"/>
                <w:lang w:val="en-US" w:eastAsia="zh-CN"/>
              </w:rPr>
              <w:t>，建筑面积</w:t>
            </w:r>
            <w:r>
              <w:rPr>
                <w:rFonts w:hint="default" w:ascii="Times New Roman" w:hAnsi="Times New Roman" w:cs="Times New Roman"/>
                <w:color w:val="auto"/>
                <w:spacing w:val="0"/>
                <w:w w:val="100"/>
                <w:kern w:val="0"/>
                <w:position w:val="0"/>
                <w:szCs w:val="21"/>
                <w:highlight w:val="none"/>
                <w:lang w:val="en-US" w:eastAsia="zh-CN"/>
              </w:rPr>
              <w:t>1320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2</w:t>
            </w:r>
            <w:r>
              <w:rPr>
                <w:rFonts w:hint="default" w:ascii="Times New Roman" w:hAnsi="Times New Roman" w:eastAsia="宋体" w:cs="Times New Roman"/>
                <w:color w:val="auto"/>
                <w:spacing w:val="0"/>
                <w:w w:val="100"/>
                <w:kern w:val="0"/>
                <w:position w:val="0"/>
                <w:szCs w:val="21"/>
                <w:highlight w:val="none"/>
                <w:vertAlign w:val="baseline"/>
                <w:lang w:eastAsia="zh-CN"/>
              </w:rPr>
              <w:t>，</w:t>
            </w:r>
            <w:r>
              <w:rPr>
                <w:rFonts w:hint="default" w:ascii="Times New Roman" w:hAnsi="Times New Roman" w:eastAsia="宋体" w:cs="Times New Roman"/>
                <w:color w:val="auto"/>
                <w:spacing w:val="0"/>
                <w:w w:val="100"/>
                <w:kern w:val="0"/>
                <w:position w:val="0"/>
                <w:szCs w:val="21"/>
                <w:highlight w:val="none"/>
                <w:vertAlign w:val="baseline"/>
                <w:lang w:val="en-US" w:eastAsia="zh-CN"/>
              </w:rPr>
              <w:t>主要用于场内办公使用</w:t>
            </w:r>
            <w:r>
              <w:rPr>
                <w:rFonts w:hint="default" w:ascii="Times New Roman" w:hAnsi="Times New Roman" w:cs="Times New Roman"/>
                <w:color w:val="auto"/>
                <w:spacing w:val="0"/>
                <w:w w:val="100"/>
                <w:kern w:val="0"/>
                <w:position w:val="0"/>
                <w:szCs w:val="21"/>
                <w:highlight w:val="none"/>
                <w:vertAlign w:val="baseline"/>
                <w:lang w:val="en-US" w:eastAsia="zh-CN"/>
              </w:rPr>
              <w:t>、职工倒班临时休息</w:t>
            </w:r>
            <w:r>
              <w:rPr>
                <w:rFonts w:hint="default" w:ascii="Times New Roman" w:hAnsi="Times New Roman" w:eastAsia="宋体" w:cs="Times New Roman"/>
                <w:color w:val="auto"/>
                <w:spacing w:val="0"/>
                <w:w w:val="100"/>
                <w:kern w:val="0"/>
                <w:position w:val="0"/>
                <w:szCs w:val="21"/>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门房</w:t>
            </w:r>
          </w:p>
        </w:tc>
        <w:tc>
          <w:tcPr>
            <w:tcW w:w="6983"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line="269" w:lineRule="exact"/>
              <w:ind w:left="113"/>
              <w:jc w:val="left"/>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在场区</w:t>
            </w:r>
            <w:r>
              <w:rPr>
                <w:rFonts w:hint="default" w:ascii="Times New Roman" w:hAnsi="Times New Roman" w:cs="Times New Roman"/>
                <w:color w:val="auto"/>
                <w:spacing w:val="0"/>
                <w:w w:val="100"/>
                <w:kern w:val="0"/>
                <w:position w:val="0"/>
                <w:szCs w:val="21"/>
                <w:highlight w:val="none"/>
                <w:lang w:val="en-US" w:eastAsia="zh-CN"/>
              </w:rPr>
              <w:t>西北角</w:t>
            </w:r>
            <w:r>
              <w:rPr>
                <w:rFonts w:hint="default" w:ascii="Times New Roman" w:hAnsi="Times New Roman" w:eastAsia="宋体" w:cs="Times New Roman"/>
                <w:color w:val="auto"/>
                <w:spacing w:val="0"/>
                <w:w w:val="100"/>
                <w:kern w:val="0"/>
                <w:position w:val="0"/>
                <w:szCs w:val="21"/>
                <w:highlight w:val="none"/>
                <w:lang w:val="en-US" w:eastAsia="zh-CN"/>
              </w:rPr>
              <w:t>建设门房1座</w:t>
            </w:r>
            <w:r>
              <w:rPr>
                <w:rFonts w:hint="default" w:ascii="Times New Roman" w:hAnsi="Times New Roman" w:cs="Times New Roman"/>
                <w:color w:val="auto"/>
                <w:spacing w:val="0"/>
                <w:w w:val="100"/>
                <w:kern w:val="0"/>
                <w:position w:val="0"/>
                <w:szCs w:val="21"/>
                <w:highlight w:val="none"/>
                <w:lang w:val="en-US" w:eastAsia="zh-CN"/>
              </w:rPr>
              <w:t>，</w:t>
            </w:r>
            <w:r>
              <w:rPr>
                <w:rFonts w:hint="default" w:ascii="Times New Roman" w:hAnsi="Times New Roman" w:eastAsia="宋体" w:cs="Times New Roman"/>
                <w:color w:val="auto"/>
                <w:spacing w:val="0"/>
                <w:w w:val="100"/>
                <w:kern w:val="0"/>
                <w:position w:val="0"/>
                <w:szCs w:val="21"/>
                <w:highlight w:val="none"/>
                <w:lang w:val="en-US" w:eastAsia="zh-CN"/>
              </w:rPr>
              <w:t>建筑面积</w:t>
            </w:r>
            <w:r>
              <w:rPr>
                <w:rFonts w:hint="default" w:ascii="Times New Roman" w:hAnsi="Times New Roman" w:cs="Times New Roman"/>
                <w:color w:val="auto"/>
                <w:spacing w:val="0"/>
                <w:w w:val="100"/>
                <w:kern w:val="0"/>
                <w:position w:val="0"/>
                <w:szCs w:val="21"/>
                <w:highlight w:val="none"/>
                <w:lang w:val="en-US" w:eastAsia="zh-CN"/>
              </w:rPr>
              <w:t>45</w:t>
            </w:r>
            <w:r>
              <w:rPr>
                <w:rFonts w:hint="default" w:ascii="Times New Roman" w:hAnsi="Times New Roman" w:eastAsia="宋体" w:cs="Times New Roman"/>
                <w:color w:val="auto"/>
                <w:spacing w:val="0"/>
                <w:w w:val="100"/>
                <w:kern w:val="0"/>
                <w:position w:val="0"/>
                <w:szCs w:val="21"/>
                <w:highlight w:val="none"/>
                <w:lang w:val="en-US" w:eastAsia="zh-CN"/>
              </w:rPr>
              <w:t>m</w:t>
            </w:r>
            <w:r>
              <w:rPr>
                <w:rFonts w:hint="default" w:ascii="Times New Roman" w:hAnsi="Times New Roman" w:eastAsia="宋体" w:cs="Times New Roman"/>
                <w:color w:val="auto"/>
                <w:spacing w:val="0"/>
                <w:w w:val="100"/>
                <w:kern w:val="0"/>
                <w:position w:val="0"/>
                <w:szCs w:val="21"/>
                <w:highlight w:val="none"/>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消毒室</w:t>
            </w:r>
          </w:p>
        </w:tc>
        <w:tc>
          <w:tcPr>
            <w:tcW w:w="6983"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line="269" w:lineRule="exact"/>
              <w:ind w:left="113"/>
              <w:jc w:val="left"/>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在场区</w:t>
            </w:r>
            <w:r>
              <w:rPr>
                <w:rFonts w:hint="default" w:ascii="Times New Roman" w:hAnsi="Times New Roman" w:cs="Times New Roman"/>
                <w:color w:val="auto"/>
                <w:spacing w:val="0"/>
                <w:w w:val="100"/>
                <w:kern w:val="0"/>
                <w:position w:val="0"/>
                <w:szCs w:val="21"/>
                <w:highlight w:val="none"/>
                <w:lang w:val="en-US" w:eastAsia="zh-CN"/>
              </w:rPr>
              <w:t>西北角</w:t>
            </w:r>
            <w:r>
              <w:rPr>
                <w:rFonts w:hint="default" w:ascii="Times New Roman" w:hAnsi="Times New Roman" w:eastAsia="宋体" w:cs="Times New Roman"/>
                <w:color w:val="auto"/>
                <w:spacing w:val="0"/>
                <w:w w:val="100"/>
                <w:kern w:val="0"/>
                <w:position w:val="0"/>
                <w:szCs w:val="21"/>
                <w:highlight w:val="none"/>
                <w:lang w:val="en-US" w:eastAsia="zh-CN"/>
              </w:rPr>
              <w:t>建设</w:t>
            </w:r>
            <w:r>
              <w:rPr>
                <w:rFonts w:hint="default" w:ascii="Times New Roman" w:hAnsi="Times New Roman" w:cs="Times New Roman"/>
                <w:color w:val="auto"/>
                <w:spacing w:val="0"/>
                <w:w w:val="100"/>
                <w:kern w:val="0"/>
                <w:position w:val="0"/>
                <w:szCs w:val="21"/>
                <w:highlight w:val="none"/>
                <w:lang w:val="en-US" w:eastAsia="zh-CN"/>
              </w:rPr>
              <w:t>消毒室</w:t>
            </w:r>
            <w:r>
              <w:rPr>
                <w:rFonts w:hint="default" w:ascii="Times New Roman" w:hAnsi="Times New Roman" w:eastAsia="宋体" w:cs="Times New Roman"/>
                <w:color w:val="auto"/>
                <w:spacing w:val="0"/>
                <w:w w:val="100"/>
                <w:kern w:val="0"/>
                <w:position w:val="0"/>
                <w:szCs w:val="21"/>
                <w:highlight w:val="none"/>
                <w:lang w:val="en-US" w:eastAsia="zh-CN"/>
              </w:rPr>
              <w:t>1座</w:t>
            </w:r>
            <w:r>
              <w:rPr>
                <w:rFonts w:hint="default" w:ascii="Times New Roman" w:hAnsi="Times New Roman" w:cs="Times New Roman"/>
                <w:color w:val="auto"/>
                <w:spacing w:val="0"/>
                <w:w w:val="100"/>
                <w:kern w:val="0"/>
                <w:position w:val="0"/>
                <w:szCs w:val="21"/>
                <w:highlight w:val="none"/>
                <w:lang w:val="en-US" w:eastAsia="zh-CN"/>
              </w:rPr>
              <w:t>，</w:t>
            </w:r>
            <w:r>
              <w:rPr>
                <w:rFonts w:hint="default" w:ascii="Times New Roman" w:hAnsi="Times New Roman" w:eastAsia="宋体" w:cs="Times New Roman"/>
                <w:color w:val="auto"/>
                <w:spacing w:val="0"/>
                <w:w w:val="100"/>
                <w:kern w:val="0"/>
                <w:position w:val="0"/>
                <w:szCs w:val="21"/>
                <w:highlight w:val="none"/>
                <w:lang w:val="en-US" w:eastAsia="zh-CN"/>
              </w:rPr>
              <w:t>建筑面积</w:t>
            </w:r>
            <w:r>
              <w:rPr>
                <w:rFonts w:hint="default" w:ascii="Times New Roman" w:hAnsi="Times New Roman" w:cs="Times New Roman"/>
                <w:color w:val="auto"/>
                <w:spacing w:val="0"/>
                <w:w w:val="100"/>
                <w:kern w:val="0"/>
                <w:position w:val="0"/>
                <w:szCs w:val="21"/>
                <w:highlight w:val="none"/>
                <w:lang w:val="en-US" w:eastAsia="zh-CN"/>
              </w:rPr>
              <w:t>35</w:t>
            </w:r>
            <w:r>
              <w:rPr>
                <w:rFonts w:hint="default" w:ascii="Times New Roman" w:hAnsi="Times New Roman" w:eastAsia="宋体" w:cs="Times New Roman"/>
                <w:color w:val="auto"/>
                <w:spacing w:val="0"/>
                <w:w w:val="100"/>
                <w:kern w:val="0"/>
                <w:position w:val="0"/>
                <w:szCs w:val="21"/>
                <w:highlight w:val="none"/>
                <w:lang w:val="en-US" w:eastAsia="zh-CN"/>
              </w:rPr>
              <w:t>m</w:t>
            </w:r>
            <w:r>
              <w:rPr>
                <w:rFonts w:hint="default" w:ascii="Times New Roman" w:hAnsi="Times New Roman" w:eastAsia="宋体" w:cs="Times New Roman"/>
                <w:color w:val="auto"/>
                <w:spacing w:val="0"/>
                <w:w w:val="100"/>
                <w:kern w:val="0"/>
                <w:position w:val="0"/>
                <w:szCs w:val="21"/>
                <w:highlight w:val="none"/>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防疫通道</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场区主干道入口处</w:t>
            </w:r>
            <w:r>
              <w:rPr>
                <w:rFonts w:hint="default" w:ascii="Times New Roman" w:hAnsi="Times New Roman" w:eastAsia="宋体" w:cs="Times New Roman"/>
                <w:color w:val="auto"/>
                <w:spacing w:val="0"/>
                <w:w w:val="100"/>
                <w:kern w:val="0"/>
                <w:position w:val="0"/>
                <w:szCs w:val="21"/>
                <w:highlight w:val="none"/>
                <w:lang w:eastAsia="zh-CN"/>
              </w:rPr>
              <w:t>及次干道入口处均</w:t>
            </w:r>
            <w:r>
              <w:rPr>
                <w:rFonts w:hint="default" w:ascii="Times New Roman" w:hAnsi="Times New Roman" w:eastAsia="宋体" w:cs="Times New Roman"/>
                <w:color w:val="auto"/>
                <w:spacing w:val="0"/>
                <w:w w:val="100"/>
                <w:kern w:val="0"/>
                <w:position w:val="0"/>
                <w:szCs w:val="21"/>
                <w:highlight w:val="none"/>
              </w:rPr>
              <w:t>设置</w:t>
            </w:r>
            <w:r>
              <w:rPr>
                <w:rFonts w:hint="default" w:ascii="Times New Roman" w:hAnsi="Times New Roman" w:eastAsia="宋体" w:cs="Times New Roman"/>
                <w:color w:val="auto"/>
                <w:spacing w:val="0"/>
                <w:w w:val="100"/>
                <w:kern w:val="0"/>
                <w:position w:val="0"/>
                <w:szCs w:val="21"/>
                <w:highlight w:val="none"/>
                <w:lang w:val="en-US" w:eastAsia="zh-CN"/>
              </w:rPr>
              <w:t>1座防疫通道</w:t>
            </w:r>
            <w:r>
              <w:rPr>
                <w:rFonts w:hint="default" w:ascii="Times New Roman" w:hAnsi="Times New Roman" w:eastAsia="宋体" w:cs="Times New Roman"/>
                <w:color w:val="auto"/>
                <w:spacing w:val="0"/>
                <w:w w:val="100"/>
                <w:kern w:val="0"/>
                <w:position w:val="0"/>
                <w:szCs w:val="21"/>
                <w:highlight w:val="none"/>
              </w:rPr>
              <w:t>对进出车辆进行消毒，进出人员在</w:t>
            </w:r>
            <w:r>
              <w:rPr>
                <w:rFonts w:hint="default" w:ascii="Times New Roman" w:hAnsi="Times New Roman" w:eastAsia="宋体" w:cs="Times New Roman"/>
                <w:color w:val="auto"/>
                <w:spacing w:val="0"/>
                <w:w w:val="100"/>
                <w:kern w:val="0"/>
                <w:position w:val="0"/>
                <w:szCs w:val="21"/>
                <w:highlight w:val="none"/>
                <w:lang w:val="en-US" w:eastAsia="zh-CN"/>
              </w:rPr>
              <w:t>防疫通道</w:t>
            </w:r>
            <w:r>
              <w:rPr>
                <w:rFonts w:hint="default" w:ascii="Times New Roman" w:hAnsi="Times New Roman" w:eastAsia="宋体" w:cs="Times New Roman"/>
                <w:color w:val="auto"/>
                <w:spacing w:val="0"/>
                <w:w w:val="100"/>
                <w:kern w:val="0"/>
                <w:position w:val="0"/>
                <w:szCs w:val="21"/>
                <w:highlight w:val="none"/>
              </w:rPr>
              <w:t>进行消毒，圈舍采用生石灰消毒。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兽医兽药室</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项目在犊牛圈</w:t>
            </w:r>
            <w:r>
              <w:rPr>
                <w:rFonts w:hint="eastAsia" w:ascii="Times New Roman" w:hAnsi="Times New Roman" w:cs="Times New Roman"/>
                <w:color w:val="auto"/>
                <w:spacing w:val="0"/>
                <w:w w:val="100"/>
                <w:kern w:val="0"/>
                <w:position w:val="0"/>
                <w:szCs w:val="21"/>
                <w:highlight w:val="none"/>
                <w:lang w:val="en-US" w:eastAsia="zh-CN"/>
              </w:rPr>
              <w:t>北</w:t>
            </w:r>
            <w:r>
              <w:rPr>
                <w:rFonts w:hint="default" w:ascii="Times New Roman" w:hAnsi="Times New Roman" w:eastAsia="宋体" w:cs="Times New Roman"/>
                <w:color w:val="auto"/>
                <w:spacing w:val="0"/>
                <w:w w:val="100"/>
                <w:kern w:val="0"/>
                <w:position w:val="0"/>
                <w:szCs w:val="21"/>
                <w:highlight w:val="none"/>
                <w:lang w:val="en-US" w:eastAsia="zh-CN"/>
              </w:rPr>
              <w:t>侧建设兽医兽药室1座，主要用于防疫，疾病药物的存放。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val="en-US" w:eastAsia="zh-CN"/>
              </w:rPr>
              <w:t>污水处理站</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val="en-US" w:eastAsia="zh-CN"/>
              </w:rPr>
              <w:t>场</w:t>
            </w:r>
            <w:r>
              <w:rPr>
                <w:rFonts w:hint="default" w:ascii="Times New Roman" w:hAnsi="Times New Roman" w:eastAsia="宋体" w:cs="Times New Roman"/>
                <w:color w:val="auto"/>
                <w:spacing w:val="0"/>
                <w:w w:val="100"/>
                <w:kern w:val="0"/>
                <w:position w:val="0"/>
                <w:szCs w:val="21"/>
                <w:highlight w:val="none"/>
                <w:lang w:val="en-US" w:eastAsia="zh-CN"/>
              </w:rPr>
              <w:t>区</w:t>
            </w:r>
            <w:r>
              <w:rPr>
                <w:rFonts w:hint="default" w:ascii="Times New Roman" w:hAnsi="Times New Roman" w:cs="Times New Roman"/>
                <w:color w:val="auto"/>
                <w:spacing w:val="0"/>
                <w:w w:val="100"/>
                <w:kern w:val="0"/>
                <w:position w:val="0"/>
                <w:szCs w:val="21"/>
                <w:highlight w:val="none"/>
                <w:lang w:val="en-US" w:eastAsia="zh-CN"/>
              </w:rPr>
              <w:t>东</w:t>
            </w:r>
            <w:r>
              <w:rPr>
                <w:rFonts w:hint="default" w:ascii="Times New Roman" w:hAnsi="Times New Roman" w:eastAsia="宋体" w:cs="Times New Roman"/>
                <w:color w:val="auto"/>
                <w:spacing w:val="0"/>
                <w:w w:val="100"/>
                <w:kern w:val="0"/>
                <w:position w:val="0"/>
                <w:szCs w:val="21"/>
                <w:highlight w:val="none"/>
                <w:lang w:val="en-US" w:eastAsia="zh-CN"/>
              </w:rPr>
              <w:t>南角建设</w:t>
            </w:r>
            <w:r>
              <w:rPr>
                <w:rFonts w:hint="default" w:ascii="Times New Roman" w:hAnsi="Times New Roman" w:cs="Times New Roman"/>
                <w:color w:val="auto"/>
                <w:spacing w:val="0"/>
                <w:w w:val="100"/>
                <w:kern w:val="0"/>
                <w:position w:val="0"/>
                <w:szCs w:val="21"/>
                <w:highlight w:val="none"/>
                <w:lang w:val="en-US" w:eastAsia="zh-CN"/>
              </w:rPr>
              <w:t>污水处理站1</w:t>
            </w:r>
            <w:r>
              <w:rPr>
                <w:rFonts w:hint="default" w:ascii="Times New Roman" w:hAnsi="Times New Roman" w:eastAsia="宋体" w:cs="Times New Roman"/>
                <w:color w:val="auto"/>
                <w:spacing w:val="0"/>
                <w:w w:val="100"/>
                <w:kern w:val="0"/>
                <w:position w:val="0"/>
                <w:szCs w:val="21"/>
                <w:highlight w:val="none"/>
                <w:lang w:val="en-US" w:eastAsia="zh-CN"/>
              </w:rPr>
              <w:t>座</w:t>
            </w:r>
            <w:r>
              <w:rPr>
                <w:rFonts w:hint="default" w:ascii="Times New Roman" w:hAnsi="Times New Roman" w:cs="Times New Roman"/>
                <w:color w:val="auto"/>
                <w:spacing w:val="0"/>
                <w:w w:val="100"/>
                <w:kern w:val="0"/>
                <w:position w:val="0"/>
                <w:szCs w:val="21"/>
                <w:highlight w:val="none"/>
                <w:lang w:val="en-US" w:eastAsia="zh-CN"/>
              </w:rPr>
              <w:t>，建筑面积483m</w:t>
            </w:r>
            <w:r>
              <w:rPr>
                <w:rFonts w:hint="default" w:ascii="Times New Roman" w:hAnsi="Times New Roman" w:cs="Times New Roman"/>
                <w:color w:val="auto"/>
                <w:spacing w:val="0"/>
                <w:w w:val="100"/>
                <w:kern w:val="0"/>
                <w:position w:val="0"/>
                <w:szCs w:val="21"/>
                <w:highlight w:val="none"/>
                <w:vertAlign w:val="superscript"/>
                <w:lang w:val="en-US" w:eastAsia="zh-CN"/>
              </w:rPr>
              <w:t>2</w:t>
            </w:r>
            <w:r>
              <w:rPr>
                <w:rFonts w:hint="eastAsia" w:ascii="Times New Roman" w:hAnsi="Times New Roman" w:cs="Times New Roman"/>
                <w:color w:val="auto"/>
                <w:spacing w:val="0"/>
                <w:w w:val="100"/>
                <w:kern w:val="0"/>
                <w:position w:val="0"/>
                <w:szCs w:val="21"/>
                <w:highlight w:val="none"/>
                <w:vertAlign w:val="baseline"/>
                <w:lang w:val="en-US" w:eastAsia="zh-CN"/>
              </w:rPr>
              <w:t>。</w:t>
            </w:r>
            <w:r>
              <w:rPr>
                <w:rFonts w:hint="eastAsia" w:ascii="Times New Roman" w:hAnsi="Times New Roman" w:cs="Times New Roman"/>
                <w:color w:val="auto"/>
                <w:spacing w:val="0"/>
                <w:w w:val="100"/>
                <w:kern w:val="0"/>
                <w:position w:val="0"/>
                <w:szCs w:val="21"/>
                <w:highlight w:val="none"/>
                <w:lang w:eastAsia="zh-CN"/>
              </w:rPr>
              <w:t>设计处理规模为</w:t>
            </w:r>
            <w:r>
              <w:rPr>
                <w:rFonts w:hint="default" w:ascii="Times New Roman" w:hAnsi="Times New Roman" w:cs="Times New Roman"/>
                <w:color w:val="auto"/>
                <w:spacing w:val="0"/>
                <w:w w:val="100"/>
                <w:kern w:val="0"/>
                <w:position w:val="0"/>
                <w:szCs w:val="21"/>
                <w:highlight w:val="none"/>
                <w:lang w:val="en-US" w:eastAsia="zh-CN"/>
              </w:rPr>
              <w:t>10</w:t>
            </w:r>
            <w:r>
              <w:rPr>
                <w:rFonts w:hint="default" w:ascii="Times New Roman" w:hAnsi="Times New Roman" w:eastAsia="宋体" w:cs="Times New Roman"/>
                <w:color w:val="auto"/>
                <w:spacing w:val="0"/>
                <w:w w:val="100"/>
                <w:kern w:val="0"/>
                <w:position w:val="0"/>
                <w:szCs w:val="21"/>
                <w:highlight w:val="none"/>
                <w:lang w:val="en-US" w:eastAsia="zh-CN"/>
              </w:rPr>
              <w:t>0m</w:t>
            </w:r>
            <w:r>
              <w:rPr>
                <w:rFonts w:hint="default" w:ascii="Times New Roman" w:hAnsi="Times New Roman" w:eastAsia="宋体" w:cs="Times New Roman"/>
                <w:color w:val="auto"/>
                <w:spacing w:val="0"/>
                <w:w w:val="100"/>
                <w:kern w:val="0"/>
                <w:position w:val="0"/>
                <w:szCs w:val="21"/>
                <w:highlight w:val="none"/>
                <w:vertAlign w:val="superscript"/>
                <w:lang w:val="en-US" w:eastAsia="zh-CN"/>
              </w:rPr>
              <w:t>3</w:t>
            </w:r>
            <w:r>
              <w:rPr>
                <w:rFonts w:hint="default" w:ascii="Times New Roman" w:hAnsi="Times New Roman" w:eastAsia="宋体" w:cs="Times New Roman"/>
                <w:color w:val="auto"/>
                <w:spacing w:val="0"/>
                <w:w w:val="100"/>
                <w:kern w:val="0"/>
                <w:position w:val="0"/>
                <w:szCs w:val="21"/>
                <w:highlight w:val="none"/>
                <w:lang w:val="en-US" w:eastAsia="zh-CN"/>
              </w:rPr>
              <w:t>/d</w:t>
            </w:r>
            <w:r>
              <w:rPr>
                <w:rFonts w:hint="eastAsia" w:ascii="Times New Roman" w:hAnsi="Times New Roman" w:cs="Times New Roman"/>
                <w:color w:val="auto"/>
                <w:spacing w:val="0"/>
                <w:w w:val="100"/>
                <w:kern w:val="0"/>
                <w:position w:val="0"/>
                <w:szCs w:val="21"/>
                <w:highlight w:val="none"/>
                <w:lang w:eastAsia="zh-CN"/>
              </w:rPr>
              <w:t>，设有</w:t>
            </w:r>
            <w:r>
              <w:rPr>
                <w:rFonts w:hint="default" w:ascii="Times New Roman" w:hAnsi="Times New Roman" w:eastAsia="宋体" w:cs="Times New Roman"/>
                <w:color w:val="auto"/>
                <w:spacing w:val="0"/>
                <w:w w:val="100"/>
                <w:kern w:val="0"/>
                <w:position w:val="0"/>
                <w:sz w:val="21"/>
                <w:szCs w:val="21"/>
                <w:highlight w:val="none"/>
                <w:lang w:eastAsia="zh-CN"/>
              </w:rPr>
              <w:t>初沉池</w:t>
            </w:r>
            <w:r>
              <w:rPr>
                <w:rFonts w:hint="default" w:ascii="Times New Roman" w:hAnsi="Times New Roman" w:eastAsia="宋体" w:cs="Times New Roman"/>
                <w:color w:val="auto"/>
                <w:spacing w:val="0"/>
                <w:w w:val="100"/>
                <w:kern w:val="0"/>
                <w:position w:val="0"/>
                <w:sz w:val="21"/>
                <w:szCs w:val="21"/>
                <w:highlight w:val="none"/>
              </w:rPr>
              <w:t>+调节池+</w:t>
            </w:r>
            <w:r>
              <w:rPr>
                <w:rFonts w:hint="default" w:ascii="Times New Roman" w:hAnsi="Times New Roman" w:eastAsia="宋体" w:cs="Times New Roman"/>
                <w:color w:val="auto"/>
                <w:spacing w:val="0"/>
                <w:w w:val="100"/>
                <w:kern w:val="0"/>
                <w:position w:val="0"/>
                <w:sz w:val="21"/>
                <w:szCs w:val="21"/>
                <w:highlight w:val="none"/>
                <w:lang w:eastAsia="zh-CN"/>
              </w:rPr>
              <w:t>压滤机</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中间水池</w:t>
            </w:r>
            <w:r>
              <w:rPr>
                <w:rFonts w:hint="default" w:ascii="Times New Roman" w:hAnsi="Times New Roman" w:eastAsia="宋体" w:cs="Times New Roman"/>
                <w:color w:val="auto"/>
                <w:spacing w:val="0"/>
                <w:w w:val="100"/>
                <w:kern w:val="0"/>
                <w:position w:val="0"/>
                <w:sz w:val="21"/>
                <w:szCs w:val="21"/>
                <w:highlight w:val="none"/>
              </w:rPr>
              <w:t>+AO</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rPr>
              <w:t>2</w:t>
            </w:r>
            <w:r>
              <w:rPr>
                <w:rFonts w:hint="default" w:ascii="Times New Roman" w:hAnsi="Times New Roman" w:eastAsia="宋体" w:cs="Times New Roman"/>
                <w:color w:val="auto"/>
                <w:spacing w:val="0"/>
                <w:w w:val="100"/>
                <w:kern w:val="0"/>
                <w:position w:val="0"/>
                <w:sz w:val="21"/>
                <w:szCs w:val="21"/>
                <w:highlight w:val="none"/>
              </w:rPr>
              <w:t>反应池+二沉池</w:t>
            </w:r>
            <w:r>
              <w:rPr>
                <w:rFonts w:hint="default" w:ascii="Times New Roman" w:hAnsi="Times New Roman" w:eastAsia="宋体" w:cs="Times New Roman"/>
                <w:color w:val="auto"/>
                <w:spacing w:val="0"/>
                <w:w w:val="100"/>
                <w:kern w:val="0"/>
                <w:position w:val="0"/>
                <w:sz w:val="21"/>
                <w:szCs w:val="21"/>
                <w:highlight w:val="none"/>
                <w:lang w:val="en-US" w:eastAsia="zh-CN"/>
              </w:rPr>
              <w:t>+消毒池</w:t>
            </w:r>
            <w:r>
              <w:rPr>
                <w:rFonts w:hint="eastAsia" w:ascii="Times New Roman" w:hAnsi="Times New Roman" w:cs="Times New Roman"/>
                <w:color w:val="auto"/>
                <w:spacing w:val="0"/>
                <w:w w:val="100"/>
                <w:kern w:val="0"/>
                <w:position w:val="0"/>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氧化塘</w:t>
            </w:r>
          </w:p>
        </w:tc>
        <w:tc>
          <w:tcPr>
            <w:tcW w:w="6983" w:type="dxa"/>
            <w:tcBorders>
              <w:tl2br w:val="nil"/>
              <w:tr2bl w:val="nil"/>
            </w:tcBorders>
            <w:noWrap w:val="0"/>
            <w:vAlign w:val="center"/>
          </w:tcPr>
          <w:p>
            <w:pPr>
              <w:pStyle w:val="39"/>
              <w:keepNext w:val="0"/>
              <w:keepLines w:val="0"/>
              <w:pageBreakBefore w:val="0"/>
              <w:widowControl w:val="0"/>
              <w:kinsoku/>
              <w:wordWrap/>
              <w:topLinePunct w:val="0"/>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val="en-US" w:eastAsia="zh-CN"/>
              </w:rPr>
              <w:t>场</w:t>
            </w:r>
            <w:r>
              <w:rPr>
                <w:rFonts w:hint="default" w:ascii="Times New Roman" w:hAnsi="Times New Roman" w:eastAsia="宋体" w:cs="Times New Roman"/>
                <w:color w:val="auto"/>
                <w:spacing w:val="0"/>
                <w:w w:val="100"/>
                <w:kern w:val="0"/>
                <w:position w:val="0"/>
                <w:szCs w:val="21"/>
                <w:highlight w:val="none"/>
                <w:lang w:val="en-US" w:eastAsia="zh-CN"/>
              </w:rPr>
              <w:t>区</w:t>
            </w:r>
            <w:r>
              <w:rPr>
                <w:rFonts w:hint="default" w:ascii="Times New Roman" w:hAnsi="Times New Roman" w:cs="Times New Roman"/>
                <w:color w:val="auto"/>
                <w:spacing w:val="0"/>
                <w:w w:val="100"/>
                <w:kern w:val="0"/>
                <w:position w:val="0"/>
                <w:szCs w:val="21"/>
                <w:highlight w:val="none"/>
                <w:lang w:val="en-US" w:eastAsia="zh-CN"/>
              </w:rPr>
              <w:t>东</w:t>
            </w:r>
            <w:r>
              <w:rPr>
                <w:rFonts w:hint="default" w:ascii="Times New Roman" w:hAnsi="Times New Roman" w:eastAsia="宋体" w:cs="Times New Roman"/>
                <w:color w:val="auto"/>
                <w:spacing w:val="0"/>
                <w:w w:val="100"/>
                <w:kern w:val="0"/>
                <w:position w:val="0"/>
                <w:szCs w:val="21"/>
                <w:highlight w:val="none"/>
                <w:lang w:val="en-US" w:eastAsia="zh-CN"/>
              </w:rPr>
              <w:t>南角建设氧化塘</w:t>
            </w:r>
            <w:r>
              <w:rPr>
                <w:rFonts w:hint="default" w:ascii="Times New Roman" w:hAnsi="Times New Roman"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lang w:val="en-US" w:eastAsia="zh-CN"/>
              </w:rPr>
              <w:t>座</w:t>
            </w:r>
            <w:r>
              <w:rPr>
                <w:rFonts w:hint="default" w:ascii="Times New Roman" w:hAnsi="Times New Roman" w:cs="Times New Roman"/>
                <w:color w:val="auto"/>
                <w:spacing w:val="0"/>
                <w:w w:val="100"/>
                <w:kern w:val="0"/>
                <w:position w:val="0"/>
                <w:szCs w:val="21"/>
                <w:highlight w:val="none"/>
                <w:lang w:val="en-US" w:eastAsia="zh-CN"/>
              </w:rPr>
              <w:t>，</w:t>
            </w:r>
            <w:r>
              <w:rPr>
                <w:rFonts w:hint="default" w:ascii="Times New Roman" w:hAnsi="Times New Roman" w:eastAsia="宋体" w:cs="Times New Roman"/>
                <w:color w:val="auto"/>
                <w:spacing w:val="0"/>
                <w:w w:val="100"/>
                <w:kern w:val="0"/>
                <w:position w:val="0"/>
                <w:szCs w:val="21"/>
                <w:highlight w:val="none"/>
                <w:lang w:val="en-US" w:eastAsia="zh-CN"/>
              </w:rPr>
              <w:t>容积</w:t>
            </w:r>
            <w:r>
              <w:rPr>
                <w:rFonts w:hint="default" w:ascii="Times New Roman" w:hAnsi="Times New Roman" w:cs="Times New Roman"/>
                <w:color w:val="auto"/>
                <w:spacing w:val="0"/>
                <w:w w:val="100"/>
                <w:kern w:val="0"/>
                <w:position w:val="0"/>
                <w:szCs w:val="21"/>
                <w:highlight w:val="none"/>
                <w:lang w:val="en-US" w:eastAsia="zh-CN"/>
              </w:rPr>
              <w:t>16000</w:t>
            </w:r>
            <w:r>
              <w:rPr>
                <w:rFonts w:hint="default" w:ascii="Times New Roman" w:hAnsi="Times New Roman" w:eastAsia="宋体" w:cs="Times New Roman"/>
                <w:color w:val="auto"/>
                <w:spacing w:val="0"/>
                <w:w w:val="100"/>
                <w:kern w:val="0"/>
                <w:position w:val="0"/>
                <w:szCs w:val="21"/>
                <w:highlight w:val="none"/>
                <w:lang w:val="en-US" w:eastAsia="zh-CN"/>
              </w:rPr>
              <w:t>m</w:t>
            </w:r>
            <w:r>
              <w:rPr>
                <w:rFonts w:hint="default" w:ascii="Times New Roman" w:hAnsi="Times New Roman" w:cs="Times New Roman"/>
                <w:color w:val="auto"/>
                <w:spacing w:val="0"/>
                <w:w w:val="100"/>
                <w:kern w:val="0"/>
                <w:position w:val="0"/>
                <w:szCs w:val="21"/>
                <w:highlight w:val="none"/>
                <w:vertAlign w:val="superscript"/>
                <w:lang w:val="en-US" w:eastAsia="zh-CN"/>
              </w:rPr>
              <w:t>3</w:t>
            </w:r>
            <w:r>
              <w:rPr>
                <w:rFonts w:hint="default" w:ascii="Times New Roman" w:hAnsi="Times New Roman" w:eastAsia="宋体" w:cs="Times New Roman"/>
                <w:color w:val="auto"/>
                <w:spacing w:val="0"/>
                <w:w w:val="100"/>
                <w:kern w:val="0"/>
                <w:position w:val="0"/>
                <w:szCs w:val="21"/>
                <w:highlight w:val="none"/>
                <w:lang w:val="en-US" w:eastAsia="zh-CN"/>
              </w:rPr>
              <w:t>，用于存放冬季不灌溉时的灌溉用水（经污水处理站处理且满足</w:t>
            </w:r>
            <w:r>
              <w:rPr>
                <w:rFonts w:hint="default" w:ascii="Times New Roman" w:hAnsi="Times New Roman" w:eastAsia="宋体" w:cs="Times New Roman"/>
                <w:color w:val="auto"/>
                <w:spacing w:val="0"/>
                <w:w w:val="100"/>
                <w:kern w:val="0"/>
                <w:position w:val="0"/>
                <w:sz w:val="21"/>
                <w:szCs w:val="21"/>
                <w:highlight w:val="none"/>
                <w:lang w:val="en-US" w:eastAsia="zh-CN" w:bidi="ar-SA"/>
              </w:rPr>
              <w:t>《农田灌溉水质标准》（GB5084-2005）中“旱作”标准</w:t>
            </w: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pacing w:val="0"/>
                <w:w w:val="100"/>
                <w:kern w:val="0"/>
                <w:position w:val="0"/>
                <w:szCs w:val="21"/>
                <w:highlight w:val="none"/>
                <w:lang w:eastAsia="zh-CN"/>
              </w:rPr>
              <w:t>储运工程</w:t>
            </w: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eastAsia="zh-CN"/>
              </w:rPr>
              <w:t>青贮池</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val="en-US" w:eastAsia="zh-CN"/>
              </w:rPr>
              <w:t>场区西侧</w:t>
            </w:r>
            <w:r>
              <w:rPr>
                <w:rFonts w:hint="default" w:ascii="Times New Roman" w:hAnsi="Times New Roman" w:eastAsia="宋体" w:cs="Times New Roman"/>
                <w:color w:val="auto"/>
                <w:spacing w:val="0"/>
                <w:w w:val="100"/>
                <w:kern w:val="0"/>
                <w:position w:val="0"/>
                <w:szCs w:val="21"/>
                <w:highlight w:val="none"/>
                <w:lang w:val="en-US" w:eastAsia="zh-CN"/>
              </w:rPr>
              <w:t>建设青贮池</w:t>
            </w:r>
            <w:r>
              <w:rPr>
                <w:rFonts w:hint="default" w:ascii="Times New Roman" w:hAnsi="Times New Roman"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lang w:val="en-US" w:eastAsia="zh-CN"/>
              </w:rPr>
              <w:t>座</w:t>
            </w:r>
            <w:r>
              <w:rPr>
                <w:rFonts w:hint="default" w:ascii="Times New Roman" w:hAnsi="Times New Roman" w:eastAsia="宋体" w:cs="Times New Roman"/>
                <w:color w:val="auto"/>
                <w:spacing w:val="0"/>
                <w:w w:val="100"/>
                <w:kern w:val="0"/>
                <w:position w:val="0"/>
                <w:szCs w:val="21"/>
                <w:highlight w:val="none"/>
              </w:rPr>
              <w:t>，建筑面积</w:t>
            </w:r>
            <w:r>
              <w:rPr>
                <w:rFonts w:hint="default" w:ascii="Times New Roman" w:hAnsi="Times New Roman" w:cs="Times New Roman"/>
                <w:color w:val="auto"/>
                <w:spacing w:val="0"/>
                <w:w w:val="100"/>
                <w:kern w:val="0"/>
                <w:position w:val="0"/>
                <w:szCs w:val="21"/>
                <w:highlight w:val="none"/>
                <w:lang w:val="en-US" w:eastAsia="zh-CN"/>
              </w:rPr>
              <w:t>840</w:t>
            </w:r>
            <w:r>
              <w:rPr>
                <w:rFonts w:hint="default" w:ascii="Times New Roman" w:hAnsi="Times New Roman" w:eastAsia="宋体" w:cs="Times New Roman"/>
                <w:color w:val="auto"/>
                <w:spacing w:val="0"/>
                <w:w w:val="100"/>
                <w:kern w:val="0"/>
                <w:position w:val="0"/>
                <w:szCs w:val="21"/>
                <w:highlight w:val="none"/>
                <w:lang w:val="en-US" w:eastAsia="zh-CN"/>
              </w:rPr>
              <w:t>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2</w:t>
            </w:r>
            <w:r>
              <w:rPr>
                <w:rFonts w:hint="default" w:ascii="Times New Roman" w:hAnsi="Times New Roman" w:eastAsia="宋体" w:cs="Times New Roman"/>
                <w:color w:val="auto"/>
                <w:spacing w:val="0"/>
                <w:w w:val="100"/>
                <w:kern w:val="0"/>
                <w:position w:val="0"/>
                <w:szCs w:val="21"/>
                <w:highlight w:val="none"/>
              </w:rPr>
              <w:t>，钢筋混凝土结构，主要用于青贮饲草料的</w:t>
            </w:r>
            <w:r>
              <w:rPr>
                <w:rFonts w:hint="default" w:ascii="Times New Roman" w:hAnsi="Times New Roman" w:eastAsia="宋体" w:cs="Times New Roman"/>
                <w:color w:val="auto"/>
                <w:spacing w:val="0"/>
                <w:w w:val="100"/>
                <w:kern w:val="0"/>
                <w:position w:val="0"/>
                <w:szCs w:val="21"/>
                <w:highlight w:val="none"/>
                <w:lang w:eastAsia="zh-CN"/>
              </w:rPr>
              <w:t>贮存</w:t>
            </w: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eastAsia="zh-CN"/>
              </w:rPr>
              <w:t>干草</w:t>
            </w:r>
            <w:r>
              <w:rPr>
                <w:rFonts w:hint="default" w:ascii="Times New Roman" w:hAnsi="Times New Roman" w:eastAsia="宋体" w:cs="Times New Roman"/>
                <w:color w:val="auto"/>
                <w:spacing w:val="0"/>
                <w:w w:val="100"/>
                <w:kern w:val="0"/>
                <w:position w:val="0"/>
                <w:szCs w:val="21"/>
                <w:highlight w:val="none"/>
                <w:lang w:eastAsia="zh-CN"/>
              </w:rPr>
              <w:t>棚</w:t>
            </w:r>
          </w:p>
        </w:tc>
        <w:tc>
          <w:tcPr>
            <w:tcW w:w="6983"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10" w:line="240" w:lineRule="auto"/>
              <w:ind w:firstLine="420" w:firstLineChars="200"/>
              <w:jc w:val="left"/>
              <w:textAlignment w:val="auto"/>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default" w:ascii="Times New Roman" w:hAnsi="Times New Roman" w:cs="Times New Roman"/>
                <w:color w:val="auto"/>
                <w:spacing w:val="0"/>
                <w:w w:val="100"/>
                <w:kern w:val="0"/>
                <w:position w:val="0"/>
                <w:sz w:val="21"/>
                <w:lang w:eastAsia="zh-CN"/>
              </w:rPr>
              <w:t>场区西侧</w:t>
            </w:r>
            <w:r>
              <w:rPr>
                <w:rFonts w:hint="default" w:ascii="Times New Roman" w:hAnsi="Times New Roman" w:eastAsia="宋体" w:cs="Times New Roman"/>
                <w:color w:val="auto"/>
                <w:spacing w:val="0"/>
                <w:w w:val="100"/>
                <w:kern w:val="0"/>
                <w:position w:val="0"/>
                <w:sz w:val="21"/>
              </w:rPr>
              <w:t>设</w:t>
            </w:r>
            <w:r>
              <w:rPr>
                <w:rFonts w:hint="default" w:ascii="Times New Roman" w:hAnsi="Times New Roman" w:eastAsia="宋体" w:cs="Times New Roman"/>
                <w:color w:val="auto"/>
                <w:spacing w:val="0"/>
                <w:w w:val="100"/>
                <w:kern w:val="0"/>
                <w:position w:val="0"/>
                <w:sz w:val="21"/>
                <w:lang w:eastAsia="zh-CN"/>
              </w:rPr>
              <w:t>草料棚</w:t>
            </w:r>
            <w:r>
              <w:rPr>
                <w:rFonts w:hint="default" w:ascii="Times New Roman" w:hAnsi="Times New Roman" w:cs="Times New Roman"/>
                <w:color w:val="auto"/>
                <w:spacing w:val="0"/>
                <w:w w:val="100"/>
                <w:kern w:val="0"/>
                <w:position w:val="0"/>
                <w:sz w:val="21"/>
                <w:lang w:val="en-US" w:eastAsia="zh-CN"/>
              </w:rPr>
              <w:t>1</w:t>
            </w:r>
            <w:r>
              <w:rPr>
                <w:rFonts w:hint="default" w:ascii="Times New Roman" w:hAnsi="Times New Roman" w:eastAsia="宋体" w:cs="Times New Roman"/>
                <w:color w:val="auto"/>
                <w:spacing w:val="0"/>
                <w:w w:val="100"/>
                <w:kern w:val="0"/>
                <w:position w:val="0"/>
                <w:sz w:val="21"/>
              </w:rPr>
              <w:t>座，</w:t>
            </w:r>
            <w:r>
              <w:rPr>
                <w:rFonts w:hint="default" w:ascii="Times New Roman" w:hAnsi="Times New Roman" w:eastAsia="宋体" w:cs="Times New Roman"/>
                <w:color w:val="auto"/>
                <w:spacing w:val="0"/>
                <w:w w:val="100"/>
                <w:kern w:val="0"/>
                <w:position w:val="0"/>
                <w:sz w:val="21"/>
                <w:lang w:eastAsia="zh-CN"/>
              </w:rPr>
              <w:t>高为</w:t>
            </w:r>
            <w:r>
              <w:rPr>
                <w:rFonts w:hint="default" w:ascii="Times New Roman" w:hAnsi="Times New Roman" w:eastAsia="宋体" w:cs="Times New Roman"/>
                <w:color w:val="auto"/>
                <w:spacing w:val="0"/>
                <w:w w:val="100"/>
                <w:kern w:val="0"/>
                <w:position w:val="0"/>
                <w:sz w:val="21"/>
                <w:lang w:val="en-US" w:eastAsia="zh-CN"/>
              </w:rPr>
              <w:t>6.5m，</w:t>
            </w:r>
            <w:r>
              <w:rPr>
                <w:rFonts w:hint="default" w:ascii="Times New Roman" w:hAnsi="Times New Roman" w:eastAsia="宋体" w:cs="Times New Roman"/>
                <w:color w:val="auto"/>
                <w:spacing w:val="0"/>
                <w:w w:val="100"/>
                <w:kern w:val="0"/>
                <w:position w:val="0"/>
                <w:sz w:val="21"/>
                <w:lang w:eastAsia="zh-CN"/>
              </w:rPr>
              <w:t>建筑面积为</w:t>
            </w:r>
            <w:r>
              <w:rPr>
                <w:rFonts w:hint="default" w:ascii="Times New Roman" w:hAnsi="Times New Roman" w:eastAsia="宋体" w:cs="Times New Roman"/>
                <w:color w:val="auto"/>
                <w:spacing w:val="0"/>
                <w:w w:val="100"/>
                <w:kern w:val="0"/>
                <w:position w:val="0"/>
                <w:sz w:val="21"/>
                <w:lang w:val="en-US" w:eastAsia="zh-CN"/>
              </w:rPr>
              <w:t>2400</w:t>
            </w:r>
            <w:r>
              <w:rPr>
                <w:rFonts w:hint="default" w:ascii="Times New Roman" w:hAnsi="Times New Roman" w:eastAsia="宋体" w:cs="Times New Roman"/>
                <w:color w:val="auto"/>
                <w:spacing w:val="0"/>
                <w:w w:val="100"/>
                <w:kern w:val="0"/>
                <w:position w:val="0"/>
                <w:sz w:val="21"/>
              </w:rPr>
              <w:t>m</w:t>
            </w:r>
            <w:r>
              <w:rPr>
                <w:rFonts w:hint="default" w:ascii="Times New Roman" w:hAnsi="Times New Roman" w:cs="Times New Roman"/>
                <w:color w:val="auto"/>
                <w:spacing w:val="0"/>
                <w:w w:val="100"/>
                <w:kern w:val="0"/>
                <w:position w:val="0"/>
                <w:sz w:val="21"/>
                <w:vertAlign w:val="superscript"/>
                <w:lang w:val="en-US" w:eastAsia="zh-CN"/>
              </w:rPr>
              <w:t>2</w:t>
            </w:r>
            <w:r>
              <w:rPr>
                <w:rFonts w:hint="default" w:ascii="Times New Roman" w:hAnsi="Times New Roman" w:eastAsia="宋体" w:cs="Times New Roman"/>
                <w:color w:val="auto"/>
                <w:spacing w:val="0"/>
                <w:w w:val="100"/>
                <w:kern w:val="0"/>
                <w:position w:val="0"/>
                <w:sz w:val="21"/>
              </w:rPr>
              <w:t>，钢屋架结构，用于干草料的存储</w:t>
            </w:r>
            <w:r>
              <w:rPr>
                <w:rFonts w:hint="default" w:ascii="Times New Roman" w:hAnsi="Times New Roman" w:eastAsia="宋体" w:cs="Times New Roman"/>
                <w:color w:val="auto"/>
                <w:spacing w:val="0"/>
                <w:w w:val="100"/>
                <w:kern w:val="0"/>
                <w:position w:val="0"/>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饲料</w:t>
            </w:r>
            <w:r>
              <w:rPr>
                <w:rFonts w:hint="default" w:ascii="Times New Roman" w:hAnsi="Times New Roman" w:cs="Times New Roman"/>
                <w:color w:val="auto"/>
                <w:spacing w:val="0"/>
                <w:w w:val="100"/>
                <w:kern w:val="0"/>
                <w:position w:val="0"/>
                <w:szCs w:val="21"/>
                <w:highlight w:val="none"/>
                <w:lang w:val="en-US" w:eastAsia="zh-CN"/>
              </w:rPr>
              <w:t>库</w:t>
            </w:r>
          </w:p>
        </w:tc>
        <w:tc>
          <w:tcPr>
            <w:tcW w:w="6983"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val="0"/>
              <w:snapToGrid w:val="0"/>
              <w:spacing w:before="10" w:line="240" w:lineRule="auto"/>
              <w:ind w:firstLine="420" w:firstLineChars="200"/>
              <w:jc w:val="left"/>
              <w:textAlignment w:val="auto"/>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default" w:ascii="Times New Roman" w:hAnsi="Times New Roman" w:eastAsia="宋体" w:cs="Times New Roman"/>
                <w:color w:val="auto"/>
                <w:spacing w:val="0"/>
                <w:w w:val="100"/>
                <w:kern w:val="0"/>
                <w:position w:val="0"/>
                <w:highlight w:val="none"/>
                <w:lang w:val="en-US" w:eastAsia="zh-CN"/>
              </w:rPr>
              <w:t>位于场区</w:t>
            </w:r>
            <w:r>
              <w:rPr>
                <w:rFonts w:hint="eastAsia" w:hAnsi="Times New Roman" w:cs="Times New Roman"/>
                <w:color w:val="auto"/>
                <w:spacing w:val="0"/>
                <w:w w:val="100"/>
                <w:kern w:val="0"/>
                <w:position w:val="0"/>
                <w:highlight w:val="none"/>
                <w:lang w:val="en-US" w:eastAsia="zh-CN"/>
              </w:rPr>
              <w:t>南侧</w:t>
            </w:r>
            <w:r>
              <w:rPr>
                <w:rFonts w:hint="default" w:ascii="Times New Roman" w:hAnsi="Times New Roman" w:eastAsia="宋体" w:cs="Times New Roman"/>
                <w:color w:val="auto"/>
                <w:spacing w:val="0"/>
                <w:w w:val="100"/>
                <w:kern w:val="0"/>
                <w:position w:val="0"/>
                <w:highlight w:val="none"/>
                <w:lang w:val="en-US" w:eastAsia="zh-CN"/>
              </w:rPr>
              <w:t>，钢屋架结构，建筑面积</w:t>
            </w:r>
            <w:r>
              <w:rPr>
                <w:rFonts w:hint="eastAsia" w:hAnsi="Times New Roman" w:cs="Times New Roman"/>
                <w:color w:val="auto"/>
                <w:spacing w:val="0"/>
                <w:w w:val="100"/>
                <w:kern w:val="0"/>
                <w:position w:val="0"/>
                <w:highlight w:val="none"/>
                <w:lang w:val="en-US" w:eastAsia="zh-CN"/>
              </w:rPr>
              <w:t>27</w:t>
            </w:r>
            <w:r>
              <w:rPr>
                <w:rFonts w:hint="default" w:ascii="Times New Roman" w:hAnsi="Times New Roman" w:eastAsia="宋体" w:cs="Times New Roman"/>
                <w:color w:val="auto"/>
                <w:spacing w:val="0"/>
                <w:w w:val="100"/>
                <w:kern w:val="0"/>
                <w:position w:val="0"/>
                <w:highlight w:val="none"/>
                <w:lang w:val="en-US" w:eastAsia="zh-CN"/>
              </w:rPr>
              <w:t>00m</w:t>
            </w:r>
            <w:r>
              <w:rPr>
                <w:rFonts w:hint="default" w:ascii="Times New Roman" w:hAnsi="Times New Roman" w:eastAsia="宋体" w:cs="Times New Roman"/>
                <w:color w:val="auto"/>
                <w:spacing w:val="0"/>
                <w:w w:val="100"/>
                <w:kern w:val="0"/>
                <w:position w:val="0"/>
                <w:highlight w:val="none"/>
                <w:vertAlign w:val="superscript"/>
                <w:lang w:val="en-US" w:eastAsia="zh-CN"/>
              </w:rPr>
              <w:t>2</w:t>
            </w:r>
            <w:r>
              <w:rPr>
                <w:rFonts w:hint="default" w:ascii="Times New Roman" w:hAnsi="Times New Roman" w:eastAsia="宋体" w:cs="Times New Roman"/>
                <w:color w:val="auto"/>
                <w:spacing w:val="0"/>
                <w:w w:val="100"/>
                <w:kern w:val="0"/>
                <w:position w:val="0"/>
                <w:highlight w:val="none"/>
                <w:lang w:val="en-US" w:eastAsia="zh-CN"/>
              </w:rPr>
              <w:t>，用于</w:t>
            </w:r>
            <w:r>
              <w:rPr>
                <w:rFonts w:hint="default" w:ascii="Times New Roman" w:hAnsi="Times New Roman" w:eastAsia="宋体" w:cs="Times New Roman"/>
                <w:color w:val="auto"/>
                <w:spacing w:val="0"/>
                <w:w w:val="100"/>
                <w:kern w:val="0"/>
                <w:position w:val="0"/>
                <w:sz w:val="21"/>
              </w:rPr>
              <w:t>奶牛日常饲料的</w:t>
            </w:r>
            <w:r>
              <w:rPr>
                <w:rFonts w:hint="default" w:ascii="Times New Roman" w:hAnsi="Times New Roman" w:eastAsia="宋体" w:cs="Times New Roman"/>
                <w:color w:val="auto"/>
                <w:spacing w:val="0"/>
                <w:w w:val="100"/>
                <w:kern w:val="0"/>
                <w:position w:val="0"/>
                <w:sz w:val="21"/>
                <w:lang w:eastAsia="zh-CN"/>
              </w:rPr>
              <w:t>储存及</w:t>
            </w:r>
            <w:r>
              <w:rPr>
                <w:rFonts w:hint="default" w:ascii="Times New Roman" w:hAnsi="Times New Roman" w:eastAsia="宋体" w:cs="Times New Roman"/>
                <w:color w:val="auto"/>
                <w:spacing w:val="0"/>
                <w:w w:val="100"/>
                <w:kern w:val="0"/>
                <w:position w:val="0"/>
                <w:sz w:val="21"/>
              </w:rPr>
              <w:t>配备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储奶间</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项目建设储奶间1座，位于</w:t>
            </w:r>
            <w:r>
              <w:rPr>
                <w:rFonts w:hint="eastAsia" w:ascii="Times New Roman" w:hAnsi="Times New Roman" w:cs="Times New Roman"/>
                <w:color w:val="auto"/>
                <w:spacing w:val="0"/>
                <w:w w:val="100"/>
                <w:kern w:val="0"/>
                <w:position w:val="0"/>
                <w:szCs w:val="21"/>
                <w:highlight w:val="none"/>
                <w:lang w:val="en-US" w:eastAsia="zh-CN"/>
              </w:rPr>
              <w:t>中部挤奶大厅</w:t>
            </w:r>
            <w:r>
              <w:rPr>
                <w:rFonts w:hint="default" w:ascii="Times New Roman" w:hAnsi="Times New Roman" w:eastAsia="宋体" w:cs="Times New Roman"/>
                <w:color w:val="auto"/>
                <w:spacing w:val="0"/>
                <w:w w:val="100"/>
                <w:kern w:val="0"/>
                <w:position w:val="0"/>
                <w:szCs w:val="21"/>
                <w:highlight w:val="none"/>
                <w:lang w:val="en-US" w:eastAsia="zh-CN"/>
              </w:rPr>
              <w:t>北侧，高6.5m，建筑面积140m</w:t>
            </w:r>
            <w:r>
              <w:rPr>
                <w:rFonts w:hint="default" w:ascii="Times New Roman" w:hAnsi="Times New Roman" w:eastAsia="宋体" w:cs="Times New Roman"/>
                <w:color w:val="auto"/>
                <w:spacing w:val="0"/>
                <w:w w:val="100"/>
                <w:kern w:val="0"/>
                <w:position w:val="0"/>
                <w:szCs w:val="21"/>
                <w:highlight w:val="none"/>
                <w:vertAlign w:val="superscript"/>
                <w:lang w:val="en-US" w:eastAsia="zh-CN"/>
              </w:rPr>
              <w:t>2</w:t>
            </w:r>
            <w:r>
              <w:rPr>
                <w:rFonts w:hint="default" w:ascii="Times New Roman" w:hAnsi="Times New Roman" w:eastAsia="宋体" w:cs="Times New Roman"/>
                <w:color w:val="auto"/>
                <w:spacing w:val="0"/>
                <w:w w:val="100"/>
                <w:kern w:val="0"/>
                <w:position w:val="0"/>
                <w:szCs w:val="21"/>
                <w:highlight w:val="none"/>
                <w:lang w:val="en-US" w:eastAsia="zh-CN"/>
              </w:rPr>
              <w:t>，用于鲜奶的临时储存。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w w:val="100"/>
                <w:kern w:val="0"/>
                <w:position w:val="0"/>
                <w:szCs w:val="21"/>
                <w:highlight w:val="none"/>
                <w:lang w:eastAsia="zh-CN"/>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堆粪棚</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val="en-US" w:eastAsia="zh-CN"/>
              </w:rPr>
              <w:t>项目厂区</w:t>
            </w:r>
            <w:r>
              <w:rPr>
                <w:rFonts w:hint="default" w:ascii="Times New Roman" w:hAnsi="Times New Roman" w:cs="Times New Roman"/>
                <w:color w:val="auto"/>
                <w:spacing w:val="0"/>
                <w:w w:val="100"/>
                <w:kern w:val="0"/>
                <w:position w:val="0"/>
                <w:szCs w:val="21"/>
                <w:highlight w:val="none"/>
                <w:lang w:val="en-US" w:eastAsia="zh-CN"/>
              </w:rPr>
              <w:t>东南角</w:t>
            </w:r>
            <w:r>
              <w:rPr>
                <w:rFonts w:hint="default" w:ascii="Times New Roman" w:hAnsi="Times New Roman" w:eastAsia="宋体" w:cs="Times New Roman"/>
                <w:color w:val="auto"/>
                <w:spacing w:val="0"/>
                <w:w w:val="100"/>
                <w:kern w:val="0"/>
                <w:position w:val="0"/>
                <w:szCs w:val="21"/>
                <w:highlight w:val="none"/>
                <w:lang w:val="en-US" w:eastAsia="zh-CN"/>
              </w:rPr>
              <w:t>建设堆粪棚1座，建筑面积</w:t>
            </w:r>
            <w:r>
              <w:rPr>
                <w:rFonts w:hint="default" w:ascii="Times New Roman" w:hAnsi="Times New Roman" w:cs="Times New Roman"/>
                <w:color w:val="auto"/>
                <w:spacing w:val="0"/>
                <w:w w:val="100"/>
                <w:kern w:val="0"/>
                <w:position w:val="0"/>
                <w:szCs w:val="21"/>
                <w:highlight w:val="none"/>
                <w:lang w:val="en-US" w:eastAsia="zh-CN"/>
              </w:rPr>
              <w:t>320</w:t>
            </w:r>
            <w:r>
              <w:rPr>
                <w:rFonts w:hint="default" w:ascii="Times New Roman" w:hAnsi="Times New Roman" w:eastAsia="宋体" w:cs="Times New Roman"/>
                <w:color w:val="auto"/>
                <w:spacing w:val="0"/>
                <w:w w:val="100"/>
                <w:kern w:val="0"/>
                <w:position w:val="0"/>
                <w:szCs w:val="21"/>
                <w:highlight w:val="none"/>
                <w:lang w:val="en-US" w:eastAsia="zh-CN"/>
              </w:rPr>
              <w:t>m</w:t>
            </w:r>
            <w:r>
              <w:rPr>
                <w:rFonts w:hint="default" w:ascii="Times New Roman" w:hAnsi="Times New Roman" w:eastAsia="宋体" w:cs="Times New Roman"/>
                <w:color w:val="auto"/>
                <w:spacing w:val="0"/>
                <w:w w:val="100"/>
                <w:kern w:val="0"/>
                <w:position w:val="0"/>
                <w:szCs w:val="21"/>
                <w:highlight w:val="none"/>
                <w:vertAlign w:val="superscript"/>
                <w:lang w:val="en-US" w:eastAsia="zh-CN"/>
              </w:rPr>
              <w:t>2</w:t>
            </w:r>
            <w:r>
              <w:rPr>
                <w:rFonts w:hint="default" w:ascii="Times New Roman" w:hAnsi="Times New Roman" w:eastAsia="宋体" w:cs="Times New Roman"/>
                <w:color w:val="auto"/>
                <w:spacing w:val="0"/>
                <w:w w:val="100"/>
                <w:kern w:val="0"/>
                <w:position w:val="0"/>
                <w:szCs w:val="21"/>
                <w:highlight w:val="none"/>
                <w:lang w:val="en-US" w:eastAsia="zh-CN"/>
              </w:rPr>
              <w:t>。主要用于</w:t>
            </w:r>
            <w:r>
              <w:rPr>
                <w:rFonts w:hint="default" w:ascii="Times New Roman" w:hAnsi="Times New Roman" w:cs="Times New Roman"/>
                <w:color w:val="auto"/>
                <w:spacing w:val="0"/>
                <w:w w:val="100"/>
                <w:kern w:val="0"/>
                <w:position w:val="0"/>
                <w:szCs w:val="21"/>
                <w:highlight w:val="none"/>
                <w:lang w:val="en-US" w:eastAsia="zh-CN"/>
              </w:rPr>
              <w:t>牛粪的储存、</w:t>
            </w:r>
            <w:r>
              <w:rPr>
                <w:rFonts w:hint="default" w:ascii="Times New Roman" w:hAnsi="Times New Roman" w:eastAsia="宋体" w:cs="Times New Roman"/>
                <w:color w:val="auto"/>
                <w:spacing w:val="0"/>
                <w:w w:val="100"/>
                <w:kern w:val="0"/>
                <w:position w:val="0"/>
                <w:szCs w:val="21"/>
                <w:highlight w:val="none"/>
                <w:lang w:val="en-US" w:eastAsia="zh-CN"/>
              </w:rPr>
              <w:t>晾晒。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b/>
                <w:bCs/>
                <w:color w:val="auto"/>
                <w:spacing w:val="0"/>
                <w:w w:val="100"/>
                <w:kern w:val="0"/>
                <w:position w:val="0"/>
                <w:szCs w:val="21"/>
                <w:highlight w:val="none"/>
                <w:lang w:val="en-US" w:eastAsia="zh-CN"/>
              </w:rPr>
              <w:t>公用工程</w:t>
            </w: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供水</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主要为</w:t>
            </w:r>
            <w:r>
              <w:rPr>
                <w:rFonts w:hint="default" w:ascii="Times New Roman" w:hAnsi="Times New Roman" w:eastAsia="宋体" w:cs="Times New Roman"/>
                <w:color w:val="auto"/>
                <w:spacing w:val="0"/>
                <w:w w:val="100"/>
                <w:kern w:val="0"/>
                <w:position w:val="0"/>
                <w:sz w:val="21"/>
                <w:szCs w:val="21"/>
                <w:highlight w:val="none"/>
                <w:lang w:val="zh-CN"/>
              </w:rPr>
              <w:t>牛饮用水、清洗用水、牛降温用水、生活用水及绿化用水</w:t>
            </w:r>
            <w:r>
              <w:rPr>
                <w:rFonts w:hint="default" w:ascii="Times New Roman" w:hAnsi="Times New Roman" w:eastAsia="宋体" w:cs="Times New Roman"/>
                <w:color w:val="auto"/>
                <w:spacing w:val="0"/>
                <w:w w:val="100"/>
                <w:kern w:val="0"/>
                <w:position w:val="0"/>
                <w:sz w:val="21"/>
                <w:szCs w:val="21"/>
                <w:highlight w:val="none"/>
                <w:lang w:val="en-US" w:eastAsia="zh-CN"/>
              </w:rPr>
              <w:t>等</w:t>
            </w:r>
            <w:r>
              <w:rPr>
                <w:rFonts w:hint="default" w:ascii="Times New Roman" w:hAnsi="Times New Roman" w:eastAsia="宋体" w:cs="Times New Roman"/>
                <w:color w:val="auto"/>
                <w:spacing w:val="0"/>
                <w:w w:val="100"/>
                <w:kern w:val="0"/>
                <w:position w:val="0"/>
                <w:sz w:val="21"/>
                <w:szCs w:val="21"/>
                <w:highlight w:val="none"/>
              </w:rPr>
              <w:t>，用水</w:t>
            </w:r>
            <w:r>
              <w:rPr>
                <w:rFonts w:hint="default" w:ascii="Times New Roman" w:hAnsi="Times New Roman" w:eastAsia="宋体" w:cs="Times New Roman"/>
                <w:color w:val="auto"/>
                <w:spacing w:val="0"/>
                <w:w w:val="100"/>
                <w:kern w:val="0"/>
                <w:position w:val="0"/>
                <w:sz w:val="21"/>
                <w:szCs w:val="21"/>
                <w:highlight w:val="none"/>
                <w:lang w:eastAsia="zh-CN"/>
              </w:rPr>
              <w:t>来源为打井</w:t>
            </w:r>
            <w:r>
              <w:rPr>
                <w:rFonts w:hint="default" w:ascii="Times New Roman" w:hAnsi="Times New Roman" w:eastAsia="宋体" w:cs="Times New Roman"/>
                <w:color w:val="auto"/>
                <w:spacing w:val="0"/>
                <w:w w:val="100"/>
                <w:kern w:val="0"/>
                <w:position w:val="0"/>
                <w:sz w:val="21"/>
                <w:szCs w:val="21"/>
                <w:highlight w:val="none"/>
              </w:rPr>
              <w:t>，总新鲜水用量为</w:t>
            </w:r>
            <w:r>
              <w:rPr>
                <w:rFonts w:hint="default" w:ascii="Times New Roman" w:hAnsi="Times New Roman" w:cs="Times New Roman"/>
                <w:color w:val="auto"/>
                <w:spacing w:val="0"/>
                <w:w w:val="100"/>
                <w:kern w:val="0"/>
                <w:position w:val="0"/>
                <w:sz w:val="21"/>
                <w:szCs w:val="21"/>
                <w:highlight w:val="none"/>
                <w:lang w:val="en-US" w:eastAsia="zh-CN"/>
              </w:rPr>
              <w:t>177321</w:t>
            </w:r>
            <w:r>
              <w:rPr>
                <w:rFonts w:hint="default" w:ascii="Times New Roman" w:hAnsi="Times New Roman" w:eastAsia="宋体" w:cs="Times New Roman"/>
                <w:color w:val="auto"/>
                <w:spacing w:val="0"/>
                <w:w w:val="100"/>
                <w:kern w:val="0"/>
                <w:position w:val="0"/>
                <w:sz w:val="21"/>
                <w:szCs w:val="21"/>
                <w:highlight w:val="none"/>
              </w:rPr>
              <w:t>m</w:t>
            </w:r>
            <w:r>
              <w:rPr>
                <w:rFonts w:hint="default" w:ascii="Times New Roman" w:hAnsi="Times New Roman" w:eastAsia="宋体" w:cs="Times New Roman"/>
                <w:color w:val="auto"/>
                <w:spacing w:val="0"/>
                <w:w w:val="100"/>
                <w:kern w:val="0"/>
                <w:position w:val="0"/>
                <w:sz w:val="21"/>
                <w:szCs w:val="21"/>
                <w:highlight w:val="none"/>
                <w:vertAlign w:val="superscript"/>
              </w:rPr>
              <w:t>3</w:t>
            </w:r>
            <w:r>
              <w:rPr>
                <w:rFonts w:hint="default" w:ascii="Times New Roman" w:hAnsi="Times New Roman" w:eastAsia="宋体" w:cs="Times New Roman"/>
                <w:color w:val="auto"/>
                <w:spacing w:val="0"/>
                <w:w w:val="100"/>
                <w:kern w:val="0"/>
                <w:position w:val="0"/>
                <w:sz w:val="21"/>
                <w:szCs w:val="21"/>
                <w:highlight w:val="none"/>
              </w:rPr>
              <w:t>/a</w:t>
            </w:r>
            <w:r>
              <w:rPr>
                <w:rFonts w:hint="default" w:ascii="Times New Roman" w:hAnsi="Times New Roman" w:eastAsia="宋体" w:cs="Times New Roman"/>
                <w:color w:val="auto"/>
                <w:spacing w:val="0"/>
                <w:w w:val="100"/>
                <w:kern w:val="0"/>
                <w:position w:val="0"/>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pacing w:val="0"/>
                <w:w w:val="100"/>
                <w:kern w:val="0"/>
                <w:position w:val="0"/>
                <w:szCs w:val="21"/>
                <w:highlight w:val="none"/>
                <w:lang w:val="en-US" w:eastAsia="zh-CN"/>
              </w:rPr>
            </w:pP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排水</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场区采取雨污分流</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项目排水主要为挤奶厅地面</w:t>
            </w:r>
            <w:r>
              <w:rPr>
                <w:rFonts w:hint="default" w:ascii="Times New Roman" w:hAnsi="Times New Roman" w:eastAsia="宋体" w:cs="Times New Roman"/>
                <w:color w:val="auto"/>
                <w:spacing w:val="0"/>
                <w:w w:val="100"/>
                <w:kern w:val="0"/>
                <w:position w:val="0"/>
                <w:szCs w:val="21"/>
                <w:highlight w:val="none"/>
                <w:lang w:eastAsia="zh-CN"/>
              </w:rPr>
              <w:t>冲洗废水、</w:t>
            </w:r>
            <w:r>
              <w:rPr>
                <w:rFonts w:hint="default" w:ascii="Times New Roman" w:hAnsi="Times New Roman" w:eastAsia="宋体" w:cs="Times New Roman"/>
                <w:color w:val="auto"/>
                <w:spacing w:val="0"/>
                <w:w w:val="100"/>
                <w:kern w:val="0"/>
                <w:position w:val="0"/>
                <w:szCs w:val="21"/>
                <w:highlight w:val="none"/>
              </w:rPr>
              <w:t>奶缸清洗废水、</w:t>
            </w:r>
            <w:r>
              <w:rPr>
                <w:rFonts w:hint="default" w:ascii="Times New Roman" w:hAnsi="Times New Roman" w:eastAsia="宋体" w:cs="Times New Roman"/>
                <w:color w:val="auto"/>
                <w:spacing w:val="0"/>
                <w:w w:val="100"/>
                <w:kern w:val="0"/>
                <w:position w:val="0"/>
                <w:szCs w:val="21"/>
                <w:highlight w:val="none"/>
                <w:lang w:eastAsia="zh-CN"/>
              </w:rPr>
              <w:t>牛舍冲洗废水及</w:t>
            </w:r>
            <w:r>
              <w:rPr>
                <w:rFonts w:hint="default" w:ascii="Times New Roman" w:hAnsi="Times New Roman" w:eastAsia="宋体" w:cs="Times New Roman"/>
                <w:color w:val="auto"/>
                <w:spacing w:val="0"/>
                <w:w w:val="100"/>
                <w:kern w:val="0"/>
                <w:position w:val="0"/>
                <w:szCs w:val="21"/>
                <w:highlight w:val="none"/>
              </w:rPr>
              <w:t>职工生活污水，废水产生量为</w:t>
            </w:r>
            <w:r>
              <w:rPr>
                <w:rFonts w:hint="eastAsia" w:ascii="Times New Roman" w:hAnsi="Times New Roman" w:cs="Times New Roman"/>
                <w:color w:val="auto"/>
                <w:spacing w:val="0"/>
                <w:w w:val="100"/>
                <w:kern w:val="0"/>
                <w:position w:val="0"/>
                <w:szCs w:val="21"/>
                <w:highlight w:val="none"/>
                <w:lang w:val="en-US" w:eastAsia="zh-CN"/>
              </w:rPr>
              <w:t>29965</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/a。废水经自建污水处理站处理后达到《农田灌溉水质标准》（GB5084-2005）中</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旱作</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标准</w:t>
            </w:r>
            <w:r>
              <w:rPr>
                <w:rFonts w:hint="default" w:ascii="Times New Roman" w:hAnsi="Times New Roman" w:eastAsia="宋体" w:cs="Times New Roman"/>
                <w:color w:val="auto"/>
                <w:spacing w:val="0"/>
                <w:w w:val="100"/>
                <w:kern w:val="0"/>
                <w:position w:val="0"/>
                <w:szCs w:val="21"/>
                <w:highlight w:val="none"/>
                <w:lang w:val="zh-CN"/>
              </w:rPr>
              <w:t>，同时达到</w:t>
            </w:r>
            <w:r>
              <w:rPr>
                <w:rFonts w:hint="default" w:ascii="Times New Roman" w:hAnsi="Times New Roman" w:eastAsia="宋体" w:cs="Times New Roman"/>
                <w:color w:val="auto"/>
                <w:spacing w:val="0"/>
                <w:w w:val="100"/>
                <w:kern w:val="0"/>
                <w:position w:val="0"/>
                <w:sz w:val="21"/>
                <w:szCs w:val="21"/>
                <w:highlight w:val="none"/>
              </w:rPr>
              <w:t>《畜禽养殖业污染物排放标准》（GB18596-2001）</w:t>
            </w:r>
            <w:r>
              <w:rPr>
                <w:rFonts w:hint="default" w:ascii="Times New Roman" w:hAnsi="Times New Roman" w:eastAsia="宋体" w:cs="Times New Roman"/>
                <w:color w:val="auto"/>
                <w:spacing w:val="0"/>
                <w:w w:val="100"/>
                <w:kern w:val="0"/>
                <w:position w:val="0"/>
                <w:szCs w:val="21"/>
                <w:highlight w:val="none"/>
              </w:rPr>
              <w:t>后，</w:t>
            </w:r>
            <w:r>
              <w:rPr>
                <w:rFonts w:hint="default" w:ascii="Times New Roman" w:hAnsi="Times New Roman" w:eastAsia="宋体" w:cs="Times New Roman"/>
                <w:color w:val="auto"/>
                <w:spacing w:val="0"/>
                <w:w w:val="100"/>
                <w:kern w:val="0"/>
                <w:position w:val="0"/>
                <w:szCs w:val="21"/>
                <w:highlight w:val="none"/>
                <w:lang w:val="zh-CN"/>
              </w:rPr>
              <w:t>用于</w:t>
            </w:r>
            <w:r>
              <w:rPr>
                <w:rFonts w:hint="eastAsia" w:ascii="Times New Roman" w:hAnsi="Times New Roman" w:cs="Times New Roman"/>
                <w:color w:val="auto"/>
                <w:spacing w:val="0"/>
                <w:w w:val="100"/>
                <w:kern w:val="0"/>
                <w:position w:val="0"/>
                <w:szCs w:val="21"/>
                <w:highlight w:val="none"/>
                <w:lang w:val="zh-CN"/>
              </w:rPr>
              <w:t>周边农田灌溉</w:t>
            </w:r>
            <w:r>
              <w:rPr>
                <w:rFonts w:hint="default" w:ascii="Times New Roman" w:hAnsi="Times New Roman" w:eastAsia="宋体" w:cs="Times New Roman"/>
                <w:color w:val="auto"/>
                <w:spacing w:val="0"/>
                <w:w w:val="100"/>
                <w:kern w:val="0"/>
                <w:position w:val="0"/>
                <w:szCs w:val="21"/>
                <w:highlight w:val="none"/>
              </w:rPr>
              <w:t>；冬季储存于</w:t>
            </w:r>
            <w:r>
              <w:rPr>
                <w:rFonts w:hint="default" w:ascii="Times New Roman" w:hAnsi="Times New Roman" w:eastAsia="宋体" w:cs="Times New Roman"/>
                <w:color w:val="auto"/>
                <w:spacing w:val="0"/>
                <w:w w:val="100"/>
                <w:kern w:val="0"/>
                <w:position w:val="0"/>
                <w:szCs w:val="21"/>
                <w:highlight w:val="none"/>
                <w:lang w:eastAsia="zh-CN"/>
              </w:rPr>
              <w:t>氧化塘</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总容积</w:t>
            </w:r>
            <w:r>
              <w:rPr>
                <w:rFonts w:hint="default" w:ascii="Times New Roman" w:hAnsi="Times New Roman" w:cs="Times New Roman"/>
                <w:color w:val="auto"/>
                <w:spacing w:val="0"/>
                <w:w w:val="100"/>
                <w:kern w:val="0"/>
                <w:position w:val="0"/>
                <w:szCs w:val="21"/>
                <w:highlight w:val="none"/>
                <w:lang w:val="en-US" w:eastAsia="zh-CN"/>
              </w:rPr>
              <w:t>16000m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），待春季用于</w:t>
            </w:r>
            <w:r>
              <w:rPr>
                <w:rFonts w:hint="eastAsia" w:ascii="Times New Roman" w:hAnsi="Times New Roman" w:cs="Times New Roman"/>
                <w:color w:val="auto"/>
                <w:spacing w:val="0"/>
                <w:w w:val="100"/>
                <w:kern w:val="0"/>
                <w:position w:val="0"/>
                <w:szCs w:val="21"/>
                <w:highlight w:val="none"/>
                <w:lang w:val="zh-CN"/>
              </w:rPr>
              <w:t>周边农田灌溉</w:t>
            </w: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供电</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由</w:t>
            </w:r>
            <w:r>
              <w:rPr>
                <w:rFonts w:hint="default" w:ascii="Times New Roman" w:hAnsi="Times New Roman" w:eastAsia="宋体" w:cs="Times New Roman"/>
                <w:color w:val="auto"/>
                <w:spacing w:val="0"/>
                <w:w w:val="100"/>
                <w:kern w:val="0"/>
                <w:position w:val="0"/>
                <w:szCs w:val="21"/>
                <w:highlight w:val="none"/>
                <w:lang w:eastAsia="zh-CN"/>
              </w:rPr>
              <w:t>乡镇</w:t>
            </w:r>
            <w:r>
              <w:rPr>
                <w:rFonts w:hint="default" w:ascii="Times New Roman" w:hAnsi="Times New Roman" w:eastAsia="宋体" w:cs="Times New Roman"/>
                <w:color w:val="auto"/>
                <w:spacing w:val="0"/>
                <w:w w:val="100"/>
                <w:kern w:val="0"/>
                <w:position w:val="0"/>
                <w:szCs w:val="21"/>
                <w:highlight w:val="none"/>
              </w:rPr>
              <w:t>供电电网接入，经变配电室配送至各用电部位。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供暖</w:t>
            </w:r>
          </w:p>
        </w:tc>
        <w:tc>
          <w:tcPr>
            <w:tcW w:w="6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eastAsia="zh-CN"/>
              </w:rPr>
              <w:t>本项目办公区冬季采用电供暖，牛舍不需供暖</w:t>
            </w: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制冷</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牛奶进入直冷式奶罐贮存，奶罐采用丙二醇制冷剂（边用边买），鲜奶保持在3℃以下。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环保工程</w:t>
            </w: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施工期</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治理</w:t>
            </w:r>
          </w:p>
        </w:tc>
        <w:tc>
          <w:tcPr>
            <w:tcW w:w="69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20" w:firstLineChars="200"/>
              <w:textAlignment w:val="auto"/>
              <w:outlineLvl w:val="9"/>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施工扬尘：施工现场设置围挡，现场定时洒水降尘，道路硬质覆盖，粉性物料采取封闭、遮盖措施，运输车辆加盖苫布，防止扬尘对周围环境的污染</w:t>
            </w:r>
            <w:r>
              <w:rPr>
                <w:rFonts w:hint="default" w:ascii="Times New Roman" w:hAnsi="Times New Roman" w:eastAsia="宋体" w:cs="Times New Roman"/>
                <w:color w:val="auto"/>
                <w:spacing w:val="0"/>
                <w:w w:val="100"/>
                <w:kern w:val="0"/>
                <w:position w:val="0"/>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施工期废水：主要为生活废水，设置防渗旱厕，生活污水主要为洗漱废水，收集用于泼洒抑尘，施工废水经10m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沉淀池沉淀后回用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废水处理设施</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Cs w:val="21"/>
                <w:highlight w:val="none"/>
              </w:rPr>
              <w:t>污水处理站1座，</w:t>
            </w:r>
            <w:r>
              <w:rPr>
                <w:rFonts w:hint="default" w:ascii="Times New Roman" w:hAnsi="Times New Roman" w:eastAsia="宋体" w:cs="Times New Roman"/>
                <w:color w:val="auto"/>
                <w:spacing w:val="0"/>
                <w:w w:val="100"/>
                <w:kern w:val="0"/>
                <w:position w:val="0"/>
                <w:szCs w:val="21"/>
                <w:highlight w:val="none"/>
                <w:lang w:val="zh-CN"/>
              </w:rPr>
              <w:t>处理规模为</w:t>
            </w:r>
            <w:r>
              <w:rPr>
                <w:rFonts w:hint="default" w:ascii="Times New Roman" w:hAnsi="Times New Roman" w:cs="Times New Roman"/>
                <w:color w:val="auto"/>
                <w:spacing w:val="0"/>
                <w:w w:val="100"/>
                <w:kern w:val="0"/>
                <w:position w:val="0"/>
                <w:szCs w:val="21"/>
                <w:highlight w:val="none"/>
                <w:lang w:val="en-US" w:eastAsia="zh-CN"/>
              </w:rPr>
              <w:t>10</w:t>
            </w:r>
            <w:r>
              <w:rPr>
                <w:rFonts w:hint="default" w:ascii="Times New Roman" w:hAnsi="Times New Roman" w:eastAsia="宋体" w:cs="Times New Roman"/>
                <w:color w:val="auto"/>
                <w:spacing w:val="0"/>
                <w:w w:val="100"/>
                <w:kern w:val="0"/>
                <w:position w:val="0"/>
                <w:szCs w:val="21"/>
                <w:highlight w:val="none"/>
              </w:rPr>
              <w:t>0m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/d</w:t>
            </w:r>
            <w:r>
              <w:rPr>
                <w:rFonts w:hint="default" w:ascii="Times New Roman" w:hAnsi="Times New Roman" w:eastAsia="宋体" w:cs="Times New Roman"/>
                <w:color w:val="auto"/>
                <w:spacing w:val="0"/>
                <w:w w:val="100"/>
                <w:kern w:val="0"/>
                <w:position w:val="0"/>
                <w:szCs w:val="21"/>
                <w:highlight w:val="none"/>
                <w:lang w:val="zh-CN"/>
              </w:rPr>
              <w:t>，处理工艺为“</w:t>
            </w:r>
            <w:r>
              <w:rPr>
                <w:rFonts w:hint="default" w:ascii="Times New Roman" w:hAnsi="Times New Roman" w:eastAsia="宋体" w:cs="Times New Roman"/>
                <w:color w:val="auto"/>
                <w:spacing w:val="0"/>
                <w:w w:val="100"/>
                <w:kern w:val="0"/>
                <w:position w:val="0"/>
                <w:sz w:val="21"/>
                <w:szCs w:val="21"/>
                <w:highlight w:val="none"/>
                <w:lang w:eastAsia="zh-CN"/>
              </w:rPr>
              <w:t>初沉池</w:t>
            </w:r>
            <w:r>
              <w:rPr>
                <w:rFonts w:hint="default" w:ascii="Times New Roman" w:hAnsi="Times New Roman" w:eastAsia="宋体" w:cs="Times New Roman"/>
                <w:color w:val="auto"/>
                <w:spacing w:val="0"/>
                <w:w w:val="100"/>
                <w:kern w:val="0"/>
                <w:position w:val="0"/>
                <w:sz w:val="21"/>
                <w:szCs w:val="21"/>
                <w:highlight w:val="none"/>
              </w:rPr>
              <w:t>+调节池+</w:t>
            </w:r>
            <w:r>
              <w:rPr>
                <w:rFonts w:hint="default" w:ascii="Times New Roman" w:hAnsi="Times New Roman" w:eastAsia="宋体" w:cs="Times New Roman"/>
                <w:color w:val="auto"/>
                <w:spacing w:val="0"/>
                <w:w w:val="100"/>
                <w:kern w:val="0"/>
                <w:position w:val="0"/>
                <w:sz w:val="21"/>
                <w:szCs w:val="21"/>
                <w:highlight w:val="none"/>
                <w:lang w:eastAsia="zh-CN"/>
              </w:rPr>
              <w:t>压滤机</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中间水池</w:t>
            </w:r>
            <w:r>
              <w:rPr>
                <w:rFonts w:hint="default" w:ascii="Times New Roman" w:hAnsi="Times New Roman" w:eastAsia="宋体" w:cs="Times New Roman"/>
                <w:color w:val="auto"/>
                <w:spacing w:val="0"/>
                <w:w w:val="100"/>
                <w:kern w:val="0"/>
                <w:position w:val="0"/>
                <w:sz w:val="21"/>
                <w:szCs w:val="21"/>
                <w:highlight w:val="none"/>
              </w:rPr>
              <w:t>+A/O</w:t>
            </w:r>
            <w:r>
              <w:rPr>
                <w:rFonts w:hint="default" w:ascii="Times New Roman" w:hAnsi="Times New Roman" w:eastAsia="宋体" w:cs="Times New Roman"/>
                <w:color w:val="auto"/>
                <w:spacing w:val="0"/>
                <w:w w:val="100"/>
                <w:kern w:val="0"/>
                <w:position w:val="0"/>
                <w:sz w:val="21"/>
                <w:szCs w:val="21"/>
                <w:highlight w:val="none"/>
                <w:lang w:val="en-US" w:eastAsia="zh-CN"/>
              </w:rPr>
              <w:t>/O</w:t>
            </w:r>
            <w:r>
              <w:rPr>
                <w:rFonts w:hint="default" w:ascii="Times New Roman" w:hAnsi="Times New Roman" w:eastAsia="宋体" w:cs="Times New Roman"/>
                <w:color w:val="auto"/>
                <w:spacing w:val="0"/>
                <w:w w:val="100"/>
                <w:kern w:val="0"/>
                <w:position w:val="0"/>
                <w:sz w:val="21"/>
                <w:szCs w:val="21"/>
                <w:highlight w:val="none"/>
              </w:rPr>
              <w:t>反应池+二沉池</w:t>
            </w:r>
            <w:r>
              <w:rPr>
                <w:rFonts w:hint="default" w:ascii="Times New Roman" w:hAnsi="Times New Roman" w:eastAsia="宋体" w:cs="Times New Roman"/>
                <w:color w:val="auto"/>
                <w:spacing w:val="0"/>
                <w:w w:val="100"/>
                <w:kern w:val="0"/>
                <w:position w:val="0"/>
                <w:sz w:val="21"/>
                <w:szCs w:val="21"/>
                <w:highlight w:val="none"/>
                <w:lang w:val="en-US" w:eastAsia="zh-CN"/>
              </w:rPr>
              <w:t>+消毒池</w:t>
            </w:r>
            <w:r>
              <w:rPr>
                <w:rFonts w:hint="default" w:ascii="Times New Roman" w:hAnsi="Times New Roman" w:eastAsia="宋体" w:cs="Times New Roman"/>
                <w:color w:val="auto"/>
                <w:spacing w:val="0"/>
                <w:w w:val="100"/>
                <w:kern w:val="0"/>
                <w:position w:val="0"/>
                <w:szCs w:val="21"/>
                <w:highlight w:val="none"/>
                <w:lang w:val="zh-CN"/>
              </w:rPr>
              <w:t>”，废水经</w:t>
            </w:r>
            <w:r>
              <w:rPr>
                <w:rFonts w:hint="default" w:ascii="Times New Roman" w:hAnsi="Times New Roman" w:eastAsia="宋体" w:cs="Times New Roman"/>
                <w:color w:val="auto"/>
                <w:spacing w:val="0"/>
                <w:w w:val="100"/>
                <w:kern w:val="0"/>
                <w:position w:val="0"/>
                <w:szCs w:val="21"/>
                <w:highlight w:val="none"/>
              </w:rPr>
              <w:t>污水</w:t>
            </w:r>
            <w:r>
              <w:rPr>
                <w:rFonts w:hint="default" w:ascii="Times New Roman" w:hAnsi="Times New Roman" w:eastAsia="宋体" w:cs="Times New Roman"/>
                <w:color w:val="auto"/>
                <w:spacing w:val="0"/>
                <w:w w:val="100"/>
                <w:kern w:val="0"/>
                <w:position w:val="0"/>
                <w:szCs w:val="21"/>
                <w:highlight w:val="none"/>
                <w:lang w:val="zh-CN"/>
              </w:rPr>
              <w:t>处理站处理后达到《农田灌溉水质标准》（GB5084-2005）中“旱作”标准，同时达到</w:t>
            </w:r>
            <w:r>
              <w:rPr>
                <w:rFonts w:hint="default" w:ascii="Times New Roman" w:hAnsi="Times New Roman" w:eastAsia="宋体" w:cs="Times New Roman"/>
                <w:color w:val="auto"/>
                <w:spacing w:val="0"/>
                <w:w w:val="100"/>
                <w:kern w:val="0"/>
                <w:position w:val="0"/>
                <w:sz w:val="21"/>
                <w:szCs w:val="21"/>
                <w:highlight w:val="none"/>
              </w:rPr>
              <w:t>《畜禽养殖业污染物排放标准》（GB18596-2001）</w:t>
            </w:r>
            <w:r>
              <w:rPr>
                <w:rFonts w:hint="default" w:ascii="Times New Roman" w:hAnsi="Times New Roman" w:eastAsia="宋体" w:cs="Times New Roman"/>
                <w:color w:val="auto"/>
                <w:spacing w:val="0"/>
                <w:w w:val="100"/>
                <w:kern w:val="0"/>
                <w:position w:val="0"/>
                <w:szCs w:val="21"/>
                <w:highlight w:val="none"/>
                <w:lang w:val="zh-CN"/>
              </w:rPr>
              <w:t>后，用于</w:t>
            </w:r>
            <w:r>
              <w:rPr>
                <w:rFonts w:hint="eastAsia" w:ascii="Times New Roman" w:hAnsi="Times New Roman" w:cs="Times New Roman"/>
                <w:color w:val="auto"/>
                <w:spacing w:val="0"/>
                <w:w w:val="100"/>
                <w:kern w:val="0"/>
                <w:position w:val="0"/>
                <w:szCs w:val="21"/>
                <w:highlight w:val="none"/>
                <w:lang w:val="zh-CN"/>
              </w:rPr>
              <w:t>周边农田灌溉</w:t>
            </w:r>
            <w:r>
              <w:rPr>
                <w:rFonts w:hint="default" w:ascii="Times New Roman" w:hAnsi="Times New Roman" w:eastAsia="宋体" w:cs="Times New Roman"/>
                <w:color w:val="auto"/>
                <w:spacing w:val="0"/>
                <w:w w:val="100"/>
                <w:kern w:val="0"/>
                <w:position w:val="0"/>
                <w:szCs w:val="21"/>
                <w:highlight w:val="none"/>
                <w:lang w:val="zh-CN"/>
              </w:rPr>
              <w:t>；冬季储存于氧化塘（</w:t>
            </w:r>
            <w:r>
              <w:rPr>
                <w:rFonts w:hint="default" w:ascii="Times New Roman" w:hAnsi="Times New Roman" w:eastAsia="宋体" w:cs="Times New Roman"/>
                <w:color w:val="auto"/>
                <w:spacing w:val="0"/>
                <w:w w:val="100"/>
                <w:kern w:val="0"/>
                <w:position w:val="0"/>
                <w:szCs w:val="21"/>
                <w:highlight w:val="none"/>
                <w:lang w:val="en-US" w:eastAsia="zh-CN"/>
              </w:rPr>
              <w:t>总容积</w:t>
            </w:r>
            <w:r>
              <w:rPr>
                <w:rFonts w:hint="default" w:ascii="Times New Roman" w:hAnsi="Times New Roman" w:cs="Times New Roman"/>
                <w:color w:val="auto"/>
                <w:spacing w:val="0"/>
                <w:w w:val="100"/>
                <w:kern w:val="0"/>
                <w:position w:val="0"/>
                <w:szCs w:val="21"/>
                <w:highlight w:val="none"/>
                <w:lang w:val="en-US" w:eastAsia="zh-CN"/>
              </w:rPr>
              <w:t>16000m</w:t>
            </w:r>
            <w:r>
              <w:rPr>
                <w:rFonts w:hint="default" w:ascii="Times New Roman" w:hAnsi="Times New Roman" w:eastAsia="宋体" w:cs="Times New Roman"/>
                <w:color w:val="auto"/>
                <w:spacing w:val="0"/>
                <w:w w:val="100"/>
                <w:kern w:val="0"/>
                <w:position w:val="0"/>
                <w:szCs w:val="21"/>
                <w:highlight w:val="none"/>
                <w:vertAlign w:val="superscript"/>
                <w:lang w:val="zh-CN"/>
              </w:rPr>
              <w:t>3</w:t>
            </w:r>
            <w:r>
              <w:rPr>
                <w:rFonts w:hint="default" w:ascii="Times New Roman" w:hAnsi="Times New Roman" w:eastAsia="宋体" w:cs="Times New Roman"/>
                <w:color w:val="auto"/>
                <w:spacing w:val="0"/>
                <w:w w:val="100"/>
                <w:kern w:val="0"/>
                <w:position w:val="0"/>
                <w:szCs w:val="21"/>
                <w:highlight w:val="none"/>
                <w:lang w:val="zh-CN"/>
              </w:rPr>
              <w:t>），待春季用于</w:t>
            </w:r>
            <w:r>
              <w:rPr>
                <w:rFonts w:hint="eastAsia" w:ascii="Times New Roman" w:hAnsi="Times New Roman" w:cs="Times New Roman"/>
                <w:color w:val="auto"/>
                <w:spacing w:val="0"/>
                <w:w w:val="100"/>
                <w:kern w:val="0"/>
                <w:position w:val="0"/>
                <w:szCs w:val="21"/>
                <w:highlight w:val="none"/>
                <w:lang w:val="zh-CN"/>
              </w:rPr>
              <w:t>周边农田灌溉</w:t>
            </w:r>
            <w:r>
              <w:rPr>
                <w:rFonts w:hint="default" w:ascii="Times New Roman" w:hAnsi="Times New Roman" w:eastAsia="宋体" w:cs="Times New Roman"/>
                <w:color w:val="auto"/>
                <w:spacing w:val="0"/>
                <w:w w:val="100"/>
                <w:kern w:val="0"/>
                <w:position w:val="0"/>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p>
        </w:tc>
        <w:tc>
          <w:tcPr>
            <w:tcW w:w="4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废气处理设施</w:t>
            </w: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粉尘</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bCs/>
                <w:color w:val="auto"/>
                <w:spacing w:val="0"/>
                <w:w w:val="100"/>
                <w:kern w:val="0"/>
                <w:position w:val="0"/>
                <w:szCs w:val="21"/>
                <w:highlight w:val="none"/>
              </w:rPr>
              <w:t>饲料加工粉碎在半封闭式厂房内进行，采用日粮混合机进行湿润搅拌，设备自带除尘设施</w:t>
            </w:r>
            <w:r>
              <w:rPr>
                <w:rFonts w:hint="default" w:ascii="Times New Roman" w:hAnsi="Times New Roman" w:eastAsia="宋体" w:cs="Times New Roman"/>
                <w:bCs/>
                <w:color w:val="auto"/>
                <w:spacing w:val="0"/>
                <w:w w:val="100"/>
                <w:kern w:val="0"/>
                <w:position w:val="0"/>
                <w:szCs w:val="21"/>
                <w:highlight w:val="none"/>
                <w:lang w:eastAsia="zh-CN"/>
              </w:rPr>
              <w:t>，除尘效率</w:t>
            </w:r>
            <w:r>
              <w:rPr>
                <w:rFonts w:hint="default" w:ascii="Times New Roman" w:hAnsi="Times New Roman" w:eastAsia="宋体" w:cs="Times New Roman"/>
                <w:bCs/>
                <w:color w:val="auto"/>
                <w:spacing w:val="0"/>
                <w:w w:val="100"/>
                <w:kern w:val="0"/>
                <w:position w:val="0"/>
                <w:szCs w:val="21"/>
                <w:highlight w:val="none"/>
                <w:lang w:val="en-US" w:eastAsia="zh-CN"/>
              </w:rPr>
              <w:t>95%</w:t>
            </w:r>
            <w:r>
              <w:rPr>
                <w:rFonts w:hint="default" w:ascii="Times New Roman" w:hAnsi="Times New Roman" w:eastAsia="宋体" w:cs="Times New Roman"/>
                <w:bCs/>
                <w:color w:val="auto"/>
                <w:spacing w:val="0"/>
                <w:w w:val="100"/>
                <w:kern w:val="0"/>
                <w:position w:val="0"/>
                <w:szCs w:val="21"/>
                <w:highlight w:val="none"/>
              </w:rPr>
              <w:t>，粉尘以无组织形式排放。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恶臭</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2" w:firstLineChars="200"/>
              <w:jc w:val="left"/>
              <w:textAlignment w:val="auto"/>
              <w:rPr>
                <w:rFonts w:hint="default" w:ascii="Times New Roman" w:hAnsi="Times New Roman" w:eastAsia="宋体" w:cs="Times New Roman"/>
                <w:color w:val="auto"/>
                <w:spacing w:val="0"/>
                <w:w w:val="100"/>
                <w:kern w:val="0"/>
                <w:position w:val="0"/>
                <w:highlight w:val="none"/>
                <w:lang w:eastAsia="zh-CN"/>
              </w:rPr>
            </w:pPr>
            <w:r>
              <w:rPr>
                <w:rFonts w:hint="eastAsia" w:ascii="Times New Roman" w:hAnsi="Times New Roman" w:cs="Times New Roman"/>
                <w:b/>
                <w:bCs/>
                <w:color w:val="auto"/>
                <w:spacing w:val="0"/>
                <w:w w:val="100"/>
                <w:kern w:val="0"/>
                <w:position w:val="0"/>
                <w:highlight w:val="none"/>
                <w:lang w:eastAsia="zh-CN"/>
              </w:rPr>
              <w:t>牛舍</w:t>
            </w:r>
            <w:r>
              <w:rPr>
                <w:rFonts w:hint="default" w:ascii="Times New Roman" w:hAnsi="Times New Roman" w:eastAsia="宋体" w:cs="Times New Roman"/>
                <w:color w:val="auto"/>
                <w:spacing w:val="0"/>
                <w:w w:val="100"/>
                <w:kern w:val="0"/>
                <w:position w:val="0"/>
                <w:highlight w:val="none"/>
              </w:rPr>
              <w:t>：对</w:t>
            </w:r>
            <w:r>
              <w:rPr>
                <w:rFonts w:hint="eastAsia" w:ascii="Times New Roman" w:hAnsi="Times New Roman" w:cs="Times New Roman"/>
                <w:color w:val="auto"/>
                <w:spacing w:val="0"/>
                <w:w w:val="100"/>
                <w:kern w:val="0"/>
                <w:position w:val="0"/>
                <w:highlight w:val="none"/>
                <w:lang w:eastAsia="zh-CN"/>
              </w:rPr>
              <w:t>牛舍</w:t>
            </w:r>
            <w:r>
              <w:rPr>
                <w:rFonts w:hint="default" w:ascii="Times New Roman" w:hAnsi="Times New Roman" w:eastAsia="宋体" w:cs="Times New Roman"/>
                <w:color w:val="auto"/>
                <w:spacing w:val="0"/>
                <w:w w:val="100"/>
                <w:kern w:val="0"/>
                <w:position w:val="0"/>
                <w:highlight w:val="none"/>
              </w:rPr>
              <w:t>及运动场的牛粪，采用干清粪方式及时进行清理，定期消毒，喷洒除臭剂（生石灰）等。减少恶臭污染物的蓄积</w:t>
            </w:r>
            <w:r>
              <w:rPr>
                <w:rFonts w:hint="default" w:ascii="Times New Roman" w:hAnsi="Times New Roman" w:eastAsia="宋体" w:cs="Times New Roman"/>
                <w:color w:val="auto"/>
                <w:spacing w:val="0"/>
                <w:w w:val="100"/>
                <w:kern w:val="0"/>
                <w:position w:val="0"/>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2" w:firstLineChars="200"/>
              <w:jc w:val="left"/>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cs="Times New Roman"/>
                <w:b/>
                <w:bCs/>
                <w:color w:val="auto"/>
                <w:spacing w:val="0"/>
                <w:w w:val="100"/>
                <w:kern w:val="0"/>
                <w:position w:val="0"/>
                <w:highlight w:val="none"/>
                <w:lang w:eastAsia="zh-CN"/>
              </w:rPr>
              <w:t>堆粪棚</w:t>
            </w:r>
            <w:r>
              <w:rPr>
                <w:rFonts w:hint="default" w:ascii="Times New Roman" w:hAnsi="Times New Roman" w:eastAsia="宋体" w:cs="Times New Roman"/>
                <w:color w:val="auto"/>
                <w:spacing w:val="0"/>
                <w:w w:val="100"/>
                <w:kern w:val="0"/>
                <w:position w:val="0"/>
                <w:highlight w:val="none"/>
              </w:rPr>
              <w:t>：加强过程控制和清运管理，减少牛粪堆存，定期消毒，在牛粪干湿分离、</w:t>
            </w:r>
            <w:r>
              <w:rPr>
                <w:rFonts w:hint="default" w:ascii="Times New Roman" w:hAnsi="Times New Roman" w:cs="Times New Roman"/>
                <w:color w:val="auto"/>
                <w:spacing w:val="0"/>
                <w:w w:val="100"/>
                <w:kern w:val="0"/>
                <w:position w:val="0"/>
                <w:highlight w:val="none"/>
                <w:lang w:eastAsia="zh-CN"/>
              </w:rPr>
              <w:t>堆粪棚</w:t>
            </w:r>
            <w:r>
              <w:rPr>
                <w:rFonts w:hint="default" w:ascii="Times New Roman" w:hAnsi="Times New Roman" w:eastAsia="宋体" w:cs="Times New Roman"/>
                <w:color w:val="auto"/>
                <w:spacing w:val="0"/>
                <w:w w:val="100"/>
                <w:kern w:val="0"/>
                <w:position w:val="0"/>
                <w:highlight w:val="none"/>
              </w:rPr>
              <w:t>等加入对粪污有降解除臭的特定微生物菌。</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2" w:firstLineChars="200"/>
              <w:jc w:val="left"/>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b/>
                <w:bCs/>
                <w:color w:val="auto"/>
                <w:spacing w:val="0"/>
                <w:w w:val="100"/>
                <w:kern w:val="0"/>
                <w:position w:val="0"/>
                <w:highlight w:val="none"/>
              </w:rPr>
              <w:t>污水处理站</w:t>
            </w:r>
            <w:r>
              <w:rPr>
                <w:rFonts w:hint="default" w:ascii="Times New Roman" w:hAnsi="Times New Roman" w:eastAsia="宋体" w:cs="Times New Roman"/>
                <w:color w:val="auto"/>
                <w:spacing w:val="0"/>
                <w:w w:val="100"/>
                <w:kern w:val="0"/>
                <w:position w:val="0"/>
                <w:highlight w:val="none"/>
              </w:rPr>
              <w:t>：各类池体加盖封闭，加强周边绿化、喷洒除臭剂。</w:t>
            </w:r>
          </w:p>
          <w:p>
            <w:pPr>
              <w:pStyle w:val="32"/>
              <w:keepNext w:val="0"/>
              <w:keepLines w:val="0"/>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b/>
                <w:bCs/>
                <w:color w:val="auto"/>
                <w:spacing w:val="0"/>
                <w:w w:val="100"/>
                <w:kern w:val="0"/>
                <w:position w:val="0"/>
                <w:sz w:val="21"/>
                <w:szCs w:val="24"/>
                <w:highlight w:val="none"/>
                <w:lang w:val="en-US" w:eastAsia="zh-CN" w:bidi="ar-SA"/>
              </w:rPr>
              <w:t>饲养过程</w:t>
            </w:r>
            <w:r>
              <w:rPr>
                <w:rFonts w:hint="default" w:ascii="Times New Roman" w:hAnsi="Times New Roman" w:eastAsia="宋体" w:cs="Times New Roman"/>
                <w:color w:val="auto"/>
                <w:spacing w:val="0"/>
                <w:w w:val="100"/>
                <w:kern w:val="0"/>
                <w:position w:val="0"/>
                <w:sz w:val="21"/>
                <w:szCs w:val="24"/>
                <w:highlight w:val="none"/>
                <w:lang w:val="en-US" w:eastAsia="zh-CN" w:bidi="ar-SA"/>
              </w:rPr>
              <w:t>：需科学管理、调配饲料等措施治理恶臭。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val="0"/>
                <w:bCs w:val="0"/>
                <w:color w:val="auto"/>
                <w:spacing w:val="0"/>
                <w:w w:val="100"/>
                <w:kern w:val="0"/>
                <w:position w:val="0"/>
                <w:szCs w:val="21"/>
                <w:highlight w:val="none"/>
              </w:rPr>
              <w:t>固废处理设施</w:t>
            </w: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val="0"/>
                <w:bCs w:val="0"/>
                <w:color w:val="auto"/>
                <w:spacing w:val="0"/>
                <w:w w:val="100"/>
                <w:kern w:val="0"/>
                <w:position w:val="0"/>
                <w:szCs w:val="21"/>
                <w:highlight w:val="none"/>
                <w:lang w:eastAsia="zh-CN"/>
              </w:rPr>
              <w:t>牛粪</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建设1座</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rPr>
              <w:t>，总占地面积为</w:t>
            </w:r>
            <w:r>
              <w:rPr>
                <w:rFonts w:hint="default" w:ascii="Times New Roman" w:hAnsi="Times New Roman" w:cs="Times New Roman"/>
                <w:color w:val="auto"/>
                <w:spacing w:val="0"/>
                <w:w w:val="100"/>
                <w:kern w:val="0"/>
                <w:position w:val="0"/>
                <w:szCs w:val="21"/>
                <w:highlight w:val="none"/>
                <w:lang w:val="en-US" w:eastAsia="zh-CN"/>
              </w:rPr>
              <w:t>320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2</w:t>
            </w:r>
            <w:r>
              <w:rPr>
                <w:rFonts w:hint="default" w:ascii="Times New Roman" w:hAnsi="Times New Roman" w:eastAsia="宋体" w:cs="Times New Roman"/>
                <w:color w:val="auto"/>
                <w:spacing w:val="0"/>
                <w:w w:val="100"/>
                <w:kern w:val="0"/>
                <w:position w:val="0"/>
                <w:szCs w:val="21"/>
                <w:highlight w:val="none"/>
              </w:rPr>
              <w:t>，顶部设防雨顶棚、四周设</w:t>
            </w:r>
            <w:r>
              <w:rPr>
                <w:rFonts w:hint="default" w:ascii="Times New Roman" w:hAnsi="Times New Roman" w:cs="Times New Roman"/>
                <w:color w:val="auto"/>
                <w:spacing w:val="0"/>
                <w:w w:val="100"/>
                <w:kern w:val="0"/>
                <w:position w:val="0"/>
                <w:szCs w:val="21"/>
                <w:highlight w:val="none"/>
                <w:lang w:val="en-US" w:eastAsia="zh-CN"/>
              </w:rPr>
              <w:t>1m高</w:t>
            </w:r>
            <w:r>
              <w:rPr>
                <w:rFonts w:hint="default" w:ascii="Times New Roman" w:hAnsi="Times New Roman" w:eastAsia="宋体" w:cs="Times New Roman"/>
                <w:color w:val="auto"/>
                <w:spacing w:val="0"/>
                <w:w w:val="100"/>
                <w:kern w:val="0"/>
                <w:position w:val="0"/>
                <w:szCs w:val="21"/>
                <w:highlight w:val="none"/>
              </w:rPr>
              <w:t>挡雨墙，地面采取硬化防渗处理，铺设1.5mmHDPE防渗膜（渗透系数≤1.0×10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cm/s），在</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rPr>
              <w:t>四周设置导流槽，将堆粪过程中产生的渗滤液导流至污水处理站进行处理。项目牛粪（含尿液）总产生量为</w:t>
            </w:r>
            <w:r>
              <w:rPr>
                <w:rFonts w:hint="default" w:ascii="Times New Roman" w:hAnsi="Times New Roman" w:cs="Times New Roman"/>
                <w:color w:val="auto"/>
                <w:spacing w:val="0"/>
                <w:w w:val="100"/>
                <w:kern w:val="0"/>
                <w:position w:val="0"/>
                <w:szCs w:val="21"/>
                <w:highlight w:val="none"/>
                <w:lang w:val="en-US" w:eastAsia="zh-CN"/>
              </w:rPr>
              <w:t>46920.75</w:t>
            </w:r>
            <w:r>
              <w:rPr>
                <w:rFonts w:hint="default" w:ascii="Times New Roman" w:hAnsi="Times New Roman" w:eastAsia="宋体" w:cs="Times New Roman"/>
                <w:color w:val="auto"/>
                <w:spacing w:val="0"/>
                <w:w w:val="100"/>
                <w:kern w:val="0"/>
                <w:position w:val="0"/>
                <w:szCs w:val="21"/>
                <w:highlight w:val="none"/>
              </w:rPr>
              <w:t>t/a（25.71</w:t>
            </w:r>
            <w:r>
              <w:rPr>
                <w:rFonts w:hint="default" w:ascii="Times New Roman" w:hAnsi="Times New Roman" w:eastAsia="宋体" w:cs="Times New Roman"/>
                <w:color w:val="auto"/>
                <w:spacing w:val="0"/>
                <w:w w:val="100"/>
                <w:kern w:val="0"/>
                <w:position w:val="0"/>
                <w:szCs w:val="21"/>
                <w:highlight w:val="none"/>
                <w:lang w:val="zh-CN"/>
              </w:rPr>
              <w:t>kg/头·d（奶牛）</w:t>
            </w:r>
            <w:r>
              <w:rPr>
                <w:rFonts w:hint="default" w:ascii="Times New Roman" w:hAnsi="Times New Roman" w:eastAsia="宋体" w:cs="Times New Roman"/>
                <w:color w:val="auto"/>
                <w:spacing w:val="0"/>
                <w:w w:val="100"/>
                <w:kern w:val="0"/>
                <w:position w:val="0"/>
                <w:szCs w:val="21"/>
                <w:highlight w:val="none"/>
              </w:rPr>
              <w:t>，</w:t>
            </w:r>
            <w:r>
              <w:rPr>
                <w:rFonts w:hint="eastAsia" w:ascii="Times New Roman" w:hAnsi="Times New Roman" w:cs="Times New Roman"/>
                <w:color w:val="auto"/>
                <w:spacing w:val="0"/>
                <w:w w:val="100"/>
                <w:kern w:val="0"/>
                <w:position w:val="0"/>
                <w:szCs w:val="21"/>
                <w:highlight w:val="none"/>
                <w:lang w:eastAsia="zh-CN"/>
              </w:rPr>
              <w:t>临时堆存于堆粪棚内，出售给周边农户，还田利用。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病死牛尸及胎盘</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eastAsia="zh-CN"/>
              </w:rPr>
              <w:t>防疫部门</w:t>
            </w:r>
            <w:r>
              <w:rPr>
                <w:rFonts w:hint="default" w:ascii="Times New Roman" w:hAnsi="Times New Roman" w:eastAsia="宋体" w:cs="Times New Roman"/>
                <w:color w:val="auto"/>
                <w:spacing w:val="0"/>
                <w:w w:val="100"/>
                <w:kern w:val="0"/>
                <w:position w:val="0"/>
                <w:szCs w:val="21"/>
                <w:highlight w:val="none"/>
              </w:rPr>
              <w:t>专</w:t>
            </w:r>
            <w:r>
              <w:rPr>
                <w:rFonts w:hint="default" w:ascii="Times New Roman" w:hAnsi="Times New Roman" w:eastAsia="宋体" w:cs="Times New Roman"/>
                <w:color w:val="auto"/>
                <w:spacing w:val="0"/>
                <w:w w:val="100"/>
                <w:kern w:val="0"/>
                <w:position w:val="0"/>
                <w:sz w:val="21"/>
                <w:szCs w:val="21"/>
                <w:highlight w:val="none"/>
              </w:rPr>
              <w:t>用车辆送往</w:t>
            </w:r>
            <w:r>
              <w:rPr>
                <w:rFonts w:hint="default" w:ascii="Times New Roman" w:hAnsi="Times New Roman" w:eastAsia="宋体" w:cs="Times New Roman"/>
                <w:b w:val="0"/>
                <w:bCs w:val="0"/>
                <w:color w:val="auto"/>
                <w:spacing w:val="0"/>
                <w:w w:val="100"/>
                <w:kern w:val="0"/>
                <w:position w:val="0"/>
                <w:sz w:val="21"/>
                <w:szCs w:val="21"/>
                <w:lang w:val="en-US" w:eastAsia="zh-CN"/>
              </w:rPr>
              <w:t>当地</w:t>
            </w:r>
            <w:r>
              <w:rPr>
                <w:rFonts w:hint="default" w:ascii="Times New Roman" w:hAnsi="Times New Roman" w:eastAsia="宋体" w:cs="Times New Roman"/>
                <w:color w:val="auto"/>
                <w:spacing w:val="0"/>
                <w:w w:val="100"/>
                <w:kern w:val="0"/>
                <w:position w:val="0"/>
                <w:sz w:val="21"/>
                <w:szCs w:val="21"/>
                <w:highlight w:val="none"/>
              </w:rPr>
              <w:t>无害化处置中心处置。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污泥</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污水处理站污泥进行脱水处理后，运至</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临时</w:t>
            </w:r>
            <w:r>
              <w:rPr>
                <w:rFonts w:hint="default" w:ascii="Times New Roman" w:hAnsi="Times New Roman" w:eastAsia="宋体" w:cs="Times New Roman"/>
                <w:color w:val="auto"/>
                <w:spacing w:val="0"/>
                <w:w w:val="100"/>
                <w:kern w:val="0"/>
                <w:position w:val="0"/>
                <w:szCs w:val="21"/>
                <w:highlight w:val="none"/>
              </w:rPr>
              <w:t>储存</w:t>
            </w:r>
            <w:r>
              <w:rPr>
                <w:rFonts w:hint="default" w:ascii="Times New Roman" w:hAnsi="Times New Roman" w:eastAsia="宋体" w:cs="Times New Roman"/>
                <w:color w:val="auto"/>
                <w:spacing w:val="0"/>
                <w:w w:val="100"/>
                <w:kern w:val="0"/>
                <w:position w:val="0"/>
                <w:szCs w:val="21"/>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危险废物</w:t>
            </w:r>
          </w:p>
        </w:tc>
        <w:tc>
          <w:tcPr>
            <w:tcW w:w="6983" w:type="dxa"/>
            <w:tcBorders>
              <w:tl2br w:val="nil"/>
              <w:tr2bl w:val="nil"/>
            </w:tcBorders>
            <w:noWrap w:val="0"/>
            <w:vAlign w:val="center"/>
          </w:tcPr>
          <w:p>
            <w:pPr>
              <w:keepNext w:val="0"/>
              <w:keepLines w:val="0"/>
              <w:pageBreakBefore w:val="0"/>
              <w:tabs>
                <w:tab w:val="left" w:pos="3150"/>
              </w:tabs>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危废暂存间1座，占地面积为</w:t>
            </w:r>
            <w:r>
              <w:rPr>
                <w:rFonts w:hint="default" w:ascii="Times New Roman" w:hAnsi="Times New Roman" w:eastAsia="宋体" w:cs="Times New Roman"/>
                <w:color w:val="auto"/>
                <w:spacing w:val="0"/>
                <w:w w:val="100"/>
                <w:kern w:val="0"/>
                <w:position w:val="0"/>
                <w:highlight w:val="none"/>
                <w:lang w:val="en-US" w:eastAsia="zh-CN"/>
              </w:rPr>
              <w:t>10</w:t>
            </w:r>
            <w:r>
              <w:rPr>
                <w:rFonts w:hint="default" w:ascii="Times New Roman" w:hAnsi="Times New Roman" w:eastAsia="宋体" w:cs="Times New Roman"/>
                <w:color w:val="auto"/>
                <w:spacing w:val="0"/>
                <w:w w:val="100"/>
                <w:kern w:val="0"/>
                <w:position w:val="0"/>
                <w:highlight w:val="none"/>
              </w:rPr>
              <w:t>m</w:t>
            </w:r>
            <w:r>
              <w:rPr>
                <w:rFonts w:hint="default" w:ascii="Times New Roman" w:hAnsi="Times New Roman" w:eastAsia="宋体" w:cs="Times New Roman"/>
                <w:color w:val="auto"/>
                <w:spacing w:val="0"/>
                <w:w w:val="100"/>
                <w:kern w:val="0"/>
                <w:position w:val="0"/>
                <w:highlight w:val="none"/>
                <w:vertAlign w:val="superscript"/>
              </w:rPr>
              <w:t>2</w:t>
            </w:r>
            <w:r>
              <w:rPr>
                <w:rFonts w:hint="default" w:ascii="Times New Roman" w:hAnsi="Times New Roman" w:eastAsia="宋体" w:cs="Times New Roman"/>
                <w:color w:val="auto"/>
                <w:spacing w:val="0"/>
                <w:w w:val="100"/>
                <w:kern w:val="0"/>
                <w:position w:val="0"/>
                <w:highlight w:val="none"/>
              </w:rPr>
              <w:t>，</w:t>
            </w:r>
            <w:r>
              <w:rPr>
                <w:rFonts w:hint="default" w:ascii="Times New Roman" w:hAnsi="Times New Roman" w:eastAsia="宋体" w:cs="Times New Roman"/>
                <w:bCs/>
                <w:color w:val="auto"/>
                <w:spacing w:val="0"/>
                <w:w w:val="100"/>
                <w:kern w:val="0"/>
                <w:position w:val="0"/>
                <w:szCs w:val="21"/>
                <w:highlight w:val="none"/>
              </w:rPr>
              <w:t>主要贮存项目产生的医疗废物</w:t>
            </w:r>
            <w:r>
              <w:rPr>
                <w:rFonts w:hint="default" w:ascii="Times New Roman" w:hAnsi="Times New Roman" w:eastAsia="宋体" w:cs="Times New Roman"/>
                <w:bCs/>
                <w:color w:val="auto"/>
                <w:spacing w:val="0"/>
                <w:w w:val="100"/>
                <w:kern w:val="0"/>
                <w:position w:val="0"/>
                <w:szCs w:val="21"/>
                <w:highlight w:val="none"/>
                <w:lang w:val="en-US" w:eastAsia="zh-CN"/>
              </w:rPr>
              <w:t>。</w:t>
            </w:r>
            <w:r>
              <w:rPr>
                <w:rFonts w:hint="default" w:ascii="Times New Roman" w:hAnsi="Times New Roman" w:eastAsia="宋体" w:cs="Times New Roman"/>
                <w:color w:val="auto"/>
                <w:spacing w:val="0"/>
                <w:w w:val="100"/>
                <w:kern w:val="0"/>
                <w:position w:val="0"/>
                <w:highlight w:val="none"/>
              </w:rPr>
              <w:t>对产生的危险废物进行分类收集后暂存于危废暂存间内，定期委托有资质的单位进行处理，暂存间地面采取硬化防渗处理，铺设2.0mmHDPE防渗膜（渗透系数≤1.0×10</w:t>
            </w:r>
            <w:r>
              <w:rPr>
                <w:rFonts w:hint="default" w:ascii="Times New Roman" w:hAnsi="Times New Roman" w:eastAsia="宋体" w:cs="Times New Roman"/>
                <w:color w:val="auto"/>
                <w:spacing w:val="0"/>
                <w:w w:val="100"/>
                <w:kern w:val="0"/>
                <w:position w:val="0"/>
                <w:highlight w:val="none"/>
                <w:vertAlign w:val="superscript"/>
              </w:rPr>
              <w:t>-10</w:t>
            </w:r>
            <w:r>
              <w:rPr>
                <w:rFonts w:hint="default" w:ascii="Times New Roman" w:hAnsi="Times New Roman" w:eastAsia="宋体" w:cs="Times New Roman"/>
                <w:color w:val="auto"/>
                <w:spacing w:val="0"/>
                <w:w w:val="100"/>
                <w:kern w:val="0"/>
                <w:position w:val="0"/>
                <w:highlight w:val="none"/>
              </w:rPr>
              <w:t>cm/s）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63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生活垃圾</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职工生活区设垃圾收集设施，交由环卫部门集中处置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w w:val="100"/>
                <w:kern w:val="0"/>
                <w:position w:val="0"/>
                <w:szCs w:val="21"/>
                <w:highlight w:val="none"/>
              </w:rPr>
            </w:pPr>
            <w:r>
              <w:rPr>
                <w:rFonts w:hint="default" w:ascii="Times New Roman" w:hAnsi="Times New Roman" w:eastAsia="宋体" w:cs="Times New Roman"/>
                <w:b w:val="0"/>
                <w:bCs w:val="0"/>
                <w:color w:val="auto"/>
                <w:spacing w:val="0"/>
                <w:w w:val="100"/>
                <w:kern w:val="0"/>
                <w:position w:val="0"/>
                <w:szCs w:val="21"/>
                <w:highlight w:val="none"/>
              </w:rPr>
              <w:t>噪声治理设施</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选用低噪声设备，隔声减噪措施等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tabs>
                <w:tab w:val="left" w:pos="7920"/>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w w:val="100"/>
                <w:kern w:val="0"/>
                <w:position w:val="0"/>
                <w:szCs w:val="21"/>
                <w:highlight w:val="none"/>
              </w:rPr>
            </w:pPr>
            <w:r>
              <w:rPr>
                <w:rFonts w:hint="default" w:ascii="Times New Roman" w:hAnsi="Times New Roman" w:eastAsia="宋体" w:cs="Times New Roman"/>
                <w:b w:val="0"/>
                <w:bCs w:val="0"/>
                <w:color w:val="auto"/>
                <w:spacing w:val="0"/>
                <w:w w:val="100"/>
                <w:kern w:val="0"/>
                <w:position w:val="0"/>
                <w:szCs w:val="21"/>
                <w:highlight w:val="none"/>
              </w:rPr>
              <w:t>地下水防</w:t>
            </w:r>
            <w:r>
              <w:rPr>
                <w:rFonts w:hint="default" w:ascii="Times New Roman" w:hAnsi="Times New Roman" w:eastAsia="宋体" w:cs="Times New Roman"/>
                <w:b w:val="0"/>
                <w:bCs w:val="0"/>
                <w:color w:val="auto"/>
                <w:spacing w:val="0"/>
                <w:w w:val="100"/>
                <w:kern w:val="0"/>
                <w:position w:val="0"/>
                <w:szCs w:val="21"/>
                <w:highlight w:val="none"/>
                <w:lang w:eastAsia="zh-CN"/>
              </w:rPr>
              <w:t>控</w:t>
            </w:r>
            <w:r>
              <w:rPr>
                <w:rFonts w:hint="default" w:ascii="Times New Roman" w:hAnsi="Times New Roman" w:eastAsia="宋体" w:cs="Times New Roman"/>
                <w:b w:val="0"/>
                <w:bCs w:val="0"/>
                <w:color w:val="auto"/>
                <w:spacing w:val="0"/>
                <w:w w:val="100"/>
                <w:kern w:val="0"/>
                <w:position w:val="0"/>
                <w:szCs w:val="21"/>
                <w:highlight w:val="none"/>
              </w:rPr>
              <w:t>措施</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采取分区防渗措施，对危险废物暂存间、污水处理站、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、氧化塘</w:t>
            </w:r>
            <w:r>
              <w:rPr>
                <w:rFonts w:hint="default" w:ascii="Times New Roman" w:hAnsi="Times New Roman" w:eastAsia="宋体" w:cs="Times New Roman"/>
                <w:color w:val="auto"/>
                <w:spacing w:val="0"/>
                <w:w w:val="100"/>
                <w:kern w:val="0"/>
                <w:position w:val="0"/>
                <w:szCs w:val="21"/>
                <w:highlight w:val="none"/>
              </w:rPr>
              <w:t>做重点防渗，其中危废暂存间防渗性能需满足《危险废物贮存污染控制标准》（GB 18597-2001）要求，基础必须防渗，防渗层为至少1m后粘土层（渗透系数≤1.0×10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及氧化塘</w:t>
            </w:r>
            <w:r>
              <w:rPr>
                <w:rFonts w:hint="default" w:ascii="Times New Roman" w:hAnsi="Times New Roman" w:eastAsia="宋体" w:cs="Times New Roman"/>
                <w:color w:val="auto"/>
                <w:spacing w:val="0"/>
                <w:w w:val="100"/>
                <w:kern w:val="0"/>
                <w:position w:val="0"/>
                <w:szCs w:val="21"/>
                <w:highlight w:val="none"/>
              </w:rPr>
              <w:t>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cm/s的黏土层。对牛舍、挤奶厅做一般防渗，其防渗层的防渗性能不低于</w:t>
            </w:r>
            <w:r>
              <w:rPr>
                <w:rFonts w:hint="default" w:ascii="Times New Roman" w:hAnsi="Times New Roman" w:eastAsia="宋体" w:cs="Times New Roman"/>
                <w:color w:val="auto"/>
                <w:spacing w:val="0"/>
                <w:w w:val="100"/>
                <w:kern w:val="0"/>
                <w:position w:val="0"/>
                <w:szCs w:val="21"/>
                <w:highlight w:val="none"/>
                <w:lang w:val="en-US" w:eastAsia="zh-CN"/>
              </w:rPr>
              <w:t>1.5</w:t>
            </w:r>
            <w:r>
              <w:rPr>
                <w:rFonts w:hint="default" w:ascii="Times New Roman" w:hAnsi="Times New Roman" w:eastAsia="宋体" w:cs="Times New Roman"/>
                <w:color w:val="auto"/>
                <w:spacing w:val="0"/>
                <w:w w:val="100"/>
                <w:kern w:val="0"/>
                <w:position w:val="0"/>
                <w:szCs w:val="21"/>
                <w:highlight w:val="none"/>
              </w:rPr>
              <w:t>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地下水跟踪监测：在场区污水处理站</w:t>
            </w:r>
            <w:r>
              <w:rPr>
                <w:rFonts w:hint="eastAsia" w:ascii="Times New Roman" w:hAnsi="Times New Roman" w:cs="Times New Roman"/>
                <w:color w:val="auto"/>
                <w:spacing w:val="0"/>
                <w:w w:val="100"/>
                <w:kern w:val="0"/>
                <w:position w:val="0"/>
                <w:szCs w:val="21"/>
                <w:highlight w:val="none"/>
                <w:lang w:eastAsia="zh-CN"/>
              </w:rPr>
              <w:t>东</w:t>
            </w:r>
            <w:r>
              <w:rPr>
                <w:rFonts w:hint="default" w:ascii="Times New Roman" w:hAnsi="Times New Roman" w:eastAsia="宋体" w:cs="Times New Roman"/>
                <w:color w:val="auto"/>
                <w:spacing w:val="0"/>
                <w:w w:val="100"/>
                <w:kern w:val="0"/>
                <w:position w:val="0"/>
                <w:szCs w:val="21"/>
                <w:highlight w:val="none"/>
              </w:rPr>
              <w:t>侧设置1座地下水跟踪监测井，用于日常地下水水质监测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w w:val="100"/>
                <w:kern w:val="0"/>
                <w:position w:val="0"/>
                <w:szCs w:val="21"/>
                <w:highlight w:val="none"/>
              </w:rPr>
            </w:pPr>
            <w:r>
              <w:rPr>
                <w:rFonts w:hint="default" w:ascii="Times New Roman" w:hAnsi="Times New Roman" w:eastAsia="宋体" w:cs="Times New Roman"/>
                <w:b w:val="0"/>
                <w:bCs w:val="0"/>
                <w:color w:val="auto"/>
                <w:spacing w:val="0"/>
                <w:w w:val="100"/>
                <w:kern w:val="0"/>
                <w:position w:val="0"/>
                <w:szCs w:val="21"/>
                <w:highlight w:val="none"/>
              </w:rPr>
              <w:t>绿化</w:t>
            </w:r>
          </w:p>
        </w:tc>
        <w:tc>
          <w:tcPr>
            <w:tcW w:w="698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绿化面积</w:t>
            </w:r>
            <w:r>
              <w:rPr>
                <w:rFonts w:hint="eastAsia" w:ascii="Times New Roman" w:hAnsi="Times New Roman" w:cs="Times New Roman"/>
                <w:color w:val="auto"/>
                <w:spacing w:val="0"/>
                <w:w w:val="100"/>
                <w:kern w:val="0"/>
                <w:position w:val="0"/>
                <w:szCs w:val="21"/>
                <w:highlight w:val="none"/>
                <w:lang w:val="en-US" w:eastAsia="zh-CN"/>
              </w:rPr>
              <w:t>20</w:t>
            </w:r>
            <w:r>
              <w:rPr>
                <w:rFonts w:hint="default" w:ascii="Times New Roman" w:hAnsi="Times New Roman" w:cs="Times New Roman"/>
                <w:color w:val="auto"/>
                <w:spacing w:val="0"/>
                <w:w w:val="100"/>
                <w:kern w:val="0"/>
                <w:position w:val="0"/>
                <w:szCs w:val="21"/>
                <w:highlight w:val="none"/>
                <w:lang w:val="en-US" w:eastAsia="zh-CN"/>
              </w:rPr>
              <w:t>00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2</w:t>
            </w:r>
            <w:r>
              <w:rPr>
                <w:rFonts w:hint="default" w:ascii="Times New Roman" w:hAnsi="Times New Roman" w:eastAsia="宋体" w:cs="Times New Roman"/>
                <w:color w:val="auto"/>
                <w:spacing w:val="0"/>
                <w:w w:val="100"/>
                <w:kern w:val="0"/>
                <w:position w:val="0"/>
                <w:szCs w:val="21"/>
                <w:highlight w:val="none"/>
                <w:vertAlign w:val="baseline"/>
                <w:lang w:eastAsia="zh-CN"/>
              </w:rPr>
              <w:t>。</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78" w:name="_Toc25509"/>
      <w:bookmarkStart w:id="479" w:name="_Toc111"/>
      <w:bookmarkStart w:id="480" w:name="_Toc30884"/>
      <w:bookmarkStart w:id="481" w:name="_Toc407912091"/>
      <w:r>
        <w:rPr>
          <w:rFonts w:hint="default" w:ascii="Times New Roman" w:hAnsi="Times New Roman" w:eastAsia="宋体" w:cs="Times New Roman"/>
          <w:snapToGrid w:val="0"/>
          <w:color w:val="auto"/>
          <w:spacing w:val="0"/>
          <w:w w:val="100"/>
          <w:kern w:val="0"/>
          <w:position w:val="0"/>
          <w:sz w:val="28"/>
          <w:szCs w:val="28"/>
          <w:highlight w:val="none"/>
          <w:lang w:val="en-US" w:eastAsia="zh-CN"/>
        </w:rPr>
        <w:t>2.1.3建设规模及产品方案</w:t>
      </w:r>
      <w:bookmarkEnd w:id="478"/>
      <w:bookmarkEnd w:id="479"/>
      <w:bookmarkEnd w:id="480"/>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fldChar w:fldCharType="begin"/>
      </w:r>
      <w:r>
        <w:rPr>
          <w:rFonts w:hint="default" w:ascii="Times New Roman" w:hAnsi="Times New Roman" w:eastAsia="宋体" w:cs="Times New Roman"/>
          <w:snapToGrid w:val="0"/>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snapToGrid w:val="0"/>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rPr>
        <w:t>⑴</w:t>
      </w:r>
      <w:r>
        <w:rPr>
          <w:rFonts w:hint="default" w:ascii="Times New Roman" w:hAnsi="Times New Roman" w:eastAsia="宋体" w:cs="Times New Roman"/>
          <w:snapToGrid w:val="0"/>
          <w:color w:val="auto"/>
          <w:spacing w:val="0"/>
          <w:w w:val="100"/>
          <w:kern w:val="0"/>
          <w:position w:val="0"/>
          <w:sz w:val="24"/>
          <w:szCs w:val="24"/>
          <w:highlight w:val="none"/>
        </w:rPr>
        <w:fldChar w:fldCharType="end"/>
      </w:r>
      <w:r>
        <w:rPr>
          <w:rFonts w:hint="default" w:ascii="Times New Roman" w:hAnsi="Times New Roman" w:eastAsia="宋体" w:cs="Times New Roman"/>
          <w:snapToGrid w:val="0"/>
          <w:color w:val="auto"/>
          <w:spacing w:val="0"/>
          <w:w w:val="100"/>
          <w:kern w:val="0"/>
          <w:position w:val="0"/>
          <w:sz w:val="24"/>
          <w:szCs w:val="24"/>
          <w:highlight w:val="none"/>
        </w:rPr>
        <w:t>建设规模</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t>本项目</w:t>
      </w:r>
      <w:r>
        <w:rPr>
          <w:rFonts w:hint="default" w:ascii="Times New Roman" w:hAnsi="Times New Roman" w:eastAsia="宋体" w:cs="Times New Roman"/>
          <w:snapToGrid w:val="0"/>
          <w:color w:val="auto"/>
          <w:spacing w:val="0"/>
          <w:w w:val="100"/>
          <w:kern w:val="0"/>
          <w:position w:val="0"/>
          <w:sz w:val="24"/>
          <w:szCs w:val="24"/>
          <w:highlight w:val="none"/>
          <w:lang w:eastAsia="zh-CN"/>
        </w:rPr>
        <w:t>奶牛</w:t>
      </w:r>
      <w:r>
        <w:rPr>
          <w:rFonts w:hint="default" w:ascii="Times New Roman" w:hAnsi="Times New Roman" w:eastAsia="宋体" w:cs="Times New Roman"/>
          <w:snapToGrid w:val="0"/>
          <w:color w:val="auto"/>
          <w:spacing w:val="0"/>
          <w:w w:val="100"/>
          <w:kern w:val="0"/>
          <w:position w:val="0"/>
          <w:sz w:val="24"/>
          <w:szCs w:val="24"/>
          <w:highlight w:val="none"/>
        </w:rPr>
        <w:t>饲养规模为存栏奶牛</w:t>
      </w:r>
      <w:r>
        <w:rPr>
          <w:rFonts w:hint="default" w:ascii="Times New Roman" w:hAnsi="Times New Roman" w:cs="Times New Roman"/>
          <w:snapToGrid w:val="0"/>
          <w:color w:val="auto"/>
          <w:spacing w:val="0"/>
          <w:w w:val="100"/>
          <w:kern w:val="0"/>
          <w:position w:val="0"/>
          <w:sz w:val="24"/>
          <w:szCs w:val="24"/>
          <w:highlight w:val="none"/>
          <w:lang w:val="en-US" w:eastAsia="zh-CN"/>
        </w:rPr>
        <w:t>5</w:t>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000</w:t>
      </w:r>
      <w:r>
        <w:rPr>
          <w:rFonts w:hint="default" w:ascii="Times New Roman" w:hAnsi="Times New Roman" w:eastAsia="宋体" w:cs="Times New Roman"/>
          <w:snapToGrid w:val="0"/>
          <w:color w:val="auto"/>
          <w:spacing w:val="0"/>
          <w:w w:val="100"/>
          <w:kern w:val="0"/>
          <w:position w:val="0"/>
          <w:sz w:val="24"/>
          <w:szCs w:val="24"/>
          <w:highlight w:val="none"/>
          <w:lang w:eastAsia="zh-CN"/>
        </w:rPr>
        <w:t>头</w:t>
      </w:r>
      <w:r>
        <w:rPr>
          <w:rFonts w:hint="default" w:ascii="Times New Roman" w:hAnsi="Times New Roman" w:eastAsia="宋体" w:cs="Times New Roman"/>
          <w:snapToGrid w:val="0"/>
          <w:color w:val="auto"/>
          <w:spacing w:val="0"/>
          <w:w w:val="100"/>
          <w:kern w:val="0"/>
          <w:position w:val="0"/>
          <w:sz w:val="24"/>
          <w:szCs w:val="24"/>
          <w:highlight w:val="none"/>
        </w:rPr>
        <w:t>，其中产奶牛</w:t>
      </w:r>
      <w:r>
        <w:rPr>
          <w:rFonts w:hint="default" w:ascii="Times New Roman" w:hAnsi="Times New Roman" w:cs="Times New Roman"/>
          <w:snapToGrid w:val="0"/>
          <w:color w:val="auto"/>
          <w:spacing w:val="0"/>
          <w:w w:val="100"/>
          <w:kern w:val="0"/>
          <w:position w:val="0"/>
          <w:sz w:val="24"/>
          <w:szCs w:val="24"/>
          <w:highlight w:val="none"/>
          <w:lang w:val="en-US" w:eastAsia="zh-CN"/>
        </w:rPr>
        <w:t>3333</w:t>
      </w:r>
      <w:r>
        <w:rPr>
          <w:rFonts w:hint="default" w:ascii="Times New Roman" w:hAnsi="Times New Roman" w:eastAsia="宋体" w:cs="Times New Roman"/>
          <w:snapToGrid w:val="0"/>
          <w:color w:val="auto"/>
          <w:spacing w:val="0"/>
          <w:w w:val="100"/>
          <w:kern w:val="0"/>
          <w:position w:val="0"/>
          <w:sz w:val="24"/>
          <w:szCs w:val="24"/>
          <w:highlight w:val="none"/>
        </w:rPr>
        <w:t>头，干奶牛</w:t>
      </w:r>
      <w:r>
        <w:rPr>
          <w:rFonts w:hint="default" w:ascii="Times New Roman" w:hAnsi="Times New Roman" w:cs="Times New Roman"/>
          <w:snapToGrid w:val="0"/>
          <w:color w:val="auto"/>
          <w:spacing w:val="0"/>
          <w:w w:val="100"/>
          <w:kern w:val="0"/>
          <w:position w:val="0"/>
          <w:sz w:val="24"/>
          <w:szCs w:val="24"/>
          <w:highlight w:val="none"/>
          <w:lang w:val="en-US" w:eastAsia="zh-CN"/>
        </w:rPr>
        <w:t>667</w:t>
      </w:r>
      <w:r>
        <w:rPr>
          <w:rFonts w:hint="default" w:ascii="Times New Roman" w:hAnsi="Times New Roman" w:eastAsia="宋体" w:cs="Times New Roman"/>
          <w:snapToGrid w:val="0"/>
          <w:color w:val="auto"/>
          <w:spacing w:val="0"/>
          <w:w w:val="100"/>
          <w:kern w:val="0"/>
          <w:position w:val="0"/>
          <w:sz w:val="24"/>
          <w:szCs w:val="24"/>
          <w:highlight w:val="none"/>
        </w:rPr>
        <w:t>头，青年牛</w:t>
      </w:r>
      <w:r>
        <w:rPr>
          <w:rFonts w:hint="default" w:ascii="Times New Roman" w:hAnsi="Times New Roman" w:cs="Times New Roman"/>
          <w:snapToGrid w:val="0"/>
          <w:color w:val="auto"/>
          <w:spacing w:val="0"/>
          <w:w w:val="100"/>
          <w:kern w:val="0"/>
          <w:position w:val="0"/>
          <w:sz w:val="24"/>
          <w:szCs w:val="24"/>
          <w:highlight w:val="none"/>
          <w:lang w:val="en-US" w:eastAsia="zh-CN"/>
        </w:rPr>
        <w:t>333</w:t>
      </w:r>
      <w:r>
        <w:rPr>
          <w:rFonts w:hint="default" w:ascii="Times New Roman" w:hAnsi="Times New Roman" w:eastAsia="宋体" w:cs="Times New Roman"/>
          <w:snapToGrid w:val="0"/>
          <w:color w:val="auto"/>
          <w:spacing w:val="0"/>
          <w:w w:val="100"/>
          <w:kern w:val="0"/>
          <w:position w:val="0"/>
          <w:sz w:val="24"/>
          <w:szCs w:val="24"/>
          <w:highlight w:val="none"/>
        </w:rPr>
        <w:t>头，育成牛</w:t>
      </w:r>
      <w:r>
        <w:rPr>
          <w:rFonts w:hint="default" w:ascii="Times New Roman" w:hAnsi="Times New Roman" w:cs="Times New Roman"/>
          <w:snapToGrid w:val="0"/>
          <w:color w:val="auto"/>
          <w:spacing w:val="0"/>
          <w:w w:val="100"/>
          <w:kern w:val="0"/>
          <w:position w:val="0"/>
          <w:sz w:val="24"/>
          <w:szCs w:val="24"/>
          <w:highlight w:val="none"/>
          <w:lang w:val="en-US" w:eastAsia="zh-CN"/>
        </w:rPr>
        <w:t>167</w:t>
      </w:r>
      <w:r>
        <w:rPr>
          <w:rFonts w:hint="default" w:ascii="Times New Roman" w:hAnsi="Times New Roman" w:eastAsia="宋体" w:cs="Times New Roman"/>
          <w:snapToGrid w:val="0"/>
          <w:color w:val="auto"/>
          <w:spacing w:val="0"/>
          <w:w w:val="100"/>
          <w:kern w:val="0"/>
          <w:position w:val="0"/>
          <w:sz w:val="24"/>
          <w:szCs w:val="24"/>
          <w:highlight w:val="none"/>
        </w:rPr>
        <w:t>头，犊牛</w:t>
      </w:r>
      <w:r>
        <w:rPr>
          <w:rFonts w:hint="default" w:ascii="Times New Roman" w:hAnsi="Times New Roman" w:cs="Times New Roman"/>
          <w:snapToGrid w:val="0"/>
          <w:color w:val="auto"/>
          <w:spacing w:val="0"/>
          <w:w w:val="100"/>
          <w:kern w:val="0"/>
          <w:position w:val="0"/>
          <w:sz w:val="24"/>
          <w:szCs w:val="24"/>
          <w:highlight w:val="none"/>
          <w:lang w:val="en-US" w:eastAsia="zh-CN"/>
        </w:rPr>
        <w:t>167</w:t>
      </w:r>
      <w:r>
        <w:rPr>
          <w:rFonts w:hint="default" w:ascii="Times New Roman" w:hAnsi="Times New Roman" w:eastAsia="宋体" w:cs="Times New Roman"/>
          <w:snapToGrid w:val="0"/>
          <w:color w:val="auto"/>
          <w:spacing w:val="0"/>
          <w:w w:val="100"/>
          <w:kern w:val="0"/>
          <w:position w:val="0"/>
          <w:sz w:val="24"/>
          <w:szCs w:val="24"/>
          <w:highlight w:val="none"/>
        </w:rPr>
        <w:t>头，围产牛</w:t>
      </w:r>
      <w:r>
        <w:rPr>
          <w:rFonts w:hint="default" w:ascii="Times New Roman" w:hAnsi="Times New Roman" w:cs="Times New Roman"/>
          <w:snapToGrid w:val="0"/>
          <w:color w:val="auto"/>
          <w:spacing w:val="0"/>
          <w:w w:val="100"/>
          <w:kern w:val="0"/>
          <w:position w:val="0"/>
          <w:sz w:val="24"/>
          <w:szCs w:val="24"/>
          <w:highlight w:val="none"/>
          <w:lang w:val="en-US" w:eastAsia="zh-CN"/>
        </w:rPr>
        <w:t>333</w:t>
      </w:r>
      <w:r>
        <w:rPr>
          <w:rFonts w:hint="default" w:ascii="Times New Roman" w:hAnsi="Times New Roman" w:eastAsia="宋体" w:cs="Times New Roman"/>
          <w:snapToGrid w:val="0"/>
          <w:color w:val="auto"/>
          <w:spacing w:val="0"/>
          <w:w w:val="100"/>
          <w:kern w:val="0"/>
          <w:position w:val="0"/>
          <w:sz w:val="24"/>
          <w:szCs w:val="24"/>
          <w:highlight w:val="none"/>
        </w:rPr>
        <w:t>头。</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表2.1-2   项目奶牛养殖规模</w:t>
      </w:r>
    </w:p>
    <w:tbl>
      <w:tblPr>
        <w:tblStyle w:val="25"/>
        <w:tblW w:w="48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831"/>
        <w:gridCol w:w="2193"/>
        <w:gridCol w:w="1486"/>
        <w:gridCol w:w="1786"/>
        <w:gridCol w:w="24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1"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序号</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种类</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计量单位</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规模</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34"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产奶牛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 xml:space="preserve">3333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按存栏计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1"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干奶牛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rPr>
            </w:pPr>
            <w:r>
              <w:rPr>
                <w:rFonts w:hint="default" w:ascii="Times New Roman" w:hAnsi="Times New Roman" w:eastAsia="宋体" w:cs="Times New Roman"/>
                <w:color w:val="auto"/>
                <w:spacing w:val="0"/>
                <w:w w:val="100"/>
                <w:kern w:val="0"/>
                <w:position w:val="0"/>
                <w:szCs w:val="21"/>
                <w:highlight w:val="none"/>
                <w:lang w:val="en-US" w:eastAsia="zh-CN"/>
              </w:rPr>
              <w:t xml:space="preserve">667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按存栏计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34"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青年牛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 xml:space="preserve">333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按存栏计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34"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育成牛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 xml:space="preserve">167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按存栏计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34"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5</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犊牛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 xml:space="preserve">167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按存栏计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88"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6</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lang w:eastAsia="zh-CN"/>
              </w:rPr>
              <w:t>围产牛</w:t>
            </w:r>
          </w:p>
        </w:tc>
        <w:tc>
          <w:tcPr>
            <w:tcW w:w="14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头</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 xml:space="preserve">333 </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按存栏计</w:t>
            </w:r>
          </w:p>
        </w:tc>
      </w:tr>
    </w:tbl>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fldChar w:fldCharType="begin"/>
      </w:r>
      <w:r>
        <w:rPr>
          <w:rFonts w:hint="default" w:ascii="Times New Roman" w:hAnsi="Times New Roman" w:eastAsia="宋体" w:cs="Times New Roman"/>
          <w:snapToGrid w:val="0"/>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snapToGrid w:val="0"/>
          <w:color w:val="auto"/>
          <w:spacing w:val="0"/>
          <w:w w:val="100"/>
          <w:kern w:val="0"/>
          <w:position w:val="0"/>
          <w:sz w:val="24"/>
          <w:szCs w:val="24"/>
          <w:highlight w:val="none"/>
        </w:rPr>
        <w:fldChar w:fldCharType="separate"/>
      </w:r>
      <w:r>
        <w:rPr>
          <w:rFonts w:hint="default" w:ascii="Times New Roman" w:hAnsi="Times New Roman" w:eastAsia="宋体" w:cs="Times New Roman"/>
          <w:snapToGrid w:val="0"/>
          <w:color w:val="auto"/>
          <w:spacing w:val="0"/>
          <w:w w:val="100"/>
          <w:kern w:val="0"/>
          <w:position w:val="0"/>
          <w:sz w:val="24"/>
          <w:szCs w:val="24"/>
          <w:highlight w:val="none"/>
        </w:rPr>
        <w:t>⑵</w:t>
      </w:r>
      <w:r>
        <w:rPr>
          <w:rFonts w:hint="default" w:ascii="Times New Roman" w:hAnsi="Times New Roman" w:eastAsia="宋体" w:cs="Times New Roman"/>
          <w:snapToGrid w:val="0"/>
          <w:color w:val="auto"/>
          <w:spacing w:val="0"/>
          <w:w w:val="100"/>
          <w:kern w:val="0"/>
          <w:position w:val="0"/>
          <w:sz w:val="24"/>
          <w:szCs w:val="24"/>
          <w:highlight w:val="none"/>
        </w:rPr>
        <w:fldChar w:fldCharType="end"/>
      </w:r>
      <w:r>
        <w:rPr>
          <w:rFonts w:hint="default" w:ascii="Times New Roman" w:hAnsi="Times New Roman" w:eastAsia="宋体" w:cs="Times New Roman"/>
          <w:snapToGrid w:val="0"/>
          <w:color w:val="auto"/>
          <w:spacing w:val="0"/>
          <w:w w:val="100"/>
          <w:kern w:val="0"/>
          <w:position w:val="0"/>
          <w:sz w:val="24"/>
          <w:szCs w:val="24"/>
          <w:highlight w:val="none"/>
        </w:rPr>
        <w:t>产品方案</w:t>
      </w:r>
    </w:p>
    <w:p>
      <w:pPr>
        <w:adjustRightInd w:val="0"/>
        <w:snapToGrid w:val="0"/>
        <w:spacing w:line="360" w:lineRule="auto"/>
        <w:ind w:firstLine="480" w:firstLineChars="200"/>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t>本项目的产品主要是原料奶，还包括附属产品：犊牛</w:t>
      </w:r>
      <w:r>
        <w:rPr>
          <w:rFonts w:hint="default" w:ascii="Times New Roman" w:hAnsi="Times New Roman" w:eastAsia="宋体" w:cs="Times New Roman"/>
          <w:snapToGrid w:val="0"/>
          <w:color w:val="auto"/>
          <w:spacing w:val="0"/>
          <w:w w:val="100"/>
          <w:kern w:val="0"/>
          <w:position w:val="0"/>
          <w:sz w:val="24"/>
          <w:szCs w:val="24"/>
          <w:highlight w:val="none"/>
          <w:lang w:eastAsia="zh-CN"/>
        </w:rPr>
        <w:t>及</w:t>
      </w:r>
      <w:r>
        <w:rPr>
          <w:rFonts w:hint="default" w:ascii="Times New Roman" w:hAnsi="Times New Roman" w:eastAsia="宋体" w:cs="Times New Roman"/>
          <w:snapToGrid w:val="0"/>
          <w:color w:val="auto"/>
          <w:spacing w:val="0"/>
          <w:w w:val="100"/>
          <w:kern w:val="0"/>
          <w:position w:val="0"/>
          <w:sz w:val="24"/>
          <w:szCs w:val="24"/>
          <w:highlight w:val="none"/>
        </w:rPr>
        <w:t>淘汰奶牛。项目产品方案见表</w:t>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w:t>
      </w:r>
      <w:r>
        <w:rPr>
          <w:rFonts w:hint="default" w:ascii="Times New Roman" w:hAnsi="Times New Roman" w:eastAsia="宋体" w:cs="Times New Roman"/>
          <w:snapToGrid w:val="0"/>
          <w:color w:val="auto"/>
          <w:spacing w:val="0"/>
          <w:w w:val="100"/>
          <w:kern w:val="0"/>
          <w:position w:val="0"/>
          <w:sz w:val="24"/>
          <w:szCs w:val="24"/>
          <w:highlight w:val="none"/>
        </w:rPr>
        <w:t>.1-</w:t>
      </w:r>
      <w:r>
        <w:rPr>
          <w:rFonts w:hint="eastAsia" w:ascii="Times New Roman" w:hAnsi="Times New Roman" w:cs="Times New Roman"/>
          <w:snapToGrid w:val="0"/>
          <w:color w:val="auto"/>
          <w:spacing w:val="0"/>
          <w:w w:val="100"/>
          <w:kern w:val="0"/>
          <w:position w:val="0"/>
          <w:sz w:val="24"/>
          <w:szCs w:val="24"/>
          <w:highlight w:val="none"/>
          <w:lang w:val="en-US" w:eastAsia="zh-CN"/>
        </w:rPr>
        <w:t>3</w:t>
      </w:r>
      <w:r>
        <w:rPr>
          <w:rFonts w:hint="default" w:ascii="Times New Roman" w:hAnsi="Times New Roman" w:eastAsia="宋体" w:cs="Times New Roman"/>
          <w:snapToGrid w:val="0"/>
          <w:color w:val="auto"/>
          <w:spacing w:val="0"/>
          <w:w w:val="100"/>
          <w:kern w:val="0"/>
          <w:position w:val="0"/>
          <w:sz w:val="24"/>
          <w:szCs w:val="24"/>
          <w:highlight w:val="none"/>
        </w:rPr>
        <w:t>，主要产品指标见表</w:t>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2</w:t>
      </w:r>
      <w:r>
        <w:rPr>
          <w:rFonts w:hint="default" w:ascii="Times New Roman" w:hAnsi="Times New Roman" w:eastAsia="宋体" w:cs="Times New Roman"/>
          <w:snapToGrid w:val="0"/>
          <w:color w:val="auto"/>
          <w:spacing w:val="0"/>
          <w:w w:val="100"/>
          <w:kern w:val="0"/>
          <w:position w:val="0"/>
          <w:sz w:val="24"/>
          <w:szCs w:val="24"/>
          <w:highlight w:val="none"/>
        </w:rPr>
        <w:t>.1-</w:t>
      </w:r>
      <w:r>
        <w:rPr>
          <w:rFonts w:hint="eastAsia" w:ascii="Times New Roman" w:hAnsi="Times New Roman" w:cs="Times New Roman"/>
          <w:snapToGrid w:val="0"/>
          <w:color w:val="auto"/>
          <w:spacing w:val="0"/>
          <w:w w:val="100"/>
          <w:kern w:val="0"/>
          <w:position w:val="0"/>
          <w:sz w:val="24"/>
          <w:szCs w:val="24"/>
          <w:highlight w:val="none"/>
          <w:lang w:val="en-US" w:eastAsia="zh-CN"/>
        </w:rPr>
        <w:t>4</w:t>
      </w:r>
      <w:r>
        <w:rPr>
          <w:rFonts w:hint="default" w:ascii="Times New Roman" w:hAnsi="Times New Roman" w:eastAsia="宋体" w:cs="Times New Roman"/>
          <w:snapToGrid w:val="0"/>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项目产品方案</w:t>
      </w:r>
    </w:p>
    <w:tbl>
      <w:tblPr>
        <w:tblStyle w:val="25"/>
        <w:tblW w:w="49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249"/>
        <w:gridCol w:w="1957"/>
        <w:gridCol w:w="3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7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产品</w:t>
            </w:r>
          </w:p>
        </w:tc>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数量</w:t>
            </w:r>
          </w:p>
        </w:tc>
        <w:tc>
          <w:tcPr>
            <w:tcW w:w="195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年产量</w:t>
            </w:r>
          </w:p>
        </w:tc>
        <w:tc>
          <w:tcPr>
            <w:tcW w:w="3961"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鲜奶</w:t>
            </w:r>
          </w:p>
        </w:tc>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t</w:t>
            </w:r>
            <w:r>
              <w:rPr>
                <w:rFonts w:hint="default" w:ascii="Times New Roman" w:hAnsi="Times New Roman" w:eastAsia="宋体" w:cs="Times New Roman"/>
                <w:color w:val="auto"/>
                <w:spacing w:val="0"/>
                <w:w w:val="100"/>
                <w:kern w:val="0"/>
                <w:position w:val="0"/>
                <w:szCs w:val="21"/>
                <w:highlight w:val="none"/>
                <w:lang w:val="en-US" w:eastAsia="zh-CN"/>
              </w:rPr>
              <w:t>/</w:t>
            </w:r>
            <w:r>
              <w:rPr>
                <w:rFonts w:hint="default" w:ascii="Times New Roman" w:hAnsi="Times New Roman" w:cs="Times New Roman"/>
                <w:color w:val="auto"/>
                <w:spacing w:val="0"/>
                <w:w w:val="100"/>
                <w:kern w:val="0"/>
                <w:position w:val="0"/>
                <w:szCs w:val="21"/>
                <w:highlight w:val="none"/>
                <w:lang w:val="en-US" w:eastAsia="zh-CN"/>
              </w:rPr>
              <w:t>a</w:t>
            </w:r>
          </w:p>
        </w:tc>
        <w:tc>
          <w:tcPr>
            <w:tcW w:w="195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lang w:val="en-US" w:eastAsia="zh-CN"/>
              </w:rPr>
              <w:t>23</w:t>
            </w:r>
            <w:r>
              <w:rPr>
                <w:rFonts w:hint="default" w:ascii="Times New Roman" w:hAnsi="Times New Roman" w:eastAsia="宋体" w:cs="Times New Roman"/>
                <w:color w:val="auto"/>
                <w:spacing w:val="0"/>
                <w:w w:val="100"/>
                <w:kern w:val="0"/>
                <w:position w:val="0"/>
                <w:lang w:val="en-US" w:eastAsia="zh-CN"/>
              </w:rPr>
              <w:t>000</w:t>
            </w:r>
          </w:p>
        </w:tc>
        <w:tc>
          <w:tcPr>
            <w:tcW w:w="3961" w:type="dxa"/>
            <w:noWrap w:val="0"/>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暂</w:t>
            </w:r>
            <w:r>
              <w:rPr>
                <w:rFonts w:hint="default" w:ascii="Times New Roman" w:hAnsi="Times New Roman" w:eastAsia="宋体" w:cs="Times New Roman"/>
                <w:color w:val="auto"/>
                <w:spacing w:val="0"/>
                <w:w w:val="100"/>
                <w:kern w:val="0"/>
                <w:position w:val="0"/>
                <w:szCs w:val="21"/>
                <w:highlight w:val="none"/>
                <w:lang w:val="en-US" w:eastAsia="zh-CN"/>
              </w:rPr>
              <w:t>存于贮奶罐，执行《生鲜牛乳收购标准》（GB/T6914-1986）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67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pacing w:val="0"/>
                <w:w w:val="100"/>
                <w:kern w:val="0"/>
                <w:position w:val="0"/>
                <w:szCs w:val="21"/>
                <w:highlight w:val="none"/>
                <w:lang w:eastAsia="zh-CN"/>
              </w:rPr>
              <w:t>犊牛</w:t>
            </w:r>
          </w:p>
        </w:tc>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eastAsia="zh-CN"/>
              </w:rPr>
              <w:t>头</w:t>
            </w:r>
            <w:r>
              <w:rPr>
                <w:rFonts w:hint="default" w:ascii="Times New Roman" w:hAnsi="Times New Roman" w:cs="Times New Roman"/>
                <w:color w:val="auto"/>
                <w:spacing w:val="0"/>
                <w:w w:val="100"/>
                <w:kern w:val="0"/>
                <w:position w:val="0"/>
                <w:szCs w:val="21"/>
                <w:highlight w:val="none"/>
                <w:lang w:val="en-US" w:eastAsia="zh-CN"/>
              </w:rPr>
              <w:t>/a</w:t>
            </w:r>
          </w:p>
        </w:tc>
        <w:tc>
          <w:tcPr>
            <w:tcW w:w="195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w w:val="100"/>
                <w:kern w:val="0"/>
                <w:position w:val="0"/>
                <w:lang w:val="en-US" w:eastAsia="zh-CN"/>
              </w:rPr>
            </w:pPr>
            <w:r>
              <w:rPr>
                <w:rFonts w:hint="default" w:ascii="Times New Roman" w:hAnsi="Times New Roman" w:cs="Times New Roman"/>
                <w:color w:val="auto"/>
                <w:spacing w:val="0"/>
                <w:w w:val="100"/>
                <w:kern w:val="0"/>
                <w:position w:val="0"/>
                <w:lang w:val="en-US" w:eastAsia="zh-CN"/>
              </w:rPr>
              <w:t>310</w:t>
            </w:r>
          </w:p>
        </w:tc>
        <w:tc>
          <w:tcPr>
            <w:tcW w:w="3961" w:type="dxa"/>
            <w:noWrap w:val="0"/>
            <w:vAlign w:val="center"/>
          </w:tcPr>
          <w:p>
            <w:pPr>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pacing w:val="0"/>
                <w:w w:val="100"/>
                <w:kern w:val="0"/>
                <w:position w:val="0"/>
                <w:szCs w:val="21"/>
                <w:highlight w:val="none"/>
                <w:lang w:eastAsia="zh-C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67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pacing w:val="0"/>
                <w:w w:val="100"/>
                <w:kern w:val="0"/>
                <w:position w:val="0"/>
                <w:szCs w:val="21"/>
                <w:highlight w:val="none"/>
                <w:lang w:eastAsia="zh-CN"/>
              </w:rPr>
              <w:t>淘汰奶牛</w:t>
            </w:r>
          </w:p>
        </w:tc>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cs="Times New Roman"/>
                <w:color w:val="auto"/>
                <w:spacing w:val="0"/>
                <w:w w:val="100"/>
                <w:kern w:val="0"/>
                <w:position w:val="0"/>
                <w:szCs w:val="21"/>
                <w:highlight w:val="none"/>
                <w:lang w:eastAsia="zh-CN"/>
              </w:rPr>
              <w:t>头</w:t>
            </w:r>
            <w:r>
              <w:rPr>
                <w:rFonts w:hint="default" w:ascii="Times New Roman" w:hAnsi="Times New Roman" w:cs="Times New Roman"/>
                <w:color w:val="auto"/>
                <w:spacing w:val="0"/>
                <w:w w:val="100"/>
                <w:kern w:val="0"/>
                <w:position w:val="0"/>
                <w:szCs w:val="21"/>
                <w:highlight w:val="none"/>
                <w:lang w:val="en-US" w:eastAsia="zh-CN"/>
              </w:rPr>
              <w:t>/a</w:t>
            </w:r>
          </w:p>
        </w:tc>
        <w:tc>
          <w:tcPr>
            <w:tcW w:w="195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w w:val="100"/>
                <w:kern w:val="0"/>
                <w:position w:val="0"/>
                <w:lang w:val="en-US" w:eastAsia="zh-CN"/>
              </w:rPr>
            </w:pPr>
            <w:r>
              <w:rPr>
                <w:rFonts w:hint="default" w:ascii="Times New Roman" w:hAnsi="Times New Roman" w:cs="Times New Roman"/>
                <w:color w:val="auto"/>
                <w:spacing w:val="0"/>
                <w:w w:val="100"/>
                <w:kern w:val="0"/>
                <w:position w:val="0"/>
                <w:lang w:val="en-US" w:eastAsia="zh-CN"/>
              </w:rPr>
              <w:t>640</w:t>
            </w:r>
          </w:p>
        </w:tc>
        <w:tc>
          <w:tcPr>
            <w:tcW w:w="3961" w:type="dxa"/>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cs="Times New Roman"/>
                <w:color w:val="auto"/>
                <w:spacing w:val="0"/>
                <w:w w:val="100"/>
                <w:kern w:val="0"/>
                <w:position w:val="0"/>
                <w:szCs w:val="21"/>
                <w:highlight w:val="none"/>
                <w:lang w:eastAsia="zh-CN"/>
              </w:rPr>
              <w:t>外售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项目主要产品指标</w:t>
      </w:r>
    </w:p>
    <w:tbl>
      <w:tblPr>
        <w:tblStyle w:val="25"/>
        <w:tblW w:w="495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784"/>
        <w:gridCol w:w="2089"/>
        <w:gridCol w:w="49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784"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产品</w:t>
            </w:r>
          </w:p>
        </w:tc>
        <w:tc>
          <w:tcPr>
            <w:tcW w:w="7075" w:type="dxa"/>
            <w:gridSpan w:val="2"/>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restart"/>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鲜奶</w:t>
            </w:r>
          </w:p>
        </w:tc>
        <w:tc>
          <w:tcPr>
            <w:tcW w:w="2089" w:type="dxa"/>
            <w:vMerge w:val="restart"/>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理化指标</w:t>
            </w: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密度（20℃、4℃）≥1.0280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脂肪≥3.10%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蛋白质≥2.95%；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酸度（乳酸表示）≤0.162%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杂质度（mg/L）4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restart"/>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卫生指标</w:t>
            </w: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细菌总数（万、mL）≤50-400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六六六（mg/kg）≤0.1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784" w:type="dxa"/>
            <w:vMerge w:val="continue"/>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p>
        </w:tc>
        <w:tc>
          <w:tcPr>
            <w:tcW w:w="2089" w:type="dxa"/>
            <w:vMerge w:val="continue"/>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p>
        </w:tc>
        <w:tc>
          <w:tcPr>
            <w:tcW w:w="498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汞(mg/L以HG计)≤0.01</w:t>
            </w:r>
          </w:p>
        </w:tc>
      </w:tr>
    </w:tbl>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fldChar w:fldCharType="begin"/>
      </w:r>
      <w:r>
        <w:rPr>
          <w:rFonts w:hint="default" w:ascii="Times New Roman" w:hAnsi="Times New Roman" w:eastAsia="宋体" w:cs="Times New Roman"/>
          <w:snapToGrid w:val="0"/>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snapToGrid w:val="0"/>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snapToGrid w:val="0"/>
          <w:color w:val="auto"/>
          <w:spacing w:val="0"/>
          <w:w w:val="100"/>
          <w:kern w:val="0"/>
          <w:position w:val="0"/>
          <w:sz w:val="24"/>
          <w:szCs w:val="24"/>
          <w:highlight w:val="none"/>
        </w:rPr>
        <w:fldChar w:fldCharType="end"/>
      </w:r>
      <w:r>
        <w:rPr>
          <w:rFonts w:hint="default" w:ascii="Times New Roman" w:hAnsi="Times New Roman" w:eastAsia="宋体" w:cs="Times New Roman"/>
          <w:snapToGrid w:val="0"/>
          <w:color w:val="auto"/>
          <w:spacing w:val="0"/>
          <w:w w:val="100"/>
          <w:kern w:val="0"/>
          <w:position w:val="0"/>
          <w:sz w:val="24"/>
          <w:szCs w:val="24"/>
          <w:highlight w:val="none"/>
        </w:rPr>
        <w:t>经营方式</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本项目最终的产品为优质原料鲜奶、优质高产</w:t>
      </w:r>
      <w:r>
        <w:rPr>
          <w:rFonts w:hint="default" w:ascii="Times New Roman" w:hAnsi="Times New Roman" w:eastAsia="宋体" w:cs="Times New Roman"/>
          <w:snapToGrid w:val="0"/>
          <w:color w:val="auto"/>
          <w:spacing w:val="0"/>
          <w:w w:val="100"/>
          <w:kern w:val="0"/>
          <w:position w:val="0"/>
          <w:sz w:val="24"/>
          <w:szCs w:val="32"/>
          <w:highlight w:val="none"/>
          <w:lang w:eastAsia="zh-CN"/>
        </w:rPr>
        <w:t>新西兰</w:t>
      </w:r>
      <w:r>
        <w:rPr>
          <w:rFonts w:hint="default" w:ascii="Times New Roman" w:hAnsi="Times New Roman" w:eastAsia="宋体" w:cs="Times New Roman"/>
          <w:snapToGrid w:val="0"/>
          <w:color w:val="auto"/>
          <w:spacing w:val="0"/>
          <w:w w:val="100"/>
          <w:kern w:val="0"/>
          <w:position w:val="0"/>
          <w:sz w:val="24"/>
          <w:szCs w:val="32"/>
          <w:highlight w:val="none"/>
        </w:rPr>
        <w:t>后备牛</w:t>
      </w:r>
      <w:r>
        <w:rPr>
          <w:rFonts w:hint="default" w:ascii="Times New Roman" w:hAnsi="Times New Roman" w:eastAsia="宋体" w:cs="Times New Roman"/>
          <w:snapToGrid w:val="0"/>
          <w:color w:val="auto"/>
          <w:spacing w:val="0"/>
          <w:w w:val="100"/>
          <w:kern w:val="0"/>
          <w:position w:val="0"/>
          <w:sz w:val="24"/>
          <w:szCs w:val="32"/>
          <w:highlight w:val="none"/>
          <w:lang w:eastAsia="zh-CN"/>
        </w:rPr>
        <w:t>及</w:t>
      </w:r>
      <w:r>
        <w:rPr>
          <w:rFonts w:hint="default" w:ascii="Times New Roman" w:hAnsi="Times New Roman" w:eastAsia="宋体" w:cs="Times New Roman"/>
          <w:snapToGrid w:val="0"/>
          <w:color w:val="auto"/>
          <w:spacing w:val="0"/>
          <w:w w:val="100"/>
          <w:kern w:val="0"/>
          <w:position w:val="0"/>
          <w:sz w:val="24"/>
          <w:szCs w:val="32"/>
          <w:highlight w:val="none"/>
        </w:rPr>
        <w:t>淘汰奶牛。</w:t>
      </w:r>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其中优质原料鲜奶以合同的方式向当地的大型乳品加工企业销售；本项目通过组建奶牛核心群，采取人工授精的繁育技术，进行良种奶牛的选育提高和扩大繁殖，提高其后代的生产水平，然后向</w:t>
      </w:r>
      <w:r>
        <w:rPr>
          <w:rFonts w:hint="default" w:ascii="Times New Roman" w:hAnsi="Times New Roman" w:cs="Times New Roman"/>
          <w:snapToGrid w:val="0"/>
          <w:color w:val="auto"/>
          <w:spacing w:val="0"/>
          <w:w w:val="100"/>
          <w:kern w:val="0"/>
          <w:position w:val="0"/>
          <w:sz w:val="24"/>
          <w:szCs w:val="32"/>
          <w:highlight w:val="none"/>
          <w:lang w:eastAsia="zh-CN"/>
        </w:rPr>
        <w:t>同心县及周边县市</w:t>
      </w:r>
      <w:r>
        <w:rPr>
          <w:rFonts w:hint="default" w:ascii="Times New Roman" w:hAnsi="Times New Roman" w:eastAsia="宋体" w:cs="Times New Roman"/>
          <w:snapToGrid w:val="0"/>
          <w:color w:val="auto"/>
          <w:spacing w:val="0"/>
          <w:w w:val="100"/>
          <w:kern w:val="0"/>
          <w:position w:val="0"/>
          <w:sz w:val="24"/>
          <w:szCs w:val="32"/>
          <w:highlight w:val="none"/>
        </w:rPr>
        <w:t>的奶牛养殖场和养殖户销售优质后备种牛；对于淘汰奶牛直接出售给当地奶牛育肥场育肥或直接出售给当地的具有资质的屠宰场直接进行屠宰；牛粪实行干清粪工艺（牛舍内），对清理出的牛粪</w:t>
      </w:r>
      <w:r>
        <w:rPr>
          <w:rFonts w:hint="eastAsia" w:ascii="Times New Roman" w:hAnsi="Times New Roman" w:cs="Times New Roman"/>
          <w:snapToGrid w:val="0"/>
          <w:color w:val="auto"/>
          <w:spacing w:val="0"/>
          <w:w w:val="100"/>
          <w:kern w:val="0"/>
          <w:position w:val="0"/>
          <w:sz w:val="24"/>
          <w:szCs w:val="32"/>
          <w:highlight w:val="none"/>
          <w:lang w:eastAsia="zh-CN"/>
        </w:rPr>
        <w:t>临时堆存在堆粪棚内</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eastAsia" w:ascii="Times New Roman" w:hAnsi="Times New Roman" w:cs="Times New Roman"/>
          <w:snapToGrid w:val="0"/>
          <w:color w:val="auto"/>
          <w:spacing w:val="0"/>
          <w:w w:val="100"/>
          <w:kern w:val="0"/>
          <w:position w:val="0"/>
          <w:sz w:val="24"/>
          <w:szCs w:val="32"/>
          <w:highlight w:val="none"/>
          <w:lang w:eastAsia="zh-CN"/>
        </w:rPr>
        <w:t>直接出售给周边农户用于还田利用</w:t>
      </w:r>
      <w:r>
        <w:rPr>
          <w:rFonts w:hint="default" w:ascii="Times New Roman" w:hAnsi="Times New Roman" w:eastAsia="宋体" w:cs="Times New Roman"/>
          <w:snapToGrid w:val="0"/>
          <w:color w:val="auto"/>
          <w:spacing w:val="0"/>
          <w:w w:val="100"/>
          <w:kern w:val="0"/>
          <w:position w:val="0"/>
          <w:sz w:val="24"/>
          <w:szCs w:val="32"/>
          <w:highlight w:val="none"/>
        </w:rPr>
        <w:t>。</w:t>
      </w:r>
    </w:p>
    <w:bookmarkEnd w:id="481"/>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82" w:name="_Toc14251"/>
      <w:bookmarkStart w:id="483" w:name="_Toc17393"/>
      <w:bookmarkStart w:id="484" w:name="_Toc10382"/>
      <w:bookmarkStart w:id="485" w:name="_Toc23551"/>
      <w:bookmarkStart w:id="486" w:name="_Toc12621"/>
      <w:bookmarkStart w:id="487" w:name="_Toc22392"/>
      <w:bookmarkStart w:id="488" w:name="_Toc8866"/>
      <w:bookmarkStart w:id="489" w:name="_Toc21485"/>
      <w:r>
        <w:rPr>
          <w:rFonts w:hint="default" w:ascii="Times New Roman" w:hAnsi="Times New Roman" w:eastAsia="宋体" w:cs="Times New Roman"/>
          <w:snapToGrid w:val="0"/>
          <w:color w:val="auto"/>
          <w:spacing w:val="0"/>
          <w:w w:val="100"/>
          <w:kern w:val="0"/>
          <w:position w:val="0"/>
          <w:sz w:val="28"/>
          <w:szCs w:val="28"/>
          <w:highlight w:val="none"/>
          <w:lang w:val="en-US" w:eastAsia="zh-CN"/>
        </w:rPr>
        <w:t>2.1.4主要原辅材料及能耗</w:t>
      </w:r>
      <w:bookmarkEnd w:id="482"/>
      <w:bookmarkEnd w:id="483"/>
      <w:bookmarkEnd w:id="484"/>
      <w:bookmarkEnd w:id="485"/>
      <w:bookmarkEnd w:id="486"/>
      <w:bookmarkEnd w:id="487"/>
      <w:bookmarkEnd w:id="488"/>
      <w:bookmarkEnd w:id="489"/>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本项目建成后年存栏奶牛</w:t>
      </w:r>
      <w:r>
        <w:rPr>
          <w:rFonts w:hint="default" w:ascii="Times New Roman" w:hAnsi="Times New Roman" w:cs="Times New Roman"/>
          <w:snapToGrid w:val="0"/>
          <w:color w:val="auto"/>
          <w:spacing w:val="0"/>
          <w:w w:val="100"/>
          <w:kern w:val="0"/>
          <w:position w:val="0"/>
          <w:sz w:val="24"/>
          <w:szCs w:val="24"/>
          <w:highlight w:val="none"/>
          <w:lang w:val="en-US" w:eastAsia="zh-CN"/>
        </w:rPr>
        <w:t>5</w:t>
      </w:r>
      <w:r>
        <w:rPr>
          <w:rFonts w:hint="default" w:ascii="Times New Roman" w:hAnsi="Times New Roman" w:eastAsia="宋体" w:cs="Times New Roman"/>
          <w:snapToGrid w:val="0"/>
          <w:color w:val="auto"/>
          <w:spacing w:val="0"/>
          <w:w w:val="100"/>
          <w:kern w:val="0"/>
          <w:position w:val="0"/>
          <w:sz w:val="24"/>
          <w:szCs w:val="24"/>
          <w:highlight w:val="none"/>
          <w:lang w:val="en-US" w:eastAsia="zh-CN"/>
        </w:rPr>
        <w:t>000</w:t>
      </w:r>
      <w:r>
        <w:rPr>
          <w:rFonts w:hint="default" w:ascii="Times New Roman" w:hAnsi="Times New Roman" w:eastAsia="宋体" w:cs="Times New Roman"/>
          <w:snapToGrid w:val="0"/>
          <w:color w:val="auto"/>
          <w:spacing w:val="0"/>
          <w:w w:val="100"/>
          <w:kern w:val="0"/>
          <w:position w:val="0"/>
          <w:sz w:val="24"/>
          <w:szCs w:val="24"/>
          <w:highlight w:val="none"/>
          <w:lang w:eastAsia="zh-CN"/>
        </w:rPr>
        <w:t>头</w:t>
      </w:r>
      <w:r>
        <w:rPr>
          <w:rFonts w:hint="default" w:ascii="Times New Roman" w:hAnsi="Times New Roman" w:eastAsia="宋体" w:cs="Times New Roman"/>
          <w:snapToGrid w:val="0"/>
          <w:color w:val="auto"/>
          <w:spacing w:val="0"/>
          <w:w w:val="100"/>
          <w:kern w:val="0"/>
          <w:position w:val="0"/>
          <w:sz w:val="24"/>
          <w:szCs w:val="24"/>
          <w:highlight w:val="none"/>
        </w:rPr>
        <w:t>，其中产奶牛</w:t>
      </w:r>
      <w:r>
        <w:rPr>
          <w:rFonts w:hint="default" w:ascii="Times New Roman" w:hAnsi="Times New Roman" w:cs="Times New Roman"/>
          <w:snapToGrid w:val="0"/>
          <w:color w:val="auto"/>
          <w:spacing w:val="0"/>
          <w:w w:val="100"/>
          <w:kern w:val="0"/>
          <w:position w:val="0"/>
          <w:sz w:val="24"/>
          <w:szCs w:val="24"/>
          <w:highlight w:val="none"/>
          <w:lang w:val="en-US" w:eastAsia="zh-CN"/>
        </w:rPr>
        <w:t>3333</w:t>
      </w:r>
      <w:r>
        <w:rPr>
          <w:rFonts w:hint="default" w:ascii="Times New Roman" w:hAnsi="Times New Roman" w:eastAsia="宋体" w:cs="Times New Roman"/>
          <w:snapToGrid w:val="0"/>
          <w:color w:val="auto"/>
          <w:spacing w:val="0"/>
          <w:w w:val="100"/>
          <w:kern w:val="0"/>
          <w:position w:val="0"/>
          <w:sz w:val="24"/>
          <w:szCs w:val="24"/>
          <w:highlight w:val="none"/>
        </w:rPr>
        <w:t>头，干奶牛</w:t>
      </w:r>
      <w:r>
        <w:rPr>
          <w:rFonts w:hint="default" w:ascii="Times New Roman" w:hAnsi="Times New Roman" w:cs="Times New Roman"/>
          <w:snapToGrid w:val="0"/>
          <w:color w:val="auto"/>
          <w:spacing w:val="0"/>
          <w:w w:val="100"/>
          <w:kern w:val="0"/>
          <w:position w:val="0"/>
          <w:sz w:val="24"/>
          <w:szCs w:val="24"/>
          <w:highlight w:val="none"/>
          <w:lang w:val="en-US" w:eastAsia="zh-CN"/>
        </w:rPr>
        <w:t>667</w:t>
      </w:r>
      <w:r>
        <w:rPr>
          <w:rFonts w:hint="default" w:ascii="Times New Roman" w:hAnsi="Times New Roman" w:eastAsia="宋体" w:cs="Times New Roman"/>
          <w:snapToGrid w:val="0"/>
          <w:color w:val="auto"/>
          <w:spacing w:val="0"/>
          <w:w w:val="100"/>
          <w:kern w:val="0"/>
          <w:position w:val="0"/>
          <w:sz w:val="24"/>
          <w:szCs w:val="24"/>
          <w:highlight w:val="none"/>
        </w:rPr>
        <w:t>头，青年牛</w:t>
      </w:r>
      <w:r>
        <w:rPr>
          <w:rFonts w:hint="default" w:ascii="Times New Roman" w:hAnsi="Times New Roman" w:cs="Times New Roman"/>
          <w:snapToGrid w:val="0"/>
          <w:color w:val="auto"/>
          <w:spacing w:val="0"/>
          <w:w w:val="100"/>
          <w:kern w:val="0"/>
          <w:position w:val="0"/>
          <w:sz w:val="24"/>
          <w:szCs w:val="24"/>
          <w:highlight w:val="none"/>
          <w:lang w:val="en-US" w:eastAsia="zh-CN"/>
        </w:rPr>
        <w:t>333</w:t>
      </w:r>
      <w:r>
        <w:rPr>
          <w:rFonts w:hint="default" w:ascii="Times New Roman" w:hAnsi="Times New Roman" w:eastAsia="宋体" w:cs="Times New Roman"/>
          <w:snapToGrid w:val="0"/>
          <w:color w:val="auto"/>
          <w:spacing w:val="0"/>
          <w:w w:val="100"/>
          <w:kern w:val="0"/>
          <w:position w:val="0"/>
          <w:sz w:val="24"/>
          <w:szCs w:val="24"/>
          <w:highlight w:val="none"/>
        </w:rPr>
        <w:t>头，育成牛</w:t>
      </w:r>
      <w:r>
        <w:rPr>
          <w:rFonts w:hint="default" w:ascii="Times New Roman" w:hAnsi="Times New Roman" w:cs="Times New Roman"/>
          <w:snapToGrid w:val="0"/>
          <w:color w:val="auto"/>
          <w:spacing w:val="0"/>
          <w:w w:val="100"/>
          <w:kern w:val="0"/>
          <w:position w:val="0"/>
          <w:sz w:val="24"/>
          <w:szCs w:val="24"/>
          <w:highlight w:val="none"/>
          <w:lang w:val="en-US" w:eastAsia="zh-CN"/>
        </w:rPr>
        <w:t>167</w:t>
      </w:r>
      <w:r>
        <w:rPr>
          <w:rFonts w:hint="default" w:ascii="Times New Roman" w:hAnsi="Times New Roman" w:eastAsia="宋体" w:cs="Times New Roman"/>
          <w:snapToGrid w:val="0"/>
          <w:color w:val="auto"/>
          <w:spacing w:val="0"/>
          <w:w w:val="100"/>
          <w:kern w:val="0"/>
          <w:position w:val="0"/>
          <w:sz w:val="24"/>
          <w:szCs w:val="24"/>
          <w:highlight w:val="none"/>
        </w:rPr>
        <w:t>头，犊牛</w:t>
      </w:r>
      <w:r>
        <w:rPr>
          <w:rFonts w:hint="default" w:ascii="Times New Roman" w:hAnsi="Times New Roman" w:cs="Times New Roman"/>
          <w:snapToGrid w:val="0"/>
          <w:color w:val="auto"/>
          <w:spacing w:val="0"/>
          <w:w w:val="100"/>
          <w:kern w:val="0"/>
          <w:position w:val="0"/>
          <w:sz w:val="24"/>
          <w:szCs w:val="24"/>
          <w:highlight w:val="none"/>
          <w:lang w:val="en-US" w:eastAsia="zh-CN"/>
        </w:rPr>
        <w:t>167</w:t>
      </w:r>
      <w:r>
        <w:rPr>
          <w:rFonts w:hint="default" w:ascii="Times New Roman" w:hAnsi="Times New Roman" w:eastAsia="宋体" w:cs="Times New Roman"/>
          <w:snapToGrid w:val="0"/>
          <w:color w:val="auto"/>
          <w:spacing w:val="0"/>
          <w:w w:val="100"/>
          <w:kern w:val="0"/>
          <w:position w:val="0"/>
          <w:sz w:val="24"/>
          <w:szCs w:val="24"/>
          <w:highlight w:val="none"/>
        </w:rPr>
        <w:t>头，围产牛</w:t>
      </w:r>
      <w:r>
        <w:rPr>
          <w:rFonts w:hint="default" w:ascii="Times New Roman" w:hAnsi="Times New Roman" w:cs="Times New Roman"/>
          <w:snapToGrid w:val="0"/>
          <w:color w:val="auto"/>
          <w:spacing w:val="0"/>
          <w:w w:val="100"/>
          <w:kern w:val="0"/>
          <w:position w:val="0"/>
          <w:sz w:val="24"/>
          <w:szCs w:val="24"/>
          <w:highlight w:val="none"/>
          <w:lang w:val="en-US" w:eastAsia="zh-CN"/>
        </w:rPr>
        <w:t>333</w:t>
      </w:r>
      <w:r>
        <w:rPr>
          <w:rFonts w:hint="default" w:ascii="Times New Roman" w:hAnsi="Times New Roman" w:eastAsia="宋体" w:cs="Times New Roman"/>
          <w:snapToGrid w:val="0"/>
          <w:color w:val="auto"/>
          <w:spacing w:val="0"/>
          <w:w w:val="100"/>
          <w:kern w:val="0"/>
          <w:position w:val="0"/>
          <w:sz w:val="24"/>
          <w:szCs w:val="24"/>
          <w:highlight w:val="none"/>
        </w:rPr>
        <w:t>头。</w:t>
      </w:r>
      <w:r>
        <w:rPr>
          <w:rFonts w:hint="default" w:ascii="Times New Roman" w:hAnsi="Times New Roman" w:eastAsia="宋体" w:cs="Times New Roman"/>
          <w:color w:val="auto"/>
          <w:spacing w:val="0"/>
          <w:w w:val="100"/>
          <w:kern w:val="0"/>
          <w:position w:val="0"/>
          <w:sz w:val="24"/>
          <w:highlight w:val="none"/>
          <w:lang w:val="zh-CN"/>
        </w:rPr>
        <w:t>年产奶总量为</w:t>
      </w:r>
      <w:r>
        <w:rPr>
          <w:rFonts w:hint="default" w:ascii="Times New Roman" w:hAnsi="Times New Roman" w:cs="Times New Roman"/>
          <w:color w:val="auto"/>
          <w:spacing w:val="0"/>
          <w:w w:val="100"/>
          <w:kern w:val="0"/>
          <w:position w:val="0"/>
          <w:sz w:val="24"/>
          <w:highlight w:val="none"/>
          <w:lang w:val="en-US" w:eastAsia="zh-CN"/>
        </w:rPr>
        <w:t>23</w:t>
      </w:r>
      <w:r>
        <w:rPr>
          <w:rFonts w:hint="default" w:ascii="Times New Roman" w:hAnsi="Times New Roman" w:eastAsia="宋体" w:cs="Times New Roman"/>
          <w:color w:val="auto"/>
          <w:spacing w:val="0"/>
          <w:w w:val="100"/>
          <w:kern w:val="0"/>
          <w:position w:val="0"/>
          <w:sz w:val="24"/>
          <w:highlight w:val="none"/>
          <w:lang w:val="zh-CN"/>
        </w:rPr>
        <w:t>000t，养殖过程饲料总量为</w:t>
      </w:r>
      <w:r>
        <w:rPr>
          <w:rFonts w:hint="default" w:ascii="Times New Roman" w:hAnsi="Times New Roman" w:cs="Times New Roman"/>
          <w:color w:val="auto"/>
          <w:spacing w:val="0"/>
          <w:w w:val="100"/>
          <w:kern w:val="0"/>
          <w:position w:val="0"/>
          <w:sz w:val="24"/>
          <w:highlight w:val="none"/>
          <w:lang w:val="en-US" w:eastAsia="zh-CN"/>
        </w:rPr>
        <w:t>15300</w:t>
      </w:r>
      <w:r>
        <w:rPr>
          <w:rFonts w:hint="default" w:ascii="Times New Roman" w:hAnsi="Times New Roman" w:eastAsia="宋体" w:cs="Times New Roman"/>
          <w:color w:val="auto"/>
          <w:spacing w:val="0"/>
          <w:w w:val="100"/>
          <w:kern w:val="0"/>
          <w:position w:val="0"/>
          <w:sz w:val="24"/>
          <w:highlight w:val="none"/>
          <w:lang w:val="zh-CN"/>
        </w:rPr>
        <w:t>t/a，饲料分为粗饲料和精饲料，粗饲料为青贮、苜蓿、稻草等，精饲料为玉米、棉籽、油饼、菜柏等，本项目采用全混合日粮饲喂（TMR）技术，将粗饲料、精饲料、矿物质、维生素和其他添加剂充分混合后饲喂。</w:t>
      </w:r>
    </w:p>
    <w:p>
      <w:pPr>
        <w:adjustRightInd w:val="0"/>
        <w:snapToGrid w:val="0"/>
        <w:spacing w:line="360" w:lineRule="auto"/>
        <w:ind w:firstLine="480" w:firstLineChars="200"/>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val="zh-CN"/>
        </w:rPr>
        <w:t>本项目粗饲料、精饲料来源主要由周边进行外购，能源主要为水和电。本项目饲料及能源消耗量见表</w:t>
      </w:r>
      <w:r>
        <w:rPr>
          <w:rFonts w:hint="default" w:ascii="Times New Roman" w:hAnsi="Times New Roman" w:eastAsia="宋体" w:cs="Times New Roman"/>
          <w:color w:val="auto"/>
          <w:spacing w:val="0"/>
          <w:w w:val="100"/>
          <w:kern w:val="0"/>
          <w:position w:val="0"/>
          <w:sz w:val="24"/>
          <w:highlight w:val="none"/>
          <w:lang w:val="en-US" w:eastAsia="zh-CN"/>
        </w:rPr>
        <w:t>2.1-5</w:t>
      </w:r>
      <w:r>
        <w:rPr>
          <w:rFonts w:hint="default" w:ascii="Times New Roman" w:hAnsi="Times New Roman" w:eastAsia="宋体" w:cs="Times New Roman"/>
          <w:color w:val="auto"/>
          <w:spacing w:val="0"/>
          <w:w w:val="100"/>
          <w:kern w:val="0"/>
          <w:position w:val="0"/>
          <w:sz w:val="24"/>
          <w:highlight w:val="none"/>
          <w:lang w:val="zh-CN"/>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表2.1-5   主要原辅材料消耗统计表</w:t>
      </w:r>
    </w:p>
    <w:tbl>
      <w:tblPr>
        <w:tblStyle w:val="25"/>
        <w:tblW w:w="9014" w:type="dxa"/>
        <w:jc w:val="center"/>
        <w:tblLayout w:type="fixed"/>
        <w:tblCellMar>
          <w:top w:w="0" w:type="dxa"/>
          <w:left w:w="0" w:type="dxa"/>
          <w:bottom w:w="0" w:type="dxa"/>
          <w:right w:w="0" w:type="dxa"/>
        </w:tblCellMar>
      </w:tblPr>
      <w:tblGrid>
        <w:gridCol w:w="1032"/>
        <w:gridCol w:w="558"/>
        <w:gridCol w:w="510"/>
        <w:gridCol w:w="970"/>
        <w:gridCol w:w="893"/>
        <w:gridCol w:w="1053"/>
        <w:gridCol w:w="1209"/>
        <w:gridCol w:w="2789"/>
      </w:tblGrid>
      <w:tr>
        <w:tblPrEx>
          <w:tblCellMar>
            <w:top w:w="0" w:type="dxa"/>
            <w:left w:w="0" w:type="dxa"/>
            <w:bottom w:w="0" w:type="dxa"/>
            <w:right w:w="0" w:type="dxa"/>
          </w:tblCellMar>
        </w:tblPrEx>
        <w:trPr>
          <w:trHeight w:val="340" w:hRule="atLeast"/>
          <w:jc w:val="center"/>
        </w:trPr>
        <w:tc>
          <w:tcPr>
            <w:tcW w:w="1032" w:type="dxa"/>
            <w:tcBorders>
              <w:top w:val="single" w:color="000000" w:sz="12" w:space="0"/>
              <w:left w:val="single" w:color="000000" w:sz="12"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b/>
                <w:bCs/>
                <w:snapToGrid w:val="0"/>
                <w:color w:val="auto"/>
                <w:spacing w:val="0"/>
                <w:w w:val="100"/>
                <w:kern w:val="0"/>
                <w:position w:val="0"/>
                <w:sz w:val="21"/>
                <w:szCs w:val="21"/>
              </w:rPr>
              <w:t>类别</w:t>
            </w:r>
          </w:p>
        </w:tc>
        <w:tc>
          <w:tcPr>
            <w:tcW w:w="2038" w:type="dxa"/>
            <w:gridSpan w:val="3"/>
            <w:tcBorders>
              <w:top w:val="single" w:color="000000" w:sz="12"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b/>
                <w:bCs/>
                <w:snapToGrid w:val="0"/>
                <w:color w:val="auto"/>
                <w:spacing w:val="0"/>
                <w:w w:val="100"/>
                <w:kern w:val="0"/>
                <w:position w:val="0"/>
                <w:sz w:val="21"/>
                <w:szCs w:val="21"/>
              </w:rPr>
              <w:t>名称</w:t>
            </w:r>
          </w:p>
        </w:tc>
        <w:tc>
          <w:tcPr>
            <w:tcW w:w="893" w:type="dxa"/>
            <w:tcBorders>
              <w:top w:val="single" w:color="000000" w:sz="12"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napToGrid w:val="0"/>
                <w:color w:val="auto"/>
                <w:spacing w:val="0"/>
                <w:w w:val="100"/>
                <w:kern w:val="0"/>
                <w:position w:val="0"/>
                <w:sz w:val="21"/>
                <w:szCs w:val="21"/>
                <w:lang w:eastAsia="zh-CN"/>
              </w:rPr>
            </w:pPr>
            <w:r>
              <w:rPr>
                <w:rFonts w:hint="default" w:ascii="Times New Roman" w:hAnsi="Times New Roman" w:cs="Times New Roman"/>
                <w:b/>
                <w:bCs/>
                <w:snapToGrid w:val="0"/>
                <w:color w:val="auto"/>
                <w:spacing w:val="0"/>
                <w:w w:val="100"/>
                <w:kern w:val="0"/>
                <w:position w:val="0"/>
                <w:sz w:val="21"/>
                <w:szCs w:val="21"/>
                <w:lang w:eastAsia="zh-CN"/>
              </w:rPr>
              <w:t>单位</w:t>
            </w:r>
          </w:p>
        </w:tc>
        <w:tc>
          <w:tcPr>
            <w:tcW w:w="1053" w:type="dxa"/>
            <w:tcBorders>
              <w:top w:val="single" w:color="000000" w:sz="12"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cs="Times New Roman"/>
                <w:b/>
                <w:bCs/>
                <w:snapToGrid w:val="0"/>
                <w:color w:val="auto"/>
                <w:spacing w:val="0"/>
                <w:w w:val="100"/>
                <w:kern w:val="0"/>
                <w:position w:val="0"/>
                <w:sz w:val="21"/>
                <w:szCs w:val="21"/>
                <w:lang w:eastAsia="zh-CN"/>
              </w:rPr>
              <w:t>消耗</w:t>
            </w:r>
            <w:r>
              <w:rPr>
                <w:rFonts w:hint="default" w:ascii="Times New Roman" w:hAnsi="Times New Roman" w:eastAsia="宋体" w:cs="Times New Roman"/>
                <w:b/>
                <w:bCs/>
                <w:snapToGrid w:val="0"/>
                <w:color w:val="auto"/>
                <w:spacing w:val="0"/>
                <w:w w:val="100"/>
                <w:kern w:val="0"/>
                <w:position w:val="0"/>
                <w:sz w:val="21"/>
                <w:szCs w:val="21"/>
              </w:rPr>
              <w:t>量</w:t>
            </w:r>
          </w:p>
        </w:tc>
        <w:tc>
          <w:tcPr>
            <w:tcW w:w="1209" w:type="dxa"/>
            <w:tcBorders>
              <w:top w:val="single" w:color="000000" w:sz="12"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b/>
                <w:bCs/>
                <w:snapToGrid w:val="0"/>
                <w:color w:val="auto"/>
                <w:spacing w:val="0"/>
                <w:w w:val="100"/>
                <w:kern w:val="0"/>
                <w:position w:val="0"/>
                <w:sz w:val="21"/>
                <w:szCs w:val="21"/>
              </w:rPr>
              <w:t>来源</w:t>
            </w:r>
          </w:p>
        </w:tc>
        <w:tc>
          <w:tcPr>
            <w:tcW w:w="2789" w:type="dxa"/>
            <w:tcBorders>
              <w:top w:val="single" w:color="000000" w:sz="12"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b/>
                <w:bCs/>
                <w:snapToGrid w:val="0"/>
                <w:color w:val="auto"/>
                <w:spacing w:val="0"/>
                <w:w w:val="100"/>
                <w:kern w:val="0"/>
                <w:position w:val="0"/>
                <w:sz w:val="21"/>
                <w:szCs w:val="21"/>
              </w:rPr>
              <w:t>备注</w:t>
            </w:r>
          </w:p>
        </w:tc>
      </w:tr>
      <w:tr>
        <w:tblPrEx>
          <w:tblCellMar>
            <w:top w:w="0" w:type="dxa"/>
            <w:left w:w="0" w:type="dxa"/>
            <w:bottom w:w="0" w:type="dxa"/>
            <w:right w:w="0" w:type="dxa"/>
          </w:tblCellMar>
        </w:tblPrEx>
        <w:trPr>
          <w:trHeight w:val="340" w:hRule="atLeast"/>
          <w:jc w:val="center"/>
        </w:trPr>
        <w:tc>
          <w:tcPr>
            <w:tcW w:w="1032" w:type="dxa"/>
            <w:vMerge w:val="restart"/>
            <w:tcBorders>
              <w:top w:val="single" w:color="000000" w:sz="6" w:space="0"/>
              <w:left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饲料</w:t>
            </w: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粗饲料</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38250</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当地采购</w:t>
            </w:r>
          </w:p>
        </w:tc>
        <w:tc>
          <w:tcPr>
            <w:tcW w:w="2789" w:type="dxa"/>
            <w:vMerge w:val="restart"/>
            <w:tcBorders>
              <w:top w:val="single" w:color="000000" w:sz="6" w:space="0"/>
              <w:left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每头牛年均消耗饲料</w:t>
            </w:r>
            <w:r>
              <w:rPr>
                <w:rFonts w:hint="default" w:ascii="Times New Roman" w:hAnsi="Times New Roman" w:eastAsia="Times New Roman" w:cs="Times New Roman"/>
                <w:snapToGrid w:val="0"/>
                <w:color w:val="auto"/>
                <w:spacing w:val="0"/>
                <w:w w:val="100"/>
                <w:kern w:val="0"/>
                <w:position w:val="0"/>
                <w:sz w:val="21"/>
                <w:szCs w:val="21"/>
              </w:rPr>
              <w:t>8.5t</w:t>
            </w:r>
            <w:r>
              <w:rPr>
                <w:rFonts w:hint="default" w:ascii="Times New Roman" w:hAnsi="Times New Roman" w:eastAsia="宋体" w:cs="Times New Roman"/>
                <w:snapToGrid w:val="0"/>
                <w:color w:val="auto"/>
                <w:spacing w:val="0"/>
                <w:w w:val="100"/>
                <w:kern w:val="0"/>
                <w:position w:val="0"/>
                <w:sz w:val="21"/>
                <w:szCs w:val="21"/>
              </w:rPr>
              <w:t>，饲料配比约为：精：粗</w:t>
            </w:r>
            <w:r>
              <w:rPr>
                <w:rFonts w:hint="default" w:ascii="Times New Roman" w:hAnsi="Times New Roman" w:eastAsia="Times New Roman" w:cs="Times New Roman"/>
                <w:snapToGrid w:val="0"/>
                <w:color w:val="auto"/>
                <w:spacing w:val="0"/>
                <w:w w:val="100"/>
                <w:kern w:val="0"/>
                <w:position w:val="0"/>
                <w:sz w:val="21"/>
                <w:szCs w:val="21"/>
              </w:rPr>
              <w:t>=1</w:t>
            </w:r>
            <w:r>
              <w:rPr>
                <w:rFonts w:hint="default" w:ascii="Times New Roman" w:hAnsi="Times New Roman" w:eastAsia="宋体" w:cs="Times New Roman"/>
                <w:snapToGrid w:val="0"/>
                <w:color w:val="auto"/>
                <w:spacing w:val="0"/>
                <w:w w:val="100"/>
                <w:kern w:val="0"/>
                <w:position w:val="0"/>
                <w:sz w:val="21"/>
                <w:szCs w:val="21"/>
              </w:rPr>
              <w:t>：</w:t>
            </w:r>
            <w:r>
              <w:rPr>
                <w:rFonts w:hint="default" w:ascii="Times New Roman" w:hAnsi="Times New Roman" w:eastAsia="Times New Roman" w:cs="Times New Roman"/>
                <w:snapToGrid w:val="0"/>
                <w:color w:val="auto"/>
                <w:spacing w:val="0"/>
                <w:w w:val="100"/>
                <w:kern w:val="0"/>
                <w:position w:val="0"/>
                <w:sz w:val="21"/>
                <w:szCs w:val="21"/>
              </w:rPr>
              <w:t>2</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精饲料</w:t>
            </w:r>
          </w:p>
        </w:tc>
        <w:tc>
          <w:tcPr>
            <w:tcW w:w="89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4250</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当地采购</w:t>
            </w:r>
          </w:p>
        </w:tc>
        <w:tc>
          <w:tcPr>
            <w:tcW w:w="2789" w:type="dxa"/>
            <w:vMerge w:val="continue"/>
            <w:tcBorders>
              <w:left w:val="single" w:color="000000" w:sz="6" w:space="0"/>
              <w:bottom w:val="single" w:color="000000" w:sz="6"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r>
      <w:tr>
        <w:tblPrEx>
          <w:tblCellMar>
            <w:top w:w="0" w:type="dxa"/>
            <w:left w:w="0" w:type="dxa"/>
            <w:bottom w:w="0" w:type="dxa"/>
            <w:right w:w="0" w:type="dxa"/>
          </w:tblCellMar>
        </w:tblPrEx>
        <w:trPr>
          <w:trHeight w:val="340" w:hRule="atLeast"/>
          <w:jc w:val="center"/>
        </w:trPr>
        <w:tc>
          <w:tcPr>
            <w:tcW w:w="1032" w:type="dxa"/>
            <w:vMerge w:val="restart"/>
            <w:tcBorders>
              <w:top w:val="single" w:color="000000" w:sz="6" w:space="0"/>
              <w:left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消毒剂</w:t>
            </w: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生石灰</w:t>
            </w:r>
          </w:p>
        </w:tc>
        <w:tc>
          <w:tcPr>
            <w:tcW w:w="89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eastAsia="zh-CN"/>
              </w:rPr>
            </w:pPr>
            <w:r>
              <w:rPr>
                <w:rFonts w:hint="default" w:ascii="Times New Roman" w:hAnsi="Times New Roman" w:cs="Times New Roman"/>
                <w:snapToGrid w:val="0"/>
                <w:color w:val="auto"/>
                <w:spacing w:val="0"/>
                <w:w w:val="100"/>
                <w:kern w:val="0"/>
                <w:position w:val="0"/>
                <w:sz w:val="21"/>
                <w:szCs w:val="21"/>
                <w:lang w:val="en-US" w:eastAsia="zh-CN"/>
              </w:rPr>
              <w:t>278</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市场采购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eastAsia" w:hAnsi="Times New Roman" w:cs="Times New Roman"/>
                <w:snapToGrid w:val="0"/>
                <w:color w:val="auto"/>
                <w:spacing w:val="0"/>
                <w:w w:val="100"/>
                <w:kern w:val="0"/>
                <w:position w:val="0"/>
                <w:sz w:val="21"/>
                <w:szCs w:val="21"/>
                <w:lang w:eastAsia="zh-CN"/>
              </w:rPr>
              <w:t>牛舍</w:t>
            </w:r>
            <w:r>
              <w:rPr>
                <w:rFonts w:hint="default" w:ascii="Times New Roman" w:hAnsi="Times New Roman" w:eastAsia="宋体" w:cs="Times New Roman"/>
                <w:snapToGrid w:val="0"/>
                <w:color w:val="auto"/>
                <w:spacing w:val="0"/>
                <w:w w:val="100"/>
                <w:kern w:val="0"/>
                <w:position w:val="0"/>
                <w:sz w:val="21"/>
                <w:szCs w:val="21"/>
              </w:rPr>
              <w:t>及运动场等消毒</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二氧化氯</w:t>
            </w:r>
          </w:p>
        </w:tc>
        <w:tc>
          <w:tcPr>
            <w:tcW w:w="89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eastAsia="zh-CN"/>
              </w:rPr>
            </w:pPr>
            <w:r>
              <w:rPr>
                <w:rFonts w:hint="default" w:ascii="Times New Roman" w:hAnsi="Times New Roman" w:cs="Times New Roman"/>
                <w:snapToGrid w:val="0"/>
                <w:color w:val="auto"/>
                <w:spacing w:val="0"/>
                <w:w w:val="100"/>
                <w:kern w:val="0"/>
                <w:position w:val="0"/>
                <w:sz w:val="21"/>
                <w:szCs w:val="21"/>
                <w:lang w:val="en-US" w:eastAsia="zh-CN"/>
              </w:rPr>
              <w:t>15</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市场采购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消毒室进出人员消毒</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澳碘</w:t>
            </w:r>
            <w:r>
              <w:rPr>
                <w:rFonts w:hint="default" w:ascii="Times New Roman" w:hAnsi="Times New Roman" w:eastAsia="Times New Roman" w:cs="Times New Roman"/>
                <w:snapToGrid w:val="0"/>
                <w:color w:val="auto"/>
                <w:spacing w:val="0"/>
                <w:w w:val="100"/>
                <w:kern w:val="0"/>
                <w:position w:val="0"/>
                <w:sz w:val="21"/>
                <w:szCs w:val="21"/>
              </w:rPr>
              <w:t>30</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桶</w:t>
            </w:r>
            <w:r>
              <w:rPr>
                <w:rFonts w:hint="default" w:ascii="Times New Roman" w:hAnsi="Times New Roman" w:eastAsia="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180</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市场采购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牧场与生活区防疫消毒</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奥丽可</w:t>
            </w:r>
          </w:p>
        </w:tc>
        <w:tc>
          <w:tcPr>
            <w:tcW w:w="89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桶</w:t>
            </w:r>
            <w:r>
              <w:rPr>
                <w:rFonts w:hint="default" w:ascii="Times New Roman" w:hAnsi="Times New Roman" w:eastAsia="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eastAsia="zh-CN"/>
              </w:rPr>
            </w:pPr>
            <w:r>
              <w:rPr>
                <w:rFonts w:hint="default" w:ascii="Times New Roman" w:hAnsi="Times New Roman" w:cs="Times New Roman"/>
                <w:snapToGrid w:val="0"/>
                <w:color w:val="auto"/>
                <w:spacing w:val="0"/>
                <w:w w:val="100"/>
                <w:kern w:val="0"/>
                <w:position w:val="0"/>
                <w:sz w:val="21"/>
                <w:szCs w:val="21"/>
                <w:lang w:val="en-US" w:eastAsia="zh-CN"/>
              </w:rPr>
              <w:t>1472</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市场采购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牧场与生活区防疫消毒</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奥洁康</w:t>
            </w:r>
          </w:p>
        </w:tc>
        <w:tc>
          <w:tcPr>
            <w:tcW w:w="89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桶</w:t>
            </w:r>
            <w:r>
              <w:rPr>
                <w:rFonts w:hint="default" w:ascii="Times New Roman" w:hAnsi="Times New Roman" w:eastAsia="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eastAsia="zh-CN"/>
              </w:rPr>
            </w:pPr>
            <w:r>
              <w:rPr>
                <w:rFonts w:hint="default" w:ascii="Times New Roman" w:hAnsi="Times New Roman" w:cs="Times New Roman"/>
                <w:snapToGrid w:val="0"/>
                <w:color w:val="auto"/>
                <w:spacing w:val="0"/>
                <w:w w:val="100"/>
                <w:kern w:val="0"/>
                <w:position w:val="0"/>
                <w:sz w:val="21"/>
                <w:szCs w:val="21"/>
                <w:lang w:val="en-US" w:eastAsia="zh-CN"/>
              </w:rPr>
              <w:t>180</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市场采购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牧场与生活区防疫消毒</w:t>
            </w:r>
          </w:p>
        </w:tc>
      </w:tr>
      <w:tr>
        <w:tblPrEx>
          <w:tblCellMar>
            <w:top w:w="0" w:type="dxa"/>
            <w:left w:w="0" w:type="dxa"/>
            <w:bottom w:w="0" w:type="dxa"/>
            <w:right w:w="0" w:type="dxa"/>
          </w:tblCellMar>
        </w:tblPrEx>
        <w:trPr>
          <w:trHeight w:val="340" w:hRule="atLeast"/>
          <w:jc w:val="center"/>
        </w:trPr>
        <w:tc>
          <w:tcPr>
            <w:tcW w:w="3070" w:type="dxa"/>
            <w:gridSpan w:val="4"/>
            <w:tcBorders>
              <w:top w:val="single" w:color="000000" w:sz="6" w:space="0"/>
              <w:left w:val="single" w:color="000000" w:sz="12"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除臭剂</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55</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当地采购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w:t>
            </w:r>
          </w:p>
        </w:tc>
      </w:tr>
      <w:tr>
        <w:tblPrEx>
          <w:tblCellMar>
            <w:top w:w="0" w:type="dxa"/>
            <w:left w:w="0" w:type="dxa"/>
            <w:bottom w:w="0" w:type="dxa"/>
            <w:right w:w="0" w:type="dxa"/>
          </w:tblCellMar>
        </w:tblPrEx>
        <w:trPr>
          <w:trHeight w:val="340" w:hRule="atLeast"/>
          <w:jc w:val="center"/>
        </w:trPr>
        <w:tc>
          <w:tcPr>
            <w:tcW w:w="3070" w:type="dxa"/>
            <w:gridSpan w:val="4"/>
            <w:tcBorders>
              <w:top w:val="single" w:color="000000" w:sz="6" w:space="0"/>
              <w:left w:val="single" w:color="000000" w:sz="12"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制冷剂</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t</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0.007</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当地采购</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w:t>
            </w:r>
          </w:p>
        </w:tc>
      </w:tr>
      <w:tr>
        <w:tblPrEx>
          <w:tblCellMar>
            <w:top w:w="0" w:type="dxa"/>
            <w:left w:w="0" w:type="dxa"/>
            <w:bottom w:w="0" w:type="dxa"/>
            <w:right w:w="0" w:type="dxa"/>
          </w:tblCellMar>
        </w:tblPrEx>
        <w:trPr>
          <w:trHeight w:val="340" w:hRule="atLeast"/>
          <w:jc w:val="center"/>
        </w:trPr>
        <w:tc>
          <w:tcPr>
            <w:tcW w:w="1032" w:type="dxa"/>
            <w:vMerge w:val="restart"/>
            <w:tcBorders>
              <w:top w:val="single" w:color="000000" w:sz="6" w:space="0"/>
              <w:left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能源</w:t>
            </w:r>
          </w:p>
        </w:tc>
        <w:tc>
          <w:tcPr>
            <w:tcW w:w="2038" w:type="dxa"/>
            <w:gridSpan w:val="3"/>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电</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rPr>
              <w:t>kw·h</w:t>
            </w:r>
            <w:r>
              <w:rPr>
                <w:rFonts w:hint="default" w:ascii="Times New Roman" w:hAnsi="Times New Roman" w:cs="Times New Roman"/>
                <w:snapToGrid w:val="0"/>
                <w:color w:val="auto"/>
                <w:spacing w:val="0"/>
                <w:w w:val="100"/>
                <w:kern w:val="0"/>
                <w:position w:val="0"/>
                <w:sz w:val="21"/>
                <w:szCs w:val="21"/>
                <w:lang w:val="en-US" w:eastAsia="zh-CN"/>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10000020</w:t>
            </w:r>
          </w:p>
        </w:tc>
        <w:tc>
          <w:tcPr>
            <w:tcW w:w="1209"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由</w:t>
            </w:r>
            <w:r>
              <w:rPr>
                <w:rFonts w:hint="default" w:ascii="Times New Roman" w:hAnsi="Times New Roman" w:eastAsia="宋体" w:cs="Times New Roman"/>
                <w:snapToGrid w:val="0"/>
                <w:color w:val="auto"/>
                <w:spacing w:val="0"/>
                <w:w w:val="100"/>
                <w:kern w:val="0"/>
                <w:position w:val="0"/>
                <w:sz w:val="21"/>
                <w:szCs w:val="21"/>
                <w:lang w:val="en-US" w:eastAsia="zh-CN"/>
              </w:rPr>
              <w:t>市政供</w:t>
            </w:r>
            <w:r>
              <w:rPr>
                <w:rFonts w:hint="default" w:ascii="Times New Roman" w:hAnsi="Times New Roman" w:eastAsia="宋体" w:cs="Times New Roman"/>
                <w:snapToGrid w:val="0"/>
                <w:color w:val="auto"/>
                <w:spacing w:val="0"/>
                <w:w w:val="100"/>
                <w:kern w:val="0"/>
                <w:position w:val="0"/>
                <w:sz w:val="21"/>
                <w:szCs w:val="21"/>
              </w:rPr>
              <w:t>电电网接入</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每月耗电量约为</w:t>
            </w:r>
            <w:r>
              <w:rPr>
                <w:rFonts w:hint="default" w:ascii="Times New Roman" w:hAnsi="Times New Roman" w:eastAsia="Times New Roman" w:cs="Times New Roman"/>
                <w:snapToGrid w:val="0"/>
                <w:color w:val="auto"/>
                <w:spacing w:val="0"/>
                <w:w w:val="100"/>
                <w:kern w:val="0"/>
                <w:position w:val="0"/>
                <w:sz w:val="21"/>
                <w:szCs w:val="21"/>
              </w:rPr>
              <w:t>500000kw·h</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restart"/>
            <w:tcBorders>
              <w:top w:val="single" w:color="000000" w:sz="6" w:space="0"/>
              <w:left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新鲜水</w:t>
            </w:r>
          </w:p>
        </w:tc>
        <w:tc>
          <w:tcPr>
            <w:tcW w:w="1480" w:type="dxa"/>
            <w:gridSpan w:val="2"/>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生活用水</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lang w:val="en-US" w:eastAsia="zh-CN"/>
              </w:rPr>
              <w:t>2500</w:t>
            </w:r>
          </w:p>
        </w:tc>
        <w:tc>
          <w:tcPr>
            <w:tcW w:w="1209" w:type="dxa"/>
            <w:vMerge w:val="restart"/>
            <w:tcBorders>
              <w:top w:val="single" w:color="000000" w:sz="6" w:space="0"/>
              <w:left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由</w:t>
            </w:r>
            <w:r>
              <w:rPr>
                <w:rFonts w:hint="default" w:ascii="Times New Roman" w:hAnsi="Times New Roman" w:cs="Times New Roman"/>
                <w:snapToGrid w:val="0"/>
                <w:color w:val="auto"/>
                <w:spacing w:val="0"/>
                <w:w w:val="100"/>
                <w:kern w:val="0"/>
                <w:position w:val="0"/>
                <w:sz w:val="21"/>
                <w:szCs w:val="21"/>
                <w:lang w:eastAsia="zh-CN"/>
              </w:rPr>
              <w:t>下马关镇</w:t>
            </w:r>
            <w:r>
              <w:rPr>
                <w:rFonts w:hint="default" w:ascii="Times New Roman" w:hAnsi="Times New Roman" w:eastAsia="宋体" w:cs="Times New Roman"/>
                <w:snapToGrid w:val="0"/>
                <w:color w:val="auto"/>
                <w:spacing w:val="0"/>
                <w:w w:val="100"/>
                <w:kern w:val="0"/>
                <w:position w:val="0"/>
                <w:sz w:val="21"/>
                <w:szCs w:val="21"/>
              </w:rPr>
              <w:t>供水管网提供</w:t>
            </w: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主要是办公生活用水</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1480" w:type="dxa"/>
            <w:gridSpan w:val="2"/>
            <w:tcBorders>
              <w:top w:val="single" w:color="000000" w:sz="6"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牛降温用水</w:t>
            </w:r>
          </w:p>
        </w:tc>
        <w:tc>
          <w:tcPr>
            <w:tcW w:w="893" w:type="dxa"/>
            <w:tcBorders>
              <w:top w:val="single" w:color="000000" w:sz="6"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rPr>
            </w:pPr>
            <w:r>
              <w:rPr>
                <w:rFonts w:hint="default" w:ascii="Times New Roman" w:hAnsi="Times New Roman" w:cs="Times New Roman"/>
                <w:snapToGrid w:val="0"/>
                <w:color w:val="auto"/>
                <w:spacing w:val="0"/>
                <w:w w:val="100"/>
                <w:kern w:val="0"/>
                <w:position w:val="0"/>
                <w:sz w:val="21"/>
                <w:szCs w:val="21"/>
                <w:lang w:val="en-US" w:eastAsia="zh-CN"/>
              </w:rPr>
              <w:t>4500</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6" w:space="0"/>
              <w:left w:val="single" w:color="000000" w:sz="6"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根据企业提供，在牛只热应激或者夏季气温较高需对奶牛身体进行喷淋降温，包括</w:t>
            </w:r>
            <w:r>
              <w:rPr>
                <w:rFonts w:hint="eastAsia" w:hAnsi="Times New Roman" w:cs="Times New Roman"/>
                <w:snapToGrid w:val="0"/>
                <w:color w:val="auto"/>
                <w:spacing w:val="0"/>
                <w:w w:val="100"/>
                <w:kern w:val="0"/>
                <w:position w:val="0"/>
                <w:sz w:val="21"/>
                <w:szCs w:val="21"/>
                <w:lang w:eastAsia="zh-CN"/>
              </w:rPr>
              <w:t>牛舍</w:t>
            </w:r>
            <w:r>
              <w:rPr>
                <w:rFonts w:hint="default" w:ascii="Times New Roman" w:hAnsi="Times New Roman" w:eastAsia="宋体" w:cs="Times New Roman"/>
                <w:snapToGrid w:val="0"/>
                <w:color w:val="auto"/>
                <w:spacing w:val="0"/>
                <w:w w:val="100"/>
                <w:kern w:val="0"/>
                <w:position w:val="0"/>
                <w:sz w:val="21"/>
                <w:szCs w:val="21"/>
              </w:rPr>
              <w:t>和挤奶厅待挤区的牛，折合喷淋时间为</w:t>
            </w:r>
            <w:r>
              <w:rPr>
                <w:rFonts w:hint="default" w:ascii="Times New Roman" w:hAnsi="Times New Roman" w:eastAsia="Times New Roman" w:cs="Times New Roman"/>
                <w:snapToGrid w:val="0"/>
                <w:color w:val="auto"/>
                <w:spacing w:val="0"/>
                <w:w w:val="100"/>
                <w:kern w:val="0"/>
                <w:position w:val="0"/>
                <w:sz w:val="21"/>
                <w:szCs w:val="21"/>
              </w:rPr>
              <w:t>2</w:t>
            </w:r>
            <w:r>
              <w:rPr>
                <w:rFonts w:hint="default" w:ascii="Times New Roman" w:hAnsi="Times New Roman" w:eastAsia="宋体" w:cs="Times New Roman"/>
                <w:snapToGrid w:val="0"/>
                <w:color w:val="auto"/>
                <w:spacing w:val="0"/>
                <w:w w:val="100"/>
                <w:kern w:val="0"/>
                <w:position w:val="0"/>
                <w:sz w:val="21"/>
                <w:szCs w:val="21"/>
              </w:rPr>
              <w:t>个月（</w:t>
            </w:r>
            <w:r>
              <w:rPr>
                <w:rFonts w:hint="default" w:ascii="Times New Roman" w:hAnsi="Times New Roman" w:eastAsia="Times New Roman" w:cs="Times New Roman"/>
                <w:snapToGrid w:val="0"/>
                <w:color w:val="auto"/>
                <w:spacing w:val="0"/>
                <w:w w:val="100"/>
                <w:kern w:val="0"/>
                <w:position w:val="0"/>
                <w:sz w:val="21"/>
                <w:szCs w:val="21"/>
              </w:rPr>
              <w:t>60d</w:t>
            </w:r>
            <w:r>
              <w:rPr>
                <w:rFonts w:hint="default" w:ascii="Times New Roman" w:hAnsi="Times New Roman" w:eastAsia="宋体" w:cs="Times New Roman"/>
                <w:snapToGrid w:val="0"/>
                <w:color w:val="auto"/>
                <w:spacing w:val="0"/>
                <w:w w:val="100"/>
                <w:kern w:val="0"/>
                <w:position w:val="0"/>
                <w:sz w:val="21"/>
                <w:szCs w:val="21"/>
              </w:rPr>
              <w:t>），用水量约为</w:t>
            </w:r>
            <w:r>
              <w:rPr>
                <w:rFonts w:hint="default" w:ascii="Times New Roman" w:hAnsi="Times New Roman" w:eastAsia="Times New Roman" w:cs="Times New Roman"/>
                <w:snapToGrid w:val="0"/>
                <w:color w:val="auto"/>
                <w:spacing w:val="0"/>
                <w:w w:val="100"/>
                <w:kern w:val="0"/>
                <w:position w:val="0"/>
                <w:sz w:val="21"/>
                <w:szCs w:val="21"/>
              </w:rPr>
              <w:t>75m</w:t>
            </w:r>
            <w:r>
              <w:rPr>
                <w:rFonts w:hint="default" w:ascii="Times New Roman" w:hAnsi="Times New Roman" w:eastAsia="Times New Roman" w:cs="Times New Roman"/>
                <w:snapToGrid w:val="0"/>
                <w:color w:val="auto"/>
                <w:spacing w:val="0"/>
                <w:w w:val="100"/>
                <w:kern w:val="0"/>
                <w:position w:val="0"/>
                <w:sz w:val="21"/>
                <w:szCs w:val="21"/>
                <w:vertAlign w:val="superscript"/>
              </w:rPr>
              <w:t>3</w:t>
            </w:r>
            <w:r>
              <w:rPr>
                <w:rFonts w:hint="default" w:ascii="Times New Roman" w:hAnsi="Times New Roman" w:eastAsia="Times New Roman" w:cs="Times New Roman"/>
                <w:snapToGrid w:val="0"/>
                <w:color w:val="auto"/>
                <w:spacing w:val="0"/>
                <w:w w:val="100"/>
                <w:kern w:val="0"/>
                <w:position w:val="0"/>
                <w:sz w:val="21"/>
                <w:szCs w:val="21"/>
              </w:rPr>
              <w:t>/d</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restart"/>
            <w:tcBorders>
              <w:top w:val="single" w:color="000000" w:sz="4" w:space="0"/>
              <w:left w:val="single" w:color="000000" w:sz="6"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牛饮用水</w:t>
            </w:r>
          </w:p>
        </w:tc>
        <w:tc>
          <w:tcPr>
            <w:tcW w:w="970" w:type="dxa"/>
            <w:tcBorders>
              <w:top w:val="single" w:color="000000" w:sz="4" w:space="0"/>
              <w:left w:val="single" w:color="000000" w:sz="4"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产奶牛</w:t>
            </w:r>
          </w:p>
        </w:tc>
        <w:tc>
          <w:tcPr>
            <w:tcW w:w="89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182481.8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4" w:space="0"/>
              <w:left w:val="single" w:color="000000" w:sz="6"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产奶牛用水量按</w:t>
            </w:r>
            <w:r>
              <w:rPr>
                <w:rFonts w:hint="default" w:ascii="Times New Roman" w:hAnsi="Times New Roman" w:eastAsia="Times New Roman" w:cs="Times New Roman"/>
                <w:snapToGrid w:val="0"/>
                <w:color w:val="auto"/>
                <w:spacing w:val="0"/>
                <w:w w:val="100"/>
                <w:kern w:val="0"/>
                <w:position w:val="0"/>
                <w:sz w:val="21"/>
                <w:szCs w:val="21"/>
              </w:rPr>
              <w:t>150L/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continue"/>
            <w:tcBorders>
              <w:left w:val="single" w:color="000000" w:sz="6" w:space="0"/>
              <w:right w:val="single" w:color="000000" w:sz="4"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970" w:type="dxa"/>
            <w:tcBorders>
              <w:top w:val="single" w:color="000000" w:sz="4" w:space="0"/>
              <w:left w:val="single" w:color="000000" w:sz="4"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干奶牛</w:t>
            </w:r>
          </w:p>
        </w:tc>
        <w:tc>
          <w:tcPr>
            <w:tcW w:w="89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21911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4" w:space="0"/>
              <w:left w:val="single" w:color="000000" w:sz="6"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干奶牛用水量按</w:t>
            </w:r>
            <w:r>
              <w:rPr>
                <w:rFonts w:hint="default" w:ascii="Times New Roman" w:hAnsi="Times New Roman" w:eastAsia="Times New Roman" w:cs="Times New Roman"/>
                <w:snapToGrid w:val="0"/>
                <w:color w:val="auto"/>
                <w:spacing w:val="0"/>
                <w:w w:val="100"/>
                <w:kern w:val="0"/>
                <w:position w:val="0"/>
                <w:sz w:val="21"/>
                <w:szCs w:val="21"/>
              </w:rPr>
              <w:t>90L/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continue"/>
            <w:tcBorders>
              <w:left w:val="single" w:color="000000" w:sz="6" w:space="0"/>
              <w:right w:val="single" w:color="000000" w:sz="4"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970" w:type="dxa"/>
            <w:tcBorders>
              <w:top w:val="single" w:color="000000" w:sz="4" w:space="0"/>
              <w:left w:val="single" w:color="000000" w:sz="4"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青年牛</w:t>
            </w:r>
          </w:p>
        </w:tc>
        <w:tc>
          <w:tcPr>
            <w:tcW w:w="89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4" w:space="0"/>
              <w:left w:val="single" w:color="000000" w:sz="6" w:space="0"/>
              <w:bottom w:val="single" w:color="000000" w:sz="4"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7292.7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4" w:space="0"/>
              <w:left w:val="single" w:color="000000" w:sz="6"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青年牛用水量按</w:t>
            </w:r>
            <w:r>
              <w:rPr>
                <w:rFonts w:hint="default" w:ascii="Times New Roman" w:hAnsi="Times New Roman" w:eastAsia="Times New Roman" w:cs="Times New Roman"/>
                <w:snapToGrid w:val="0"/>
                <w:color w:val="auto"/>
                <w:spacing w:val="0"/>
                <w:w w:val="100"/>
                <w:kern w:val="0"/>
                <w:position w:val="0"/>
                <w:sz w:val="21"/>
                <w:szCs w:val="21"/>
              </w:rPr>
              <w:t>60L/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continue"/>
            <w:tcBorders>
              <w:left w:val="single" w:color="000000" w:sz="6" w:space="0"/>
              <w:right w:val="single" w:color="000000" w:sz="4"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970" w:type="dxa"/>
            <w:tcBorders>
              <w:top w:val="single" w:color="000000" w:sz="4" w:space="0"/>
              <w:left w:val="single" w:color="000000" w:sz="4"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育成牛</w:t>
            </w:r>
          </w:p>
        </w:tc>
        <w:tc>
          <w:tcPr>
            <w:tcW w:w="893" w:type="dxa"/>
            <w:tcBorders>
              <w:top w:val="single" w:color="000000" w:sz="4"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4"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3657.3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4"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育成牛用水量按</w:t>
            </w:r>
            <w:r>
              <w:rPr>
                <w:rFonts w:hint="default" w:ascii="Times New Roman" w:hAnsi="Times New Roman" w:eastAsia="Times New Roman" w:cs="Times New Roman"/>
                <w:snapToGrid w:val="0"/>
                <w:color w:val="auto"/>
                <w:spacing w:val="0"/>
                <w:w w:val="100"/>
                <w:kern w:val="0"/>
                <w:position w:val="0"/>
                <w:sz w:val="21"/>
                <w:szCs w:val="21"/>
              </w:rPr>
              <w:t>60L/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continue"/>
            <w:tcBorders>
              <w:left w:val="single" w:color="000000" w:sz="6" w:space="0"/>
              <w:right w:val="single" w:color="000000" w:sz="4"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970" w:type="dxa"/>
            <w:tcBorders>
              <w:top w:val="single" w:color="000000" w:sz="6" w:space="0"/>
              <w:left w:val="single" w:color="000000" w:sz="4"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犊牛</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1828.7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犊牛用水量按</w:t>
            </w:r>
            <w:r>
              <w:rPr>
                <w:rFonts w:hint="default" w:ascii="Times New Roman" w:hAnsi="Times New Roman" w:eastAsia="Times New Roman" w:cs="Times New Roman"/>
                <w:snapToGrid w:val="0"/>
                <w:color w:val="auto"/>
                <w:spacing w:val="0"/>
                <w:w w:val="100"/>
                <w:kern w:val="0"/>
                <w:position w:val="0"/>
                <w:sz w:val="21"/>
                <w:szCs w:val="21"/>
              </w:rPr>
              <w:t>30L/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10" w:type="dxa"/>
            <w:vMerge w:val="continue"/>
            <w:tcBorders>
              <w:left w:val="single" w:color="000000" w:sz="6" w:space="0"/>
              <w:bottom w:val="single" w:color="000000" w:sz="6" w:space="0"/>
              <w:right w:val="single" w:color="000000" w:sz="4"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970" w:type="dxa"/>
            <w:tcBorders>
              <w:top w:val="single" w:color="000000" w:sz="6" w:space="0"/>
              <w:left w:val="single" w:color="000000" w:sz="4"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围产牛</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zh-CN"/>
              </w:rPr>
            </w:pPr>
            <w:r>
              <w:rPr>
                <w:rFonts w:hint="default" w:ascii="Times New Roman" w:hAnsi="Times New Roman" w:cs="Times New Roman"/>
                <w:snapToGrid w:val="0"/>
                <w:color w:val="auto"/>
                <w:spacing w:val="0"/>
                <w:w w:val="100"/>
                <w:kern w:val="0"/>
                <w:position w:val="0"/>
                <w:sz w:val="21"/>
                <w:szCs w:val="21"/>
                <w:lang w:val="en-US" w:eastAsia="zh-CN"/>
              </w:rPr>
              <w:t xml:space="preserve">10939.1 </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围产牛用水量按</w:t>
            </w:r>
            <w:r>
              <w:rPr>
                <w:rFonts w:hint="default" w:ascii="Times New Roman" w:hAnsi="Times New Roman" w:eastAsia="Times New Roman" w:cs="Times New Roman"/>
                <w:snapToGrid w:val="0"/>
                <w:color w:val="auto"/>
                <w:spacing w:val="0"/>
                <w:w w:val="100"/>
                <w:kern w:val="0"/>
                <w:position w:val="0"/>
                <w:sz w:val="21"/>
                <w:szCs w:val="21"/>
              </w:rPr>
              <w:t>90L/</w:t>
            </w:r>
            <w:r>
              <w:rPr>
                <w:rFonts w:hint="default" w:ascii="Times New Roman" w:hAnsi="Times New Roman" w:eastAsia="宋体" w:cs="Times New Roman"/>
                <w:snapToGrid w:val="0"/>
                <w:color w:val="auto"/>
                <w:spacing w:val="0"/>
                <w:w w:val="100"/>
                <w:kern w:val="0"/>
                <w:position w:val="0"/>
                <w:sz w:val="21"/>
                <w:szCs w:val="21"/>
              </w:rPr>
              <w:t>头</w:t>
            </w:r>
            <w:r>
              <w:rPr>
                <w:rFonts w:hint="default" w:ascii="Times New Roman" w:hAnsi="Times New Roman" w:eastAsia="Times New Roman" w:cs="Times New Roman"/>
                <w:snapToGrid w:val="0"/>
                <w:color w:val="auto"/>
                <w:spacing w:val="0"/>
                <w:w w:val="100"/>
                <w:kern w:val="0"/>
                <w:position w:val="0"/>
                <w:sz w:val="21"/>
                <w:szCs w:val="21"/>
              </w:rPr>
              <w:t>•d</w:t>
            </w:r>
            <w:r>
              <w:rPr>
                <w:rFonts w:hint="default" w:ascii="Times New Roman" w:hAnsi="Times New Roman" w:eastAsia="宋体" w:cs="Times New Roman"/>
                <w:snapToGrid w:val="0"/>
                <w:color w:val="auto"/>
                <w:spacing w:val="0"/>
                <w:w w:val="100"/>
                <w:kern w:val="0"/>
                <w:position w:val="0"/>
                <w:sz w:val="21"/>
                <w:szCs w:val="21"/>
              </w:rPr>
              <w:t>计</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1480" w:type="dxa"/>
            <w:gridSpan w:val="2"/>
            <w:tcBorders>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lang w:val="en-US" w:eastAsia="en-US" w:bidi="ar-SA"/>
              </w:rPr>
            </w:pPr>
            <w:r>
              <w:rPr>
                <w:rFonts w:hint="default" w:ascii="Times New Roman" w:hAnsi="Times New Roman" w:eastAsia="宋体" w:cs="Times New Roman"/>
                <w:snapToGrid w:val="0"/>
                <w:color w:val="auto"/>
                <w:spacing w:val="0"/>
                <w:w w:val="100"/>
                <w:kern w:val="0"/>
                <w:position w:val="0"/>
                <w:sz w:val="21"/>
                <w:szCs w:val="21"/>
              </w:rPr>
              <w:t>清洗用水</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6"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eastAsia="en-US"/>
              </w:rPr>
            </w:pPr>
            <w:r>
              <w:rPr>
                <w:rFonts w:hint="default" w:ascii="Times New Roman" w:hAnsi="Times New Roman" w:cs="Times New Roman"/>
                <w:snapToGrid w:val="0"/>
                <w:color w:val="auto"/>
                <w:spacing w:val="0"/>
                <w:w w:val="100"/>
                <w:kern w:val="0"/>
                <w:position w:val="0"/>
                <w:sz w:val="21"/>
                <w:szCs w:val="21"/>
                <w:lang w:val="en-US" w:eastAsia="zh-CN"/>
              </w:rPr>
              <w:t>54750</w:t>
            </w:r>
          </w:p>
        </w:tc>
        <w:tc>
          <w:tcPr>
            <w:tcW w:w="1209" w:type="dxa"/>
            <w:vMerge w:val="continue"/>
            <w:tcBorders>
              <w:left w:val="single" w:color="000000" w:sz="6"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6" w:space="0"/>
              <w:left w:val="single" w:color="000000" w:sz="6" w:space="0"/>
              <w:bottom w:val="single" w:color="000000" w:sz="6"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本项目清洗用水量约为</w:t>
            </w:r>
            <w:r>
              <w:rPr>
                <w:rFonts w:hint="default" w:ascii="Times New Roman" w:hAnsi="Times New Roman" w:eastAsia="Times New Roman" w:cs="Times New Roman"/>
                <w:snapToGrid w:val="0"/>
                <w:color w:val="auto"/>
                <w:spacing w:val="0"/>
                <w:w w:val="100"/>
                <w:kern w:val="0"/>
                <w:position w:val="0"/>
                <w:sz w:val="21"/>
                <w:szCs w:val="21"/>
              </w:rPr>
              <w:t>90m</w:t>
            </w:r>
            <w:r>
              <w:rPr>
                <w:rFonts w:hint="default" w:ascii="Times New Roman" w:hAnsi="Times New Roman" w:eastAsia="Times New Roman" w:cs="Times New Roman"/>
                <w:snapToGrid w:val="0"/>
                <w:color w:val="auto"/>
                <w:spacing w:val="0"/>
                <w:w w:val="100"/>
                <w:kern w:val="0"/>
                <w:position w:val="0"/>
                <w:sz w:val="21"/>
                <w:szCs w:val="21"/>
                <w:vertAlign w:val="superscript"/>
              </w:rPr>
              <w:t>3</w:t>
            </w:r>
            <w:r>
              <w:rPr>
                <w:rFonts w:hint="default" w:ascii="Times New Roman" w:hAnsi="Times New Roman" w:eastAsia="Times New Roman" w:cs="Times New Roman"/>
                <w:snapToGrid w:val="0"/>
                <w:color w:val="auto"/>
                <w:spacing w:val="0"/>
                <w:w w:val="100"/>
                <w:kern w:val="0"/>
                <w:position w:val="0"/>
                <w:sz w:val="21"/>
                <w:szCs w:val="21"/>
              </w:rPr>
              <w:t>/d</w:t>
            </w:r>
          </w:p>
        </w:tc>
      </w:tr>
      <w:tr>
        <w:tblPrEx>
          <w:tblCellMar>
            <w:top w:w="0" w:type="dxa"/>
            <w:left w:w="0" w:type="dxa"/>
            <w:bottom w:w="0" w:type="dxa"/>
            <w:right w:w="0" w:type="dxa"/>
          </w:tblCellMar>
        </w:tblPrEx>
        <w:trPr>
          <w:trHeight w:val="340" w:hRule="atLeast"/>
          <w:jc w:val="center"/>
        </w:trPr>
        <w:tc>
          <w:tcPr>
            <w:tcW w:w="1032" w:type="dxa"/>
            <w:vMerge w:val="continue"/>
            <w:tcBorders>
              <w:left w:val="single" w:color="000000" w:sz="12" w:space="0"/>
              <w:bottom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558" w:type="dxa"/>
            <w:vMerge w:val="continue"/>
            <w:tcBorders>
              <w:left w:val="single" w:color="000000" w:sz="6" w:space="0"/>
              <w:bottom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1480" w:type="dxa"/>
            <w:gridSpan w:val="2"/>
            <w:tcBorders>
              <w:top w:val="single" w:color="000000" w:sz="6" w:space="0"/>
              <w:left w:val="single" w:color="000000" w:sz="6" w:space="0"/>
              <w:bottom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绿化用水</w:t>
            </w:r>
          </w:p>
        </w:tc>
        <w:tc>
          <w:tcPr>
            <w:tcW w:w="893" w:type="dxa"/>
            <w:tcBorders>
              <w:top w:val="single" w:color="000000" w:sz="6" w:space="0"/>
              <w:left w:val="single" w:color="000000" w:sz="6" w:space="0"/>
              <w:bottom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r>
              <w:rPr>
                <w:rFonts w:hint="default" w:ascii="Times New Roman" w:hAnsi="Times New Roman" w:cs="Times New Roman"/>
                <w:snapToGrid w:val="0"/>
                <w:color w:val="auto"/>
                <w:spacing w:val="0"/>
                <w:w w:val="100"/>
                <w:kern w:val="0"/>
                <w:position w:val="0"/>
                <w:sz w:val="21"/>
                <w:szCs w:val="21"/>
              </w:rPr>
              <w:t>m</w:t>
            </w:r>
            <w:r>
              <w:rPr>
                <w:rFonts w:hint="default" w:ascii="Times New Roman" w:hAnsi="Times New Roman" w:cs="Times New Roman"/>
                <w:snapToGrid w:val="0"/>
                <w:color w:val="auto"/>
                <w:spacing w:val="0"/>
                <w:w w:val="100"/>
                <w:kern w:val="0"/>
                <w:position w:val="0"/>
                <w:sz w:val="21"/>
                <w:szCs w:val="21"/>
                <w:vertAlign w:val="superscript"/>
              </w:rPr>
              <w:t>3</w:t>
            </w:r>
            <w:r>
              <w:rPr>
                <w:rFonts w:hint="default" w:ascii="Times New Roman" w:hAnsi="Times New Roman" w:cs="Times New Roman"/>
                <w:snapToGrid w:val="0"/>
                <w:color w:val="auto"/>
                <w:spacing w:val="0"/>
                <w:w w:val="100"/>
                <w:kern w:val="0"/>
                <w:position w:val="0"/>
                <w:sz w:val="21"/>
                <w:szCs w:val="21"/>
              </w:rPr>
              <w:t>/a</w:t>
            </w:r>
          </w:p>
        </w:tc>
        <w:tc>
          <w:tcPr>
            <w:tcW w:w="1053" w:type="dxa"/>
            <w:tcBorders>
              <w:top w:val="single" w:color="000000" w:sz="6" w:space="0"/>
              <w:left w:val="single" w:color="000000" w:sz="6" w:space="0"/>
              <w:bottom w:val="single" w:color="000000" w:sz="12" w:space="0"/>
              <w:right w:val="single" w:color="000000" w:sz="6"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lang w:val="en-US"/>
              </w:rPr>
            </w:pPr>
            <w:r>
              <w:rPr>
                <w:rFonts w:hint="eastAsia" w:hAnsi="Times New Roman" w:cs="Times New Roman"/>
                <w:snapToGrid w:val="0"/>
                <w:color w:val="auto"/>
                <w:spacing w:val="0"/>
                <w:w w:val="100"/>
                <w:kern w:val="0"/>
                <w:position w:val="0"/>
                <w:sz w:val="21"/>
                <w:szCs w:val="21"/>
                <w:lang w:val="en-US" w:eastAsia="zh-CN"/>
              </w:rPr>
              <w:t>240</w:t>
            </w:r>
          </w:p>
        </w:tc>
        <w:tc>
          <w:tcPr>
            <w:tcW w:w="1209" w:type="dxa"/>
            <w:vMerge w:val="continue"/>
            <w:tcBorders>
              <w:left w:val="single" w:color="000000" w:sz="6" w:space="0"/>
              <w:bottom w:val="single" w:color="000000" w:sz="12" w:space="0"/>
              <w:right w:val="single" w:color="000000" w:sz="6"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kern w:val="0"/>
                <w:position w:val="0"/>
                <w:sz w:val="21"/>
                <w:szCs w:val="21"/>
              </w:rPr>
            </w:pPr>
          </w:p>
        </w:tc>
        <w:tc>
          <w:tcPr>
            <w:tcW w:w="2789" w:type="dxa"/>
            <w:tcBorders>
              <w:top w:val="single" w:color="000000" w:sz="6" w:space="0"/>
              <w:left w:val="single" w:color="000000" w:sz="6" w:space="0"/>
              <w:bottom w:val="single" w:color="000000" w:sz="12"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厂区绿化面积为</w:t>
            </w:r>
            <w:r>
              <w:rPr>
                <w:rFonts w:hint="eastAsia" w:hAnsi="Times New Roman" w:eastAsia="宋体" w:cs="Times New Roman"/>
                <w:snapToGrid w:val="0"/>
                <w:color w:val="auto"/>
                <w:spacing w:val="0"/>
                <w:w w:val="100"/>
                <w:kern w:val="0"/>
                <w:position w:val="0"/>
                <w:sz w:val="21"/>
                <w:szCs w:val="21"/>
                <w:lang w:val="en-US" w:eastAsia="zh-CN"/>
              </w:rPr>
              <w:t>20</w:t>
            </w:r>
            <w:r>
              <w:rPr>
                <w:rFonts w:hint="default" w:ascii="Times New Roman" w:hAnsi="Times New Roman" w:eastAsia="Times New Roman" w:cs="Times New Roman"/>
                <w:snapToGrid w:val="0"/>
                <w:color w:val="auto"/>
                <w:spacing w:val="0"/>
                <w:w w:val="100"/>
                <w:kern w:val="0"/>
                <w:position w:val="0"/>
                <w:sz w:val="21"/>
                <w:szCs w:val="21"/>
              </w:rPr>
              <w:t>0m</w:t>
            </w:r>
            <w:r>
              <w:rPr>
                <w:rFonts w:hint="default" w:ascii="Times New Roman" w:hAnsi="Times New Roman" w:eastAsia="Times New Roman" w:cs="Times New Roman"/>
                <w:snapToGrid w:val="0"/>
                <w:color w:val="auto"/>
                <w:spacing w:val="0"/>
                <w:w w:val="100"/>
                <w:kern w:val="0"/>
                <w:position w:val="0"/>
                <w:sz w:val="21"/>
                <w:szCs w:val="21"/>
                <w:vertAlign w:val="superscript"/>
              </w:rPr>
              <w:t>2</w:t>
            </w:r>
            <w:r>
              <w:rPr>
                <w:rFonts w:hint="default" w:ascii="Times New Roman" w:hAnsi="Times New Roman" w:eastAsia="宋体" w:cs="Times New Roman"/>
                <w:snapToGrid w:val="0"/>
                <w:color w:val="auto"/>
                <w:spacing w:val="0"/>
                <w:w w:val="100"/>
                <w:kern w:val="0"/>
                <w:position w:val="0"/>
                <w:sz w:val="21"/>
                <w:szCs w:val="21"/>
              </w:rPr>
              <w:t>，绿化用水标准按</w:t>
            </w:r>
            <w:r>
              <w:rPr>
                <w:rFonts w:hint="default" w:ascii="Times New Roman" w:hAnsi="Times New Roman" w:eastAsia="Times New Roman" w:cs="Times New Roman"/>
                <w:snapToGrid w:val="0"/>
                <w:color w:val="auto"/>
                <w:spacing w:val="0"/>
                <w:w w:val="100"/>
                <w:kern w:val="0"/>
                <w:position w:val="0"/>
                <w:sz w:val="21"/>
                <w:szCs w:val="21"/>
              </w:rPr>
              <w:t>2</w:t>
            </w:r>
            <w:r>
              <w:rPr>
                <w:rFonts w:hint="eastAsia" w:hAnsi="Times New Roman" w:eastAsia="宋体" w:cs="Times New Roman"/>
                <w:snapToGrid w:val="0"/>
                <w:color w:val="auto"/>
                <w:spacing w:val="0"/>
                <w:w w:val="100"/>
                <w:kern w:val="0"/>
                <w:position w:val="0"/>
                <w:sz w:val="21"/>
                <w:szCs w:val="21"/>
                <w:lang w:val="en-US" w:eastAsia="zh-CN"/>
              </w:rPr>
              <w:t>m</w:t>
            </w:r>
            <w:r>
              <w:rPr>
                <w:rFonts w:hint="eastAsia" w:hAnsi="Times New Roman" w:eastAsia="宋体" w:cs="Times New Roman"/>
                <w:snapToGrid w:val="0"/>
                <w:color w:val="auto"/>
                <w:spacing w:val="0"/>
                <w:w w:val="100"/>
                <w:kern w:val="0"/>
                <w:position w:val="0"/>
                <w:sz w:val="21"/>
                <w:szCs w:val="21"/>
                <w:vertAlign w:val="superscript"/>
                <w:lang w:val="en-US" w:eastAsia="zh-CN"/>
              </w:rPr>
              <w:t>3</w:t>
            </w:r>
            <w:r>
              <w:rPr>
                <w:rFonts w:hint="default" w:ascii="Times New Roman" w:hAnsi="Times New Roman" w:eastAsia="Times New Roman" w:cs="Times New Roman"/>
                <w:snapToGrid w:val="0"/>
                <w:color w:val="auto"/>
                <w:spacing w:val="0"/>
                <w:w w:val="100"/>
                <w:kern w:val="0"/>
                <w:position w:val="0"/>
                <w:sz w:val="21"/>
                <w:szCs w:val="21"/>
              </w:rPr>
              <w:t>/m</w:t>
            </w:r>
            <w:r>
              <w:rPr>
                <w:rFonts w:hint="default" w:ascii="Times New Roman" w:hAnsi="Times New Roman" w:eastAsia="Times New Roman" w:cs="Times New Roman"/>
                <w:snapToGrid w:val="0"/>
                <w:color w:val="auto"/>
                <w:spacing w:val="0"/>
                <w:w w:val="100"/>
                <w:kern w:val="0"/>
                <w:position w:val="0"/>
                <w:sz w:val="21"/>
                <w:szCs w:val="21"/>
                <w:vertAlign w:val="superscript"/>
              </w:rPr>
              <w:t>2</w:t>
            </w:r>
            <w:r>
              <w:rPr>
                <w:rFonts w:hint="default" w:ascii="Times New Roman" w:hAnsi="Times New Roman" w:eastAsia="宋体" w:cs="Times New Roman"/>
                <w:snapToGrid w:val="0"/>
                <w:color w:val="auto"/>
                <w:spacing w:val="0"/>
                <w:w w:val="100"/>
                <w:kern w:val="0"/>
                <w:position w:val="0"/>
                <w:sz w:val="21"/>
                <w:szCs w:val="21"/>
                <w:lang w:val="en-US" w:eastAsia="zh-CN"/>
              </w:rPr>
              <w:t>·</w:t>
            </w:r>
            <w:r>
              <w:rPr>
                <w:rFonts w:hint="eastAsia" w:hAnsi="Times New Roman" w:eastAsia="宋体" w:cs="Times New Roman"/>
                <w:snapToGrid w:val="0"/>
                <w:color w:val="auto"/>
                <w:spacing w:val="0"/>
                <w:w w:val="100"/>
                <w:kern w:val="0"/>
                <w:position w:val="0"/>
                <w:sz w:val="21"/>
                <w:szCs w:val="21"/>
                <w:lang w:val="en-US" w:eastAsia="zh-CN"/>
              </w:rPr>
              <w:t>a</w:t>
            </w:r>
            <w:r>
              <w:rPr>
                <w:rFonts w:hint="default" w:ascii="Times New Roman" w:hAnsi="Times New Roman" w:eastAsia="宋体" w:cs="Times New Roman"/>
                <w:snapToGrid w:val="0"/>
                <w:color w:val="auto"/>
                <w:spacing w:val="0"/>
                <w:w w:val="100"/>
                <w:kern w:val="0"/>
                <w:position w:val="0"/>
                <w:sz w:val="21"/>
                <w:szCs w:val="21"/>
              </w:rPr>
              <w:t>计</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90" w:name="_Toc30283"/>
      <w:bookmarkStart w:id="491" w:name="_Toc17816"/>
      <w:bookmarkStart w:id="492" w:name="_Toc7533"/>
      <w:bookmarkStart w:id="493" w:name="_Toc27861"/>
      <w:bookmarkStart w:id="494" w:name="_Toc28529"/>
      <w:bookmarkStart w:id="495" w:name="_Toc30587"/>
      <w:bookmarkStart w:id="496" w:name="_Toc32614"/>
      <w:bookmarkStart w:id="497" w:name="_Toc4603"/>
      <w:r>
        <w:rPr>
          <w:rFonts w:hint="default" w:ascii="Times New Roman" w:hAnsi="Times New Roman" w:eastAsia="宋体" w:cs="Times New Roman"/>
          <w:snapToGrid w:val="0"/>
          <w:color w:val="auto"/>
          <w:spacing w:val="0"/>
          <w:w w:val="100"/>
          <w:kern w:val="0"/>
          <w:position w:val="0"/>
          <w:sz w:val="28"/>
          <w:szCs w:val="28"/>
          <w:highlight w:val="none"/>
          <w:lang w:val="en-US" w:eastAsia="zh-CN"/>
        </w:rPr>
        <w:t>2.1.5主要生产设备</w:t>
      </w:r>
      <w:bookmarkEnd w:id="490"/>
      <w:bookmarkEnd w:id="491"/>
      <w:bookmarkEnd w:id="492"/>
      <w:bookmarkEnd w:id="493"/>
      <w:bookmarkEnd w:id="494"/>
      <w:bookmarkEnd w:id="495"/>
      <w:bookmarkEnd w:id="496"/>
      <w:bookmarkEnd w:id="497"/>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表2.1-6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本项目养殖主要生产设备一览表</w:t>
      </w:r>
    </w:p>
    <w:tbl>
      <w:tblPr>
        <w:tblStyle w:val="25"/>
        <w:tblW w:w="8798" w:type="dxa"/>
        <w:tblInd w:w="99" w:type="dxa"/>
        <w:tblLayout w:type="fixed"/>
        <w:tblCellMar>
          <w:top w:w="0" w:type="dxa"/>
          <w:left w:w="0" w:type="dxa"/>
          <w:bottom w:w="0" w:type="dxa"/>
          <w:right w:w="0" w:type="dxa"/>
        </w:tblCellMar>
      </w:tblPr>
      <w:tblGrid>
        <w:gridCol w:w="677"/>
        <w:gridCol w:w="2235"/>
        <w:gridCol w:w="3255"/>
        <w:gridCol w:w="1018"/>
        <w:gridCol w:w="1613"/>
      </w:tblGrid>
      <w:tr>
        <w:trPr>
          <w:trHeight w:val="380" w:hRule="exact"/>
        </w:trPr>
        <w:tc>
          <w:tcPr>
            <w:tcW w:w="677" w:type="dxa"/>
            <w:tcBorders>
              <w:top w:val="single" w:color="000000" w:sz="12"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序</w:t>
            </w:r>
            <w:r>
              <w:rPr>
                <w:rFonts w:hint="default" w:ascii="Times New Roman" w:hAnsi="Times New Roman" w:eastAsia="宋体" w:cs="Times New Roman"/>
                <w:b/>
                <w:bCs/>
                <w:color w:val="auto"/>
                <w:sz w:val="21"/>
                <w:szCs w:val="21"/>
              </w:rPr>
              <w:t>号</w:t>
            </w:r>
          </w:p>
        </w:tc>
        <w:tc>
          <w:tcPr>
            <w:tcW w:w="2235" w:type="dxa"/>
            <w:tcBorders>
              <w:top w:val="single" w:color="000000" w:sz="12"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设备名称</w:t>
            </w:r>
          </w:p>
        </w:tc>
        <w:tc>
          <w:tcPr>
            <w:tcW w:w="3255" w:type="dxa"/>
            <w:tcBorders>
              <w:top w:val="single" w:color="000000" w:sz="12"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设备参数、型号</w:t>
            </w:r>
          </w:p>
        </w:tc>
        <w:tc>
          <w:tcPr>
            <w:tcW w:w="1018" w:type="dxa"/>
            <w:tcBorders>
              <w:top w:val="single" w:color="000000" w:sz="12"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数</w:t>
            </w:r>
            <w:r>
              <w:rPr>
                <w:rFonts w:hint="default" w:ascii="Times New Roman" w:hAnsi="Times New Roman" w:eastAsia="宋体" w:cs="Times New Roman"/>
                <w:b/>
                <w:bCs/>
                <w:color w:val="auto"/>
                <w:sz w:val="21"/>
                <w:szCs w:val="21"/>
              </w:rPr>
              <w:t>量</w:t>
            </w:r>
          </w:p>
        </w:tc>
        <w:tc>
          <w:tcPr>
            <w:tcW w:w="1613" w:type="dxa"/>
            <w:tcBorders>
              <w:top w:val="single" w:color="000000" w:sz="12" w:space="0"/>
              <w:left w:val="single" w:color="000000" w:sz="4"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备</w:t>
            </w:r>
            <w:r>
              <w:rPr>
                <w:rFonts w:hint="default" w:ascii="Times New Roman" w:hAnsi="Times New Roman" w:eastAsia="宋体" w:cs="Times New Roman"/>
                <w:b/>
                <w:bCs/>
                <w:color w:val="auto"/>
                <w:sz w:val="21"/>
                <w:szCs w:val="21"/>
              </w:rPr>
              <w:t>注</w:t>
            </w: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8121" w:type="dxa"/>
            <w:gridSpan w:val="4"/>
            <w:tcBorders>
              <w:top w:val="single" w:color="000000" w:sz="4" w:space="0"/>
              <w:left w:val="single" w:color="000000" w:sz="4"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饲料区</w:t>
            </w: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搅拌日粮车</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套</w:t>
            </w:r>
          </w:p>
        </w:tc>
        <w:tc>
          <w:tcPr>
            <w:tcW w:w="1613" w:type="dxa"/>
            <w:vMerge w:val="restart"/>
            <w:tcBorders>
              <w:top w:val="single" w:color="000000" w:sz="4" w:space="0"/>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搅拌添料车</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辆</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粉碎机</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拌料机</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5t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推料机</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装载车</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3辆</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三轮车</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辆</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磅秤</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121" w:type="dxa"/>
            <w:gridSpan w:val="4"/>
            <w:tcBorders>
              <w:top w:val="single" w:color="000000" w:sz="4" w:space="0"/>
              <w:left w:val="single" w:color="000000" w:sz="4"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养殖区</w:t>
            </w: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旋耕机</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辆</w:t>
            </w:r>
          </w:p>
        </w:tc>
        <w:tc>
          <w:tcPr>
            <w:tcW w:w="1613" w:type="dxa"/>
            <w:vMerge w:val="restart"/>
            <w:tcBorders>
              <w:top w:val="single" w:color="000000" w:sz="4" w:space="0"/>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旋卧床机</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辆</w:t>
            </w: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制冷罐</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2套</w:t>
            </w: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电动车</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3辆</w:t>
            </w: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挤奶设备</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2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topLinePunct w:val="0"/>
              <w:bidi w:val="0"/>
              <w:adjustRightInd w:val="0"/>
              <w:snapToGrid w:val="0"/>
              <w:ind w:right="0" w:firstLine="0" w:firstLineChars="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SA"/>
              </w:rPr>
              <w:t>空气能设备</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2套</w:t>
            </w: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并列式挤奶机组</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2×28位</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速冷装置</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613" w:type="dxa"/>
            <w:vMerge w:val="continue"/>
            <w:tcBorders>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储奶罐</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rPr>
              <w:t>25t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4个</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检验设备</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防疫消毒设备</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配种及医疗设备</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奶牛信息管理系统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清粪车</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2台</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8121" w:type="dxa"/>
            <w:gridSpan w:val="4"/>
            <w:tcBorders>
              <w:top w:val="single" w:color="000000" w:sz="4" w:space="0"/>
              <w:left w:val="single" w:color="000000" w:sz="4" w:space="0"/>
              <w:bottom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污水处理区</w:t>
            </w:r>
          </w:p>
        </w:tc>
      </w:tr>
      <w:tr>
        <w:trPr>
          <w:trHeight w:val="405"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污水提升泵</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Q=4.5m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/h，H=8m，W=0.65kW</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613" w:type="dxa"/>
            <w:vMerge w:val="restart"/>
            <w:tcBorders>
              <w:top w:val="single" w:color="000000" w:sz="4" w:space="0"/>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调节池</w:t>
            </w: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空气搅拌装置</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YGJB-50</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污水提升泵</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Q=4.5m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/h，H=8m，W=0.65kW</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电磁流量计</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0-50m</w:t>
            </w:r>
            <w:r>
              <w:rPr>
                <w:rFonts w:hint="default" w:ascii="Times New Roman" w:hAnsi="Times New Roman" w:eastAsia="宋体" w:cs="Times New Roman"/>
                <w:color w:val="auto"/>
                <w:spacing w:val="-1"/>
                <w:sz w:val="21"/>
                <w:szCs w:val="21"/>
                <w:vertAlign w:val="superscript"/>
                <w:lang w:val="en-US" w:eastAsia="zh-CN"/>
              </w:rPr>
              <w:t>3</w:t>
            </w:r>
            <w:r>
              <w:rPr>
                <w:rFonts w:hint="default" w:ascii="Times New Roman" w:hAnsi="Times New Roman" w:eastAsia="宋体" w:cs="Times New Roman"/>
                <w:color w:val="auto"/>
                <w:spacing w:val="-1"/>
                <w:sz w:val="21"/>
                <w:szCs w:val="21"/>
              </w:rPr>
              <w:t>/h</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加热盘管</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导流装置</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vMerge w:val="restart"/>
            <w:tcBorders>
              <w:top w:val="single" w:color="000000" w:sz="4" w:space="0"/>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混凝沉淀池</w:t>
            </w: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PAC</w:t>
            </w:r>
            <w:r>
              <w:rPr>
                <w:rFonts w:hint="default" w:ascii="Times New Roman" w:hAnsi="Times New Roman" w:eastAsia="宋体" w:cs="Times New Roman"/>
                <w:color w:val="auto"/>
                <w:sz w:val="21"/>
                <w:szCs w:val="21"/>
              </w:rPr>
              <w:t>投加系统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PAM</w:t>
            </w:r>
            <w:r>
              <w:rPr>
                <w:rFonts w:hint="default" w:ascii="Times New Roman" w:hAnsi="Times New Roman" w:eastAsia="宋体" w:cs="Times New Roman"/>
                <w:color w:val="auto"/>
                <w:sz w:val="21"/>
                <w:szCs w:val="21"/>
              </w:rPr>
              <w:t>投加系统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排泥系统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634"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生物填料</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填料高度：3.0m，材质：塑料和</w:t>
            </w: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醛化纤维，中心绳为纤维绳</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83m</w:t>
            </w:r>
            <w:r>
              <w:rPr>
                <w:rFonts w:hint="default" w:ascii="Times New Roman" w:hAnsi="Times New Roman" w:eastAsia="宋体" w:cs="Times New Roman"/>
                <w:color w:val="auto"/>
                <w:sz w:val="21"/>
                <w:szCs w:val="21"/>
                <w:vertAlign w:val="superscript"/>
                <w:lang w:val="en-US" w:eastAsia="zh-CN"/>
              </w:rPr>
              <w:t>3</w:t>
            </w:r>
          </w:p>
        </w:tc>
        <w:tc>
          <w:tcPr>
            <w:tcW w:w="1613" w:type="dxa"/>
            <w:vMerge w:val="restart"/>
            <w:tcBorders>
              <w:top w:val="single" w:color="000000" w:sz="4" w:space="0"/>
              <w:left w:val="single" w:color="000000" w:sz="4"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厌氧反应池</w:t>
            </w: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11</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填料支架</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碳钢防腐</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28m</w:t>
            </w:r>
            <w:r>
              <w:rPr>
                <w:rFonts w:hint="default" w:ascii="Times New Roman" w:hAnsi="Times New Roman" w:eastAsia="宋体" w:cs="Times New Roman"/>
                <w:color w:val="auto"/>
                <w:sz w:val="21"/>
                <w:szCs w:val="21"/>
                <w:vertAlign w:val="superscript"/>
                <w:lang w:val="en-US" w:eastAsia="zh-CN"/>
              </w:rPr>
              <w:t>2</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CellMar>
            <w:top w:w="0" w:type="dxa"/>
            <w:left w:w="0" w:type="dxa"/>
            <w:bottom w:w="0" w:type="dxa"/>
            <w:right w:w="0" w:type="dxa"/>
          </w:tblCellMar>
        </w:tblPrEx>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布水系统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22" w:hRule="exact"/>
        </w:trPr>
        <w:tc>
          <w:tcPr>
            <w:tcW w:w="677" w:type="dxa"/>
            <w:tcBorders>
              <w:top w:val="single" w:color="000000" w:sz="4" w:space="0"/>
              <w:left w:val="single" w:color="000000" w:sz="12"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23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排泥系统</w:t>
            </w:r>
          </w:p>
        </w:tc>
        <w:tc>
          <w:tcPr>
            <w:tcW w:w="3255"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613" w:type="dxa"/>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rPr>
          <w:trHeight w:val="337" w:hRule="exact"/>
        </w:trPr>
        <w:tc>
          <w:tcPr>
            <w:tcW w:w="677" w:type="dxa"/>
            <w:tcBorders>
              <w:top w:val="single" w:color="000000" w:sz="4" w:space="0"/>
              <w:left w:val="single" w:color="000000" w:sz="12" w:space="0"/>
              <w:bottom w:val="single" w:color="000000" w:sz="12"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w:t>
            </w:r>
          </w:p>
        </w:tc>
        <w:tc>
          <w:tcPr>
            <w:tcW w:w="2235" w:type="dxa"/>
            <w:tcBorders>
              <w:top w:val="single" w:color="000000" w:sz="4" w:space="0"/>
              <w:left w:val="single" w:color="000000" w:sz="4" w:space="0"/>
              <w:bottom w:val="single" w:color="000000" w:sz="12"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潜水搅拌机</w:t>
            </w:r>
          </w:p>
        </w:tc>
        <w:tc>
          <w:tcPr>
            <w:tcW w:w="3255" w:type="dxa"/>
            <w:tcBorders>
              <w:top w:val="single" w:color="000000" w:sz="4" w:space="0"/>
              <w:left w:val="single" w:color="000000" w:sz="4" w:space="0"/>
              <w:bottom w:val="single" w:color="000000" w:sz="12"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QJB1.5</w:t>
            </w:r>
          </w:p>
        </w:tc>
        <w:tc>
          <w:tcPr>
            <w:tcW w:w="1018" w:type="dxa"/>
            <w:tcBorders>
              <w:top w:val="single" w:color="000000" w:sz="4" w:space="0"/>
              <w:left w:val="single" w:color="000000" w:sz="4" w:space="0"/>
              <w:bottom w:val="single" w:color="000000" w:sz="12" w:space="0"/>
              <w:right w:val="single" w:color="000000" w:sz="4"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613" w:type="dxa"/>
            <w:tcBorders>
              <w:top w:val="single" w:color="000000" w:sz="4" w:space="0"/>
              <w:left w:val="single" w:color="000000" w:sz="4" w:space="0"/>
              <w:bottom w:val="single" w:color="000000" w:sz="12" w:space="0"/>
              <w:right w:val="single" w:color="000000" w:sz="12" w:space="0"/>
            </w:tcBorders>
            <w:vAlign w:val="center"/>
          </w:tcPr>
          <w:p>
            <w:pPr>
              <w:pStyle w:val="39"/>
              <w:keepNext w:val="0"/>
              <w:keepLines w:val="0"/>
              <w:pageBreakBefore w:val="0"/>
              <w:widowControl w:val="0"/>
              <w:kinsoku/>
              <w:wordWrap/>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A/O</w:t>
            </w:r>
            <w:r>
              <w:rPr>
                <w:rFonts w:hint="default" w:ascii="Times New Roman" w:hAnsi="Times New Roman" w:eastAsia="宋体" w:cs="Times New Roman"/>
                <w:color w:val="auto"/>
                <w:sz w:val="21"/>
                <w:szCs w:val="21"/>
              </w:rPr>
              <w:t>反应池</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498" w:name="_Toc32291"/>
      <w:bookmarkStart w:id="499" w:name="_Toc3801"/>
      <w:bookmarkStart w:id="500" w:name="_Toc30363"/>
      <w:bookmarkStart w:id="501" w:name="_Toc14062"/>
      <w:bookmarkStart w:id="502" w:name="_Toc32131"/>
      <w:bookmarkStart w:id="503" w:name="_Toc6102"/>
      <w:bookmarkStart w:id="504" w:name="_Toc28941"/>
      <w:bookmarkStart w:id="505" w:name="_Toc19922"/>
      <w:r>
        <w:rPr>
          <w:rFonts w:hint="default" w:ascii="Times New Roman" w:hAnsi="Times New Roman" w:eastAsia="宋体" w:cs="Times New Roman"/>
          <w:snapToGrid w:val="0"/>
          <w:color w:val="auto"/>
          <w:spacing w:val="0"/>
          <w:w w:val="100"/>
          <w:kern w:val="0"/>
          <w:position w:val="0"/>
          <w:sz w:val="28"/>
          <w:szCs w:val="28"/>
          <w:highlight w:val="none"/>
          <w:lang w:val="en-US" w:eastAsia="zh-CN"/>
        </w:rPr>
        <w:t>2.1.6总平面布置</w:t>
      </w:r>
      <w:bookmarkEnd w:id="498"/>
      <w:bookmarkEnd w:id="499"/>
      <w:bookmarkEnd w:id="500"/>
      <w:bookmarkEnd w:id="501"/>
      <w:bookmarkEnd w:id="502"/>
      <w:bookmarkEnd w:id="503"/>
      <w:bookmarkEnd w:id="504"/>
      <w:bookmarkEnd w:id="50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bookmarkStart w:id="506" w:name="_Toc12560"/>
      <w:r>
        <w:rPr>
          <w:rFonts w:hint="default" w:ascii="Times New Roman" w:hAnsi="Times New Roman" w:eastAsia="宋体" w:cs="Times New Roman"/>
          <w:snapToGrid w:val="0"/>
          <w:color w:val="auto"/>
          <w:spacing w:val="0"/>
          <w:w w:val="100"/>
          <w:kern w:val="0"/>
          <w:position w:val="0"/>
          <w:sz w:val="24"/>
          <w:szCs w:val="32"/>
          <w:highlight w:val="none"/>
        </w:rPr>
        <w:t>本项目建设地点位于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snapToGrid w:val="0"/>
          <w:color w:val="auto"/>
          <w:spacing w:val="0"/>
          <w:w w:val="100"/>
          <w:kern w:val="0"/>
          <w:position w:val="0"/>
          <w:sz w:val="24"/>
          <w:szCs w:val="32"/>
          <w:highlight w:val="none"/>
        </w:rPr>
        <w:t>，总平面布置根据养殖场各组成部门的性质、使用功能和卫生要求等因素，将性质相同、功能相近、联系密切、对环境要求相对一致的建筑物、构筑物及设施，分为若干组并结合用地的具体条件，进行功能分区，主要分为养殖区、生活管理区、辅助生产区、粪污处理区四大区。</w:t>
      </w:r>
    </w:p>
    <w:p>
      <w:pPr>
        <w:pStyle w:val="16"/>
        <w:keepNext w:val="0"/>
        <w:keepLines w:val="0"/>
        <w:pageBreakBefore w:val="0"/>
        <w:widowControl w:val="0"/>
        <w:numPr>
          <w:ilvl w:val="0"/>
          <w:numId w:val="0"/>
        </w:numPr>
        <w:tabs>
          <w:tab w:val="clear" w:pos="4153"/>
          <w:tab w:val="clear" w:pos="8306"/>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begin"/>
      </w:r>
      <w:r>
        <w:rPr>
          <w:rFonts w:hint="default" w:ascii="Times New Roman" w:hAnsi="Times New Roman" w:eastAsia="宋体" w:cs="Times New Roman"/>
          <w:snapToGrid w:val="0"/>
          <w:color w:val="auto"/>
          <w:spacing w:val="0"/>
          <w:w w:val="100"/>
          <w:kern w:val="0"/>
          <w:position w:val="0"/>
          <w:sz w:val="24"/>
          <w:szCs w:val="32"/>
          <w:highlight w:val="none"/>
          <w:lang w:val="en-US" w:eastAsia="zh-CN"/>
        </w:rPr>
        <w:instrText xml:space="preserve"> = 1 \* GB2 \* MERGEFORMAT </w:instrTex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separate"/>
      </w:r>
      <w:r>
        <w:rPr>
          <w:rFonts w:hint="default" w:ascii="Times New Roman" w:hAnsi="Times New Roman" w:eastAsia="宋体" w:cs="Times New Roman"/>
          <w:snapToGrid w:val="0"/>
          <w:color w:val="auto"/>
          <w:spacing w:val="0"/>
          <w:w w:val="100"/>
          <w:kern w:val="0"/>
          <w:position w:val="0"/>
          <w:sz w:val="24"/>
          <w:szCs w:val="32"/>
          <w:highlight w:val="none"/>
        </w:rPr>
        <w:t>⑴</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end"/>
      </w:r>
      <w:r>
        <w:rPr>
          <w:rFonts w:hint="default" w:ascii="Times New Roman" w:hAnsi="Times New Roman" w:eastAsia="宋体" w:cs="Times New Roman"/>
          <w:snapToGrid w:val="0"/>
          <w:color w:val="auto"/>
          <w:spacing w:val="0"/>
          <w:w w:val="100"/>
          <w:kern w:val="0"/>
          <w:position w:val="0"/>
          <w:sz w:val="24"/>
          <w:szCs w:val="32"/>
          <w:highlight w:val="none"/>
        </w:rPr>
        <w:t>养殖区：养殖区位于整个场区中部，</w:t>
      </w:r>
      <w:r>
        <w:rPr>
          <w:rFonts w:hint="default" w:ascii="Times New Roman" w:hAnsi="Times New Roman" w:eastAsia="宋体" w:cs="Times New Roman"/>
          <w:snapToGrid w:val="0"/>
          <w:color w:val="auto"/>
          <w:spacing w:val="0"/>
          <w:w w:val="100"/>
          <w:kern w:val="0"/>
          <w:position w:val="0"/>
          <w:sz w:val="24"/>
          <w:szCs w:val="32"/>
          <w:highlight w:val="none"/>
          <w:lang w:eastAsia="zh-CN"/>
        </w:rPr>
        <w:t>共设置标准化牛</w:t>
      </w:r>
      <w:r>
        <w:rPr>
          <w:rFonts w:hint="eastAsia" w:ascii="Times New Roman" w:hAnsi="Times New Roman" w:cs="Times New Roman"/>
          <w:snapToGrid w:val="0"/>
          <w:color w:val="auto"/>
          <w:spacing w:val="0"/>
          <w:w w:val="100"/>
          <w:kern w:val="0"/>
          <w:position w:val="0"/>
          <w:sz w:val="24"/>
          <w:szCs w:val="32"/>
          <w:highlight w:val="none"/>
          <w:lang w:eastAsia="zh-CN"/>
        </w:rPr>
        <w:t>舍</w:t>
      </w:r>
      <w:r>
        <w:rPr>
          <w:rFonts w:hint="eastAsia" w:ascii="Times New Roman" w:hAnsi="Times New Roman" w:cs="Times New Roman"/>
          <w:snapToGrid w:val="0"/>
          <w:color w:val="auto"/>
          <w:spacing w:val="0"/>
          <w:w w:val="100"/>
          <w:kern w:val="0"/>
          <w:position w:val="0"/>
          <w:sz w:val="24"/>
          <w:szCs w:val="32"/>
          <w:highlight w:val="none"/>
          <w:lang w:val="en-US" w:eastAsia="zh-CN"/>
        </w:rPr>
        <w:t>10</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座，其中奶牛舍2栋、青年牛舍2栋、产牛舍1栋、犊牛舍2栋、怀犊牛舍3栋。</w:t>
      </w:r>
      <w:r>
        <w:rPr>
          <w:rFonts w:hint="eastAsia" w:ascii="Times New Roman" w:hAnsi="Times New Roman" w:cs="Times New Roman"/>
          <w:snapToGrid w:val="0"/>
          <w:color w:val="auto"/>
          <w:spacing w:val="0"/>
          <w:w w:val="100"/>
          <w:kern w:val="0"/>
          <w:position w:val="0"/>
          <w:sz w:val="24"/>
          <w:szCs w:val="32"/>
          <w:highlight w:val="none"/>
          <w:lang w:val="en-US" w:eastAsia="zh-CN"/>
        </w:rPr>
        <w:t>厂区共设置2座挤奶厅，在场区中部和东部各设置1座挤奶厅。</w:t>
      </w:r>
      <w:r>
        <w:rPr>
          <w:rFonts w:hint="default" w:ascii="Times New Roman" w:hAnsi="Times New Roman" w:eastAsia="宋体" w:cs="Times New Roman"/>
          <w:snapToGrid w:val="0"/>
          <w:color w:val="auto"/>
          <w:spacing w:val="0"/>
          <w:w w:val="100"/>
          <w:kern w:val="0"/>
          <w:position w:val="0"/>
          <w:sz w:val="24"/>
          <w:szCs w:val="32"/>
          <w:highlight w:val="none"/>
          <w:lang w:eastAsia="zh-CN"/>
        </w:rPr>
        <w:t>牛场</w:t>
      </w:r>
      <w:r>
        <w:rPr>
          <w:rFonts w:hint="default" w:ascii="Times New Roman" w:hAnsi="Times New Roman" w:eastAsia="宋体" w:cs="Times New Roman"/>
          <w:snapToGrid w:val="0"/>
          <w:color w:val="auto"/>
          <w:spacing w:val="0"/>
          <w:w w:val="100"/>
          <w:kern w:val="0"/>
          <w:position w:val="0"/>
          <w:sz w:val="24"/>
          <w:szCs w:val="32"/>
          <w:highlight w:val="none"/>
        </w:rPr>
        <w:t>整体布局设净道（即牛群周转、饲养员行走、场内运送饲料的专用道路）与污道（即粪便等废弃物、淘汰牛出场的道路），污道在下风向，雨水和污水分开。</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(2)辅助生产区：建设有</w:t>
      </w:r>
      <w:r>
        <w:rPr>
          <w:rFonts w:hint="default" w:ascii="Times New Roman" w:hAnsi="Times New Roman" w:eastAsia="宋体" w:cs="Times New Roman"/>
          <w:snapToGrid w:val="0"/>
          <w:color w:val="auto"/>
          <w:spacing w:val="0"/>
          <w:w w:val="100"/>
          <w:kern w:val="0"/>
          <w:position w:val="0"/>
          <w:sz w:val="24"/>
          <w:szCs w:val="32"/>
          <w:highlight w:val="none"/>
          <w:lang w:eastAsia="zh-CN"/>
        </w:rPr>
        <w:t>草料棚</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eastAsia="zh-CN"/>
        </w:rPr>
        <w:t>饲料库、青贮池，</w:t>
      </w:r>
      <w:r>
        <w:rPr>
          <w:rFonts w:hint="default" w:ascii="Times New Roman" w:hAnsi="Times New Roman" w:eastAsia="宋体" w:cs="Times New Roman"/>
          <w:snapToGrid w:val="0"/>
          <w:color w:val="auto"/>
          <w:spacing w:val="0"/>
          <w:w w:val="100"/>
          <w:kern w:val="0"/>
          <w:position w:val="0"/>
          <w:sz w:val="24"/>
          <w:szCs w:val="32"/>
          <w:highlight w:val="none"/>
        </w:rPr>
        <w:t>整体位于场区</w:t>
      </w:r>
      <w:r>
        <w:rPr>
          <w:rFonts w:hint="default" w:ascii="Times New Roman" w:hAnsi="Times New Roman" w:cs="Times New Roman"/>
          <w:snapToGrid w:val="0"/>
          <w:color w:val="auto"/>
          <w:spacing w:val="0"/>
          <w:w w:val="100"/>
          <w:kern w:val="0"/>
          <w:position w:val="0"/>
          <w:sz w:val="24"/>
          <w:szCs w:val="32"/>
          <w:highlight w:val="none"/>
          <w:lang w:eastAsia="zh-CN"/>
        </w:rPr>
        <w:t>西</w:t>
      </w:r>
      <w:r>
        <w:rPr>
          <w:rFonts w:hint="default" w:ascii="Times New Roman" w:hAnsi="Times New Roman" w:eastAsia="宋体" w:cs="Times New Roman"/>
          <w:snapToGrid w:val="0"/>
          <w:color w:val="auto"/>
          <w:spacing w:val="0"/>
          <w:w w:val="100"/>
          <w:kern w:val="0"/>
          <w:position w:val="0"/>
          <w:sz w:val="24"/>
          <w:szCs w:val="32"/>
          <w:highlight w:val="none"/>
        </w:rPr>
        <w:t>侧。</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(3)粪污处理区：</w:t>
      </w:r>
      <w:r>
        <w:rPr>
          <w:rFonts w:hint="default" w:ascii="Times New Roman" w:hAnsi="Times New Roman" w:eastAsia="宋体" w:cs="Times New Roman"/>
          <w:snapToGrid w:val="0"/>
          <w:color w:val="auto"/>
          <w:spacing w:val="0"/>
          <w:w w:val="100"/>
          <w:kern w:val="0"/>
          <w:position w:val="0"/>
          <w:sz w:val="24"/>
          <w:szCs w:val="32"/>
          <w:highlight w:val="none"/>
          <w:lang w:eastAsia="zh-CN"/>
        </w:rPr>
        <w:t>场区</w:t>
      </w:r>
      <w:r>
        <w:rPr>
          <w:rFonts w:hint="default" w:ascii="Times New Roman" w:hAnsi="Times New Roman" w:cs="Times New Roman"/>
          <w:snapToGrid w:val="0"/>
          <w:color w:val="auto"/>
          <w:spacing w:val="0"/>
          <w:w w:val="100"/>
          <w:kern w:val="0"/>
          <w:position w:val="0"/>
          <w:sz w:val="24"/>
          <w:szCs w:val="32"/>
          <w:highlight w:val="none"/>
          <w:lang w:eastAsia="zh-CN"/>
        </w:rPr>
        <w:t>东</w:t>
      </w:r>
      <w:r>
        <w:rPr>
          <w:rFonts w:hint="default" w:ascii="Times New Roman" w:hAnsi="Times New Roman" w:eastAsia="宋体" w:cs="Times New Roman"/>
          <w:snapToGrid w:val="0"/>
          <w:color w:val="auto"/>
          <w:spacing w:val="0"/>
          <w:w w:val="100"/>
          <w:kern w:val="0"/>
          <w:position w:val="0"/>
          <w:sz w:val="24"/>
          <w:szCs w:val="32"/>
          <w:highlight w:val="none"/>
          <w:lang w:eastAsia="zh-CN"/>
        </w:rPr>
        <w:t>南角设置</w:t>
      </w:r>
      <w:r>
        <w:rPr>
          <w:rFonts w:hint="default" w:ascii="Times New Roman" w:hAnsi="Times New Roman" w:cs="Times New Roman"/>
          <w:snapToGrid w:val="0"/>
          <w:color w:val="auto"/>
          <w:spacing w:val="0"/>
          <w:w w:val="100"/>
          <w:kern w:val="0"/>
          <w:position w:val="0"/>
          <w:sz w:val="24"/>
          <w:szCs w:val="32"/>
          <w:highlight w:val="none"/>
          <w:lang w:val="en-US" w:eastAsia="zh-CN"/>
        </w:rPr>
        <w:t>1座污水处理站、1座氧化塘和1</w:t>
      </w:r>
      <w:r>
        <w:rPr>
          <w:rFonts w:hint="default" w:ascii="Times New Roman" w:hAnsi="Times New Roman" w:eastAsia="宋体" w:cs="Times New Roman"/>
          <w:snapToGrid w:val="0"/>
          <w:color w:val="auto"/>
          <w:spacing w:val="0"/>
          <w:w w:val="100"/>
          <w:kern w:val="0"/>
          <w:position w:val="0"/>
          <w:sz w:val="24"/>
          <w:szCs w:val="32"/>
          <w:highlight w:val="none"/>
          <w:lang w:eastAsia="zh-CN"/>
        </w:rPr>
        <w:t>座</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，处于项目生活管理区的</w:t>
      </w:r>
      <w:r>
        <w:rPr>
          <w:rFonts w:hint="default" w:ascii="Times New Roman" w:hAnsi="Times New Roman" w:eastAsia="宋体" w:cs="Times New Roman"/>
          <w:snapToGrid w:val="0"/>
          <w:color w:val="auto"/>
          <w:spacing w:val="0"/>
          <w:w w:val="100"/>
          <w:kern w:val="0"/>
          <w:position w:val="0"/>
          <w:sz w:val="24"/>
          <w:szCs w:val="32"/>
          <w:highlight w:val="none"/>
          <w:lang w:eastAsia="zh-CN"/>
        </w:rPr>
        <w:t>侧</w:t>
      </w:r>
      <w:r>
        <w:rPr>
          <w:rFonts w:hint="default" w:ascii="Times New Roman" w:hAnsi="Times New Roman" w:eastAsia="宋体" w:cs="Times New Roman"/>
          <w:snapToGrid w:val="0"/>
          <w:color w:val="auto"/>
          <w:spacing w:val="0"/>
          <w:w w:val="100"/>
          <w:kern w:val="0"/>
          <w:position w:val="0"/>
          <w:sz w:val="24"/>
          <w:szCs w:val="32"/>
          <w:highlight w:val="none"/>
        </w:rPr>
        <w:t>风向</w:t>
      </w:r>
      <w:r>
        <w:rPr>
          <w:rFonts w:hint="default" w:ascii="Times New Roman" w:hAnsi="Times New Roman" w:eastAsia="宋体" w:cs="Times New Roman"/>
          <w:snapToGrid w:val="0"/>
          <w:color w:val="auto"/>
          <w:spacing w:val="0"/>
          <w:w w:val="100"/>
          <w:kern w:val="0"/>
          <w:position w:val="0"/>
          <w:sz w:val="24"/>
          <w:szCs w:val="32"/>
          <w:highlight w:val="none"/>
          <w:lang w:eastAsia="zh-CN"/>
        </w:rPr>
        <w:t>，养殖区的</w:t>
      </w:r>
      <w:r>
        <w:rPr>
          <w:rFonts w:hint="eastAsia" w:ascii="Times New Roman" w:hAnsi="Times New Roman" w:cs="Times New Roman"/>
          <w:snapToGrid w:val="0"/>
          <w:color w:val="auto"/>
          <w:spacing w:val="0"/>
          <w:w w:val="100"/>
          <w:kern w:val="0"/>
          <w:position w:val="0"/>
          <w:sz w:val="24"/>
          <w:szCs w:val="32"/>
          <w:highlight w:val="none"/>
          <w:lang w:eastAsia="zh-CN"/>
        </w:rPr>
        <w:t>侧</w:t>
      </w:r>
      <w:r>
        <w:rPr>
          <w:rFonts w:hint="default" w:ascii="Times New Roman" w:hAnsi="Times New Roman" w:eastAsia="宋体" w:cs="Times New Roman"/>
          <w:snapToGrid w:val="0"/>
          <w:color w:val="auto"/>
          <w:spacing w:val="0"/>
          <w:w w:val="100"/>
          <w:kern w:val="0"/>
          <w:position w:val="0"/>
          <w:sz w:val="24"/>
          <w:szCs w:val="32"/>
          <w:highlight w:val="none"/>
          <w:lang w:eastAsia="zh-CN"/>
        </w:rPr>
        <w:t>向</w:t>
      </w:r>
      <w:r>
        <w:rPr>
          <w:rFonts w:hint="default" w:ascii="Times New Roman" w:hAnsi="Times New Roman" w:eastAsia="宋体" w:cs="Times New Roman"/>
          <w:snapToGrid w:val="0"/>
          <w:color w:val="auto"/>
          <w:spacing w:val="0"/>
          <w:w w:val="100"/>
          <w:kern w:val="0"/>
          <w:position w:val="0"/>
          <w:sz w:val="24"/>
          <w:szCs w:val="32"/>
          <w:highlight w:val="none"/>
        </w:rPr>
        <w:t>(项目所在区域主导风向为</w:t>
      </w:r>
      <w:r>
        <w:rPr>
          <w:rFonts w:hint="eastAsia" w:ascii="Times New Roman" w:hAnsi="Times New Roman" w:cs="Times New Roman"/>
          <w:snapToGrid w:val="0"/>
          <w:color w:val="auto"/>
          <w:spacing w:val="0"/>
          <w:w w:val="100"/>
          <w:kern w:val="0"/>
          <w:position w:val="0"/>
          <w:sz w:val="24"/>
          <w:szCs w:val="32"/>
          <w:highlight w:val="none"/>
          <w:lang w:val="en-US" w:eastAsia="zh-CN"/>
        </w:rPr>
        <w:t>S</w:t>
      </w:r>
      <w:r>
        <w:rPr>
          <w:rFonts w:hint="default" w:ascii="Times New Roman" w:hAnsi="Times New Roman" w:eastAsia="宋体" w:cs="Times New Roman"/>
          <w:snapToGrid w:val="0"/>
          <w:color w:val="auto"/>
          <w:spacing w:val="0"/>
          <w:w w:val="100"/>
          <w:kern w:val="0"/>
          <w:position w:val="0"/>
          <w:sz w:val="24"/>
          <w:szCs w:val="32"/>
          <w:highlight w:val="none"/>
        </w:rPr>
        <w:t>)，有效防止了恶臭气体对于项目生活管理区的影响。项目使用</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对粪便进行临时贮存</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highlight w:val="none"/>
          <w:lang w:eastAsia="zh-CN"/>
        </w:rPr>
        <w:t>项目</w:t>
      </w:r>
      <w:r>
        <w:rPr>
          <w:rFonts w:hint="default" w:ascii="Times New Roman" w:hAnsi="Times New Roman" w:eastAsia="宋体" w:cs="Times New Roman"/>
          <w:color w:val="auto"/>
          <w:spacing w:val="0"/>
          <w:w w:val="100"/>
          <w:kern w:val="0"/>
          <w:position w:val="0"/>
          <w:sz w:val="24"/>
          <w:highlight w:val="none"/>
          <w:lang w:val="en-US" w:eastAsia="zh-CN"/>
        </w:rPr>
        <w:t>5km范围内无地表水体</w:t>
      </w:r>
      <w:r>
        <w:rPr>
          <w:rFonts w:hint="default" w:ascii="Times New Roman" w:hAnsi="Times New Roman" w:eastAsia="宋体" w:cs="Times New Roman"/>
          <w:snapToGrid w:val="0"/>
          <w:color w:val="auto"/>
          <w:spacing w:val="0"/>
          <w:w w:val="100"/>
          <w:kern w:val="0"/>
          <w:position w:val="0"/>
          <w:sz w:val="24"/>
          <w:szCs w:val="32"/>
          <w:highlight w:val="none"/>
        </w:rPr>
        <w:t>，因此项目</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能够满足《畜禽养殖业污染防治技术规范》（HJ/T81-2001）中：</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snapToGrid w:val="0"/>
          <w:color w:val="auto"/>
          <w:spacing w:val="0"/>
          <w:w w:val="100"/>
          <w:kern w:val="0"/>
          <w:position w:val="0"/>
          <w:sz w:val="24"/>
          <w:szCs w:val="32"/>
          <w:highlight w:val="none"/>
        </w:rPr>
        <w:t>5畜禽粪便的贮存/</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5.2</w:t>
      </w:r>
      <w:r>
        <w:rPr>
          <w:rFonts w:hint="default" w:ascii="Times New Roman" w:hAnsi="Times New Roman" w:eastAsia="宋体" w:cs="Times New Roman"/>
          <w:snapToGrid w:val="0"/>
          <w:color w:val="auto"/>
          <w:spacing w:val="0"/>
          <w:w w:val="100"/>
          <w:kern w:val="0"/>
          <w:position w:val="0"/>
          <w:sz w:val="24"/>
          <w:szCs w:val="32"/>
          <w:highlight w:val="none"/>
        </w:rPr>
        <w:t>：贮存设施的位置必须远离各类功能地表水体（距离不得小于</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400</w:t>
      </w:r>
      <w:r>
        <w:rPr>
          <w:rFonts w:hint="default" w:ascii="Times New Roman" w:hAnsi="Times New Roman" w:eastAsia="宋体" w:cs="Times New Roman"/>
          <w:snapToGrid w:val="0"/>
          <w:color w:val="auto"/>
          <w:spacing w:val="0"/>
          <w:w w:val="100"/>
          <w:kern w:val="0"/>
          <w:position w:val="0"/>
          <w:sz w:val="24"/>
          <w:szCs w:val="32"/>
          <w:highlight w:val="none"/>
        </w:rPr>
        <w:t>m），并应设在养殖场生产及生活管理区的常年主导风向的下风向或侧风向处</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snapToGrid w:val="0"/>
          <w:color w:val="auto"/>
          <w:spacing w:val="0"/>
          <w:w w:val="100"/>
          <w:kern w:val="0"/>
          <w:position w:val="0"/>
          <w:sz w:val="24"/>
          <w:szCs w:val="32"/>
          <w:highlight w:val="none"/>
        </w:rPr>
        <w:t>的规定。</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lang w:eastAsia="zh-CN"/>
        </w:rPr>
      </w:pPr>
      <w:r>
        <w:rPr>
          <w:rFonts w:hint="default" w:ascii="Times New Roman" w:hAnsi="Times New Roman" w:eastAsia="宋体" w:cs="Times New Roman"/>
          <w:snapToGrid w:val="0"/>
          <w:color w:val="auto"/>
          <w:spacing w:val="0"/>
          <w:w w:val="100"/>
          <w:kern w:val="0"/>
          <w:position w:val="0"/>
          <w:sz w:val="24"/>
          <w:szCs w:val="32"/>
          <w:highlight w:val="none"/>
        </w:rPr>
        <w:t>(4)生活管理区：建设有办公</w:t>
      </w:r>
      <w:r>
        <w:rPr>
          <w:rFonts w:hint="default" w:ascii="Times New Roman" w:hAnsi="Times New Roman" w:eastAsia="宋体" w:cs="Times New Roman"/>
          <w:snapToGrid w:val="0"/>
          <w:color w:val="auto"/>
          <w:spacing w:val="0"/>
          <w:w w:val="100"/>
          <w:kern w:val="0"/>
          <w:position w:val="0"/>
          <w:sz w:val="24"/>
          <w:szCs w:val="32"/>
          <w:highlight w:val="none"/>
          <w:lang w:eastAsia="zh-CN"/>
        </w:rPr>
        <w:t>楼</w:t>
      </w:r>
      <w:r>
        <w:rPr>
          <w:rFonts w:hint="default" w:ascii="Times New Roman" w:hAnsi="Times New Roman" w:eastAsia="宋体" w:cs="Times New Roman"/>
          <w:snapToGrid w:val="0"/>
          <w:color w:val="auto"/>
          <w:spacing w:val="0"/>
          <w:w w:val="100"/>
          <w:kern w:val="0"/>
          <w:position w:val="0"/>
          <w:sz w:val="24"/>
          <w:szCs w:val="32"/>
          <w:highlight w:val="none"/>
        </w:rPr>
        <w:t>及</w:t>
      </w:r>
      <w:r>
        <w:rPr>
          <w:rFonts w:hint="default" w:ascii="Times New Roman" w:hAnsi="Times New Roman" w:eastAsia="宋体" w:cs="Times New Roman"/>
          <w:snapToGrid w:val="0"/>
          <w:color w:val="auto"/>
          <w:spacing w:val="0"/>
          <w:w w:val="100"/>
          <w:kern w:val="0"/>
          <w:position w:val="0"/>
          <w:sz w:val="24"/>
          <w:szCs w:val="32"/>
          <w:highlight w:val="none"/>
          <w:lang w:eastAsia="zh-CN"/>
        </w:rPr>
        <w:t>辅助用房</w:t>
      </w:r>
      <w:r>
        <w:rPr>
          <w:rFonts w:hint="default" w:ascii="Times New Roman" w:hAnsi="Times New Roman" w:eastAsia="宋体" w:cs="Times New Roman"/>
          <w:snapToGrid w:val="0"/>
          <w:color w:val="auto"/>
          <w:spacing w:val="0"/>
          <w:w w:val="100"/>
          <w:kern w:val="0"/>
          <w:position w:val="0"/>
          <w:sz w:val="24"/>
          <w:szCs w:val="32"/>
          <w:highlight w:val="none"/>
        </w:rPr>
        <w:t>，整体位于场区</w:t>
      </w:r>
      <w:r>
        <w:rPr>
          <w:rFonts w:hint="default" w:ascii="Times New Roman" w:hAnsi="Times New Roman" w:eastAsia="宋体" w:cs="Times New Roman"/>
          <w:snapToGrid w:val="0"/>
          <w:color w:val="auto"/>
          <w:spacing w:val="0"/>
          <w:w w:val="100"/>
          <w:kern w:val="0"/>
          <w:position w:val="0"/>
          <w:sz w:val="24"/>
          <w:szCs w:val="32"/>
          <w:highlight w:val="none"/>
          <w:lang w:eastAsia="zh-CN"/>
        </w:rPr>
        <w:t>北</w:t>
      </w:r>
      <w:r>
        <w:rPr>
          <w:rFonts w:hint="default" w:ascii="Times New Roman" w:hAnsi="Times New Roman" w:eastAsia="宋体" w:cs="Times New Roman"/>
          <w:snapToGrid w:val="0"/>
          <w:color w:val="auto"/>
          <w:spacing w:val="0"/>
          <w:w w:val="100"/>
          <w:kern w:val="0"/>
          <w:position w:val="0"/>
          <w:sz w:val="24"/>
          <w:szCs w:val="32"/>
          <w:highlight w:val="none"/>
        </w:rPr>
        <w:t>侧，生活区与养殖区之间由绿化带相隔，有效地降低了养殖废气对于项目生活管理区的影响</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总平面布置根据本项目的工艺流程，充分考虑自然地形地貌条件，满足生产和方便管理及消防等规范、标准要求。合理布置场区的建筑物、运输线路，使场内的物料运输路径短捷，提高了生产效率，降低了运输成本。从环保角度分析，本项目平面布局基本合理。</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本项目平面布置见图</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2</w:t>
      </w:r>
      <w:r>
        <w:rPr>
          <w:rFonts w:hint="default" w:ascii="Times New Roman" w:hAnsi="Times New Roman" w:eastAsia="宋体" w:cs="Times New Roman"/>
          <w:snapToGrid w:val="0"/>
          <w:color w:val="auto"/>
          <w:spacing w:val="0"/>
          <w:w w:val="100"/>
          <w:kern w:val="0"/>
          <w:position w:val="0"/>
          <w:sz w:val="24"/>
          <w:szCs w:val="32"/>
          <w:highlight w:val="none"/>
        </w:rPr>
        <w:t>.1-</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3</w:t>
      </w:r>
      <w:r>
        <w:rPr>
          <w:rFonts w:hint="default" w:ascii="Times New Roman" w:hAnsi="Times New Roman" w:eastAsia="宋体" w:cs="Times New Roman"/>
          <w:snapToGrid w:val="0"/>
          <w:color w:val="auto"/>
          <w:spacing w:val="0"/>
          <w:w w:val="100"/>
          <w:kern w:val="0"/>
          <w:position w:val="0"/>
          <w:sz w:val="24"/>
          <w:szCs w:val="32"/>
          <w:highlight w:val="none"/>
        </w:rPr>
        <w:t>。</w:t>
      </w:r>
      <w:bookmarkStart w:id="507" w:name="_Toc14290"/>
      <w:bookmarkStart w:id="508" w:name="_Toc11414"/>
      <w:bookmarkStart w:id="509" w:name="_Toc833"/>
      <w:bookmarkStart w:id="510" w:name="_Toc19397"/>
      <w:bookmarkStart w:id="511" w:name="_Toc2387"/>
      <w:bookmarkStart w:id="512" w:name="_Toc22411"/>
      <w:bookmarkStart w:id="513" w:name="_Toc9295"/>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2.1.7公用工程</w:t>
      </w:r>
      <w:bookmarkEnd w:id="506"/>
      <w:bookmarkEnd w:id="507"/>
      <w:bookmarkEnd w:id="508"/>
      <w:bookmarkEnd w:id="509"/>
      <w:bookmarkEnd w:id="510"/>
      <w:bookmarkEnd w:id="511"/>
      <w:bookmarkEnd w:id="512"/>
      <w:bookmarkEnd w:id="513"/>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514" w:name="_Toc15010"/>
      <w:bookmarkStart w:id="515" w:name="_Toc30318"/>
      <w:bookmarkStart w:id="516" w:name="_Toc32494"/>
      <w:r>
        <w:rPr>
          <w:rFonts w:hint="default" w:ascii="Times New Roman" w:hAnsi="Times New Roman" w:eastAsia="宋体" w:cs="Times New Roman"/>
          <w:b/>
          <w:color w:val="auto"/>
          <w:spacing w:val="0"/>
          <w:w w:val="100"/>
          <w:kern w:val="0"/>
          <w:position w:val="0"/>
          <w:sz w:val="24"/>
          <w:highlight w:val="none"/>
          <w:lang w:val="en-US" w:eastAsia="zh-CN"/>
        </w:rPr>
        <w:t>2.1.7.1</w:t>
      </w:r>
      <w:bookmarkEnd w:id="514"/>
      <w:bookmarkEnd w:id="515"/>
      <w:r>
        <w:rPr>
          <w:rFonts w:hint="default" w:ascii="Times New Roman" w:hAnsi="Times New Roman" w:eastAsia="宋体" w:cs="Times New Roman"/>
          <w:b/>
          <w:color w:val="auto"/>
          <w:spacing w:val="0"/>
          <w:w w:val="100"/>
          <w:kern w:val="0"/>
          <w:position w:val="0"/>
          <w:sz w:val="24"/>
          <w:highlight w:val="none"/>
          <w:lang w:val="en-US" w:eastAsia="zh-CN"/>
        </w:rPr>
        <w:t>给排水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highlight w:val="none"/>
        </w:rPr>
        <w:fldChar w:fldCharType="begin"/>
      </w:r>
      <w:r>
        <w:rPr>
          <w:rFonts w:hint="default" w:ascii="Times New Roman" w:hAnsi="Times New Roman" w:eastAsia="宋体" w:cs="Times New Roman"/>
          <w:b/>
          <w:bCs/>
          <w:color w:val="auto"/>
          <w:spacing w:val="0"/>
          <w:w w:val="100"/>
          <w:kern w:val="0"/>
          <w:position w:val="0"/>
          <w:sz w:val="24"/>
          <w:highlight w:val="none"/>
        </w:rPr>
        <w:instrText xml:space="preserve"> = 1 \* GB2 \* MERGEFORMAT </w:instrText>
      </w:r>
      <w:r>
        <w:rPr>
          <w:rFonts w:hint="default" w:ascii="Times New Roman" w:hAnsi="Times New Roman" w:eastAsia="宋体" w:cs="Times New Roman"/>
          <w:b/>
          <w:bCs/>
          <w:color w:val="auto"/>
          <w:spacing w:val="0"/>
          <w:w w:val="100"/>
          <w:kern w:val="0"/>
          <w:position w:val="0"/>
          <w:sz w:val="24"/>
          <w:highlight w:val="none"/>
        </w:rPr>
        <w:fldChar w:fldCharType="separate"/>
      </w:r>
      <w:r>
        <w:rPr>
          <w:rFonts w:hint="default" w:ascii="Times New Roman" w:hAnsi="Times New Roman" w:eastAsia="宋体" w:cs="Times New Roman"/>
          <w:b/>
          <w:bCs/>
          <w:color w:val="auto"/>
          <w:spacing w:val="0"/>
          <w:w w:val="100"/>
          <w:kern w:val="0"/>
          <w:position w:val="0"/>
          <w:sz w:val="24"/>
          <w:highlight w:val="none"/>
        </w:rPr>
        <w:t>⑴</w:t>
      </w:r>
      <w:r>
        <w:rPr>
          <w:rFonts w:hint="default" w:ascii="Times New Roman" w:hAnsi="Times New Roman" w:eastAsia="宋体" w:cs="Times New Roman"/>
          <w:b/>
          <w:bCs/>
          <w:color w:val="auto"/>
          <w:spacing w:val="0"/>
          <w:w w:val="100"/>
          <w:kern w:val="0"/>
          <w:position w:val="0"/>
          <w:sz w:val="24"/>
          <w:highlight w:val="none"/>
        </w:rPr>
        <w:fldChar w:fldCharType="end"/>
      </w:r>
      <w:r>
        <w:rPr>
          <w:rFonts w:hint="default" w:ascii="Times New Roman" w:hAnsi="Times New Roman" w:eastAsia="宋体" w:cs="Times New Roman"/>
          <w:b/>
          <w:bCs/>
          <w:color w:val="auto"/>
          <w:spacing w:val="0"/>
          <w:w w:val="100"/>
          <w:kern w:val="0"/>
          <w:position w:val="0"/>
          <w:sz w:val="24"/>
          <w:highlight w:val="none"/>
        </w:rPr>
        <w:t>给水</w:t>
      </w:r>
    </w:p>
    <w:p>
      <w:pPr>
        <w:spacing w:line="360" w:lineRule="auto"/>
        <w:ind w:firstLine="48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lang w:eastAsia="zh-CN"/>
        </w:rPr>
        <w:t>本项目采用市政供水管网供水以及黄河水</w:t>
      </w:r>
      <w:r>
        <w:rPr>
          <w:rFonts w:hint="default" w:ascii="Times New Roman" w:hAnsi="Times New Roman" w:eastAsia="宋体" w:cs="Times New Roman"/>
          <w:color w:val="auto"/>
          <w:spacing w:val="0"/>
          <w:w w:val="100"/>
          <w:kern w:val="0"/>
          <w:position w:val="0"/>
          <w:sz w:val="24"/>
          <w:szCs w:val="24"/>
        </w:rPr>
        <w:t>，</w:t>
      </w:r>
      <w:r>
        <w:rPr>
          <w:rFonts w:hint="default" w:ascii="Times New Roman" w:hAnsi="Times New Roman" w:cs="Times New Roman"/>
          <w:color w:val="auto"/>
          <w:spacing w:val="0"/>
          <w:w w:val="100"/>
          <w:kern w:val="0"/>
          <w:position w:val="0"/>
          <w:sz w:val="24"/>
          <w:szCs w:val="24"/>
          <w:lang w:eastAsia="zh-CN"/>
        </w:rPr>
        <w:t>自来水用于生活用水和挤奶机清洗用水，黄河水用于牛槽喝水、挤奶厅地面冲洗和绿化用水。</w:t>
      </w:r>
      <w:r>
        <w:rPr>
          <w:rFonts w:hint="default" w:ascii="Times New Roman" w:hAnsi="Times New Roman" w:eastAsia="宋体" w:cs="Times New Roman"/>
          <w:color w:val="auto"/>
          <w:spacing w:val="0"/>
          <w:w w:val="100"/>
          <w:kern w:val="0"/>
          <w:position w:val="0"/>
          <w:sz w:val="24"/>
          <w:szCs w:val="24"/>
          <w:highlight w:val="none"/>
        </w:rPr>
        <w:t>可以保障项目用水的需求。</w:t>
      </w:r>
      <w:r>
        <w:rPr>
          <w:rFonts w:hint="default" w:ascii="Times New Roman" w:hAnsi="Times New Roman" w:eastAsia="宋体" w:cs="Times New Roman"/>
          <w:color w:val="auto"/>
          <w:spacing w:val="0"/>
          <w:w w:val="100"/>
          <w:kern w:val="0"/>
          <w:position w:val="0"/>
          <w:sz w:val="24"/>
          <w:szCs w:val="24"/>
          <w:highlight w:val="none"/>
          <w:lang w:val="zh-CN"/>
        </w:rPr>
        <w:t>本项目用水主要包括牛饮用水、清洗用水、牛降温用水、生活用水及绿化用水</w:t>
      </w:r>
      <w:r>
        <w:rPr>
          <w:rFonts w:hint="default" w:ascii="Times New Roman" w:hAnsi="Times New Roman" w:eastAsia="宋体" w:cs="Times New Roman"/>
          <w:color w:val="auto"/>
          <w:spacing w:val="0"/>
          <w:w w:val="100"/>
          <w:kern w:val="0"/>
          <w:position w:val="0"/>
          <w:sz w:val="24"/>
          <w:szCs w:val="24"/>
          <w:highlight w:val="none"/>
        </w:rPr>
        <w:t>。本项目总用水量为</w:t>
      </w:r>
      <w:r>
        <w:rPr>
          <w:rFonts w:hint="default" w:ascii="Times New Roman" w:hAnsi="Times New Roman" w:cs="Times New Roman"/>
          <w:bCs/>
          <w:color w:val="auto"/>
          <w:spacing w:val="0"/>
          <w:w w:val="100"/>
          <w:kern w:val="0"/>
          <w:position w:val="0"/>
          <w:sz w:val="24"/>
          <w:szCs w:val="24"/>
          <w:highlight w:val="none"/>
          <w:lang w:val="en-US" w:eastAsia="zh-CN"/>
        </w:rPr>
        <w:t>177321</w:t>
      </w:r>
      <w:r>
        <w:rPr>
          <w:rFonts w:hint="default" w:ascii="Times New Roman" w:hAnsi="Times New Roman" w:eastAsia="宋体" w:cs="Times New Roman"/>
          <w:bCs/>
          <w:color w:val="auto"/>
          <w:spacing w:val="0"/>
          <w:w w:val="100"/>
          <w:kern w:val="0"/>
          <w:position w:val="0"/>
          <w:sz w:val="24"/>
          <w:szCs w:val="24"/>
          <w:highlight w:val="none"/>
        </w:rPr>
        <w:t>m</w:t>
      </w:r>
      <w:r>
        <w:rPr>
          <w:rFonts w:hint="default" w:ascii="Times New Roman" w:hAnsi="Times New Roman" w:eastAsia="宋体" w:cs="Times New Roman"/>
          <w:bCs/>
          <w:color w:val="auto"/>
          <w:spacing w:val="0"/>
          <w:w w:val="100"/>
          <w:kern w:val="0"/>
          <w:position w:val="0"/>
          <w:sz w:val="24"/>
          <w:szCs w:val="24"/>
          <w:highlight w:val="none"/>
          <w:vertAlign w:val="superscript"/>
        </w:rPr>
        <w:t>3</w:t>
      </w:r>
      <w:r>
        <w:rPr>
          <w:rFonts w:hint="default" w:ascii="Times New Roman" w:hAnsi="Times New Roman" w:eastAsia="宋体" w:cs="Times New Roman"/>
          <w:bCs/>
          <w:color w:val="auto"/>
          <w:spacing w:val="0"/>
          <w:w w:val="100"/>
          <w:kern w:val="0"/>
          <w:position w:val="0"/>
          <w:sz w:val="24"/>
          <w:szCs w:val="24"/>
          <w:highlight w:val="none"/>
        </w:rPr>
        <w:t>/a。</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rPr>
        <w:t>⑴</w:t>
      </w:r>
      <w:r>
        <w:rPr>
          <w:rFonts w:hint="default" w:ascii="Times New Roman" w:hAnsi="Times New Roman" w:eastAsia="宋体" w:cs="Times New Roman"/>
          <w:color w:val="auto"/>
          <w:spacing w:val="0"/>
          <w:w w:val="100"/>
          <w:kern w:val="0"/>
          <w:position w:val="0"/>
          <w:highlight w:val="none"/>
          <w:lang w:val="zh-CN"/>
        </w:rPr>
        <w:t>牛饮用水</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pacing w:val="0"/>
          <w:w w:val="100"/>
          <w:kern w:val="0"/>
          <w:position w:val="0"/>
          <w:highlight w:val="none"/>
          <w:lang w:val="zh-CN" w:eastAsia="zh-CN"/>
        </w:rPr>
      </w:pPr>
      <w:r>
        <w:rPr>
          <w:rFonts w:hint="default" w:ascii="Times New Roman" w:hAnsi="Times New Roman" w:eastAsia="宋体" w:cs="Times New Roman"/>
          <w:color w:val="auto"/>
          <w:spacing w:val="0"/>
          <w:w w:val="100"/>
          <w:kern w:val="0"/>
          <w:position w:val="0"/>
          <w:sz w:val="24"/>
          <w:szCs w:val="24"/>
          <w:highlight w:val="none"/>
        </w:rPr>
        <w:t>根据建设单位提供资料，产奶牛用水量按150L/头•d计，干奶牛用水量按</w:t>
      </w:r>
      <w:r>
        <w:rPr>
          <w:rFonts w:hint="default" w:ascii="Times New Roman" w:hAnsi="Times New Roman" w:cs="Times New Roman"/>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24"/>
          <w:highlight w:val="none"/>
        </w:rPr>
        <w:t>90L/头•d计，</w:t>
      </w:r>
      <w:r>
        <w:rPr>
          <w:rFonts w:hint="default" w:ascii="Times New Roman" w:hAnsi="Times New Roman" w:eastAsia="宋体" w:cs="Times New Roman"/>
          <w:color w:val="auto"/>
          <w:spacing w:val="0"/>
          <w:w w:val="100"/>
          <w:kern w:val="0"/>
          <w:position w:val="0"/>
          <w:sz w:val="24"/>
          <w:szCs w:val="24"/>
          <w:highlight w:val="none"/>
          <w:lang w:eastAsia="zh-CN"/>
        </w:rPr>
        <w:t>围产牛</w:t>
      </w:r>
      <w:r>
        <w:rPr>
          <w:rFonts w:hint="default" w:ascii="Times New Roman" w:hAnsi="Times New Roman" w:eastAsia="宋体" w:cs="Times New Roman"/>
          <w:color w:val="auto"/>
          <w:spacing w:val="0"/>
          <w:w w:val="100"/>
          <w:kern w:val="0"/>
          <w:position w:val="0"/>
          <w:sz w:val="24"/>
          <w:szCs w:val="24"/>
          <w:highlight w:val="none"/>
        </w:rPr>
        <w:t>用水量按90L/头•d计，青年牛用水量按60L/头•d计，</w:t>
      </w:r>
      <w:r>
        <w:rPr>
          <w:rFonts w:hint="default" w:ascii="Times New Roman" w:hAnsi="Times New Roman" w:eastAsia="宋体" w:cs="Times New Roman"/>
          <w:color w:val="auto"/>
          <w:spacing w:val="0"/>
          <w:w w:val="100"/>
          <w:kern w:val="0"/>
          <w:position w:val="0"/>
          <w:sz w:val="24"/>
          <w:szCs w:val="24"/>
          <w:highlight w:val="none"/>
          <w:lang w:eastAsia="zh-CN"/>
        </w:rPr>
        <w:t>育成</w:t>
      </w:r>
      <w:r>
        <w:rPr>
          <w:rFonts w:hint="default" w:ascii="Times New Roman" w:hAnsi="Times New Roman" w:eastAsia="宋体" w:cs="Times New Roman"/>
          <w:color w:val="auto"/>
          <w:spacing w:val="0"/>
          <w:w w:val="100"/>
          <w:kern w:val="0"/>
          <w:position w:val="0"/>
          <w:sz w:val="24"/>
          <w:szCs w:val="24"/>
          <w:highlight w:val="none"/>
        </w:rPr>
        <w:t>牛用水量按60L/头•d计，犊牛用水量按30L/头•d计</w:t>
      </w:r>
      <w:r>
        <w:rPr>
          <w:rFonts w:hint="default" w:ascii="Times New Roman" w:hAnsi="Times New Roman" w:cs="Times New Roman"/>
          <w:color w:val="auto"/>
          <w:spacing w:val="0"/>
          <w:w w:val="100"/>
          <w:kern w:val="0"/>
          <w:position w:val="0"/>
          <w:sz w:val="24"/>
          <w:szCs w:val="24"/>
          <w:highlight w:val="none"/>
          <w:lang w:eastAsia="zh-CN"/>
        </w:rPr>
        <w:t>，</w:t>
      </w:r>
      <w:r>
        <w:rPr>
          <w:rFonts w:hint="default" w:ascii="Times New Roman" w:hAnsi="Times New Roman" w:eastAsia="宋体" w:cs="Times New Roman"/>
          <w:bCs/>
          <w:color w:val="auto"/>
          <w:spacing w:val="0"/>
          <w:w w:val="100"/>
          <w:kern w:val="0"/>
          <w:position w:val="0"/>
          <w:sz w:val="24"/>
          <w:szCs w:val="24"/>
          <w:highlight w:val="none"/>
        </w:rPr>
        <w:t>牛饮用水总量为</w:t>
      </w:r>
      <w:r>
        <w:rPr>
          <w:rFonts w:hint="default" w:ascii="Times New Roman" w:hAnsi="Times New Roman" w:eastAsia="宋体" w:cs="Times New Roman"/>
          <w:color w:val="auto"/>
          <w:spacing w:val="-1"/>
          <w:lang w:eastAsia="zh-CN"/>
        </w:rPr>
        <w:t>228110.4</w:t>
      </w:r>
      <w:r>
        <w:rPr>
          <w:rFonts w:hint="default" w:ascii="Times New Roman" w:hAnsi="Times New Roman" w:eastAsia="宋体" w:cs="Times New Roman"/>
          <w:bCs/>
          <w:color w:val="auto"/>
          <w:spacing w:val="0"/>
          <w:w w:val="100"/>
          <w:kern w:val="0"/>
          <w:position w:val="0"/>
          <w:sz w:val="24"/>
          <w:szCs w:val="24"/>
          <w:highlight w:val="none"/>
        </w:rPr>
        <w:t>m</w:t>
      </w:r>
      <w:r>
        <w:rPr>
          <w:rFonts w:hint="default" w:ascii="Times New Roman" w:hAnsi="Times New Roman" w:eastAsia="宋体" w:cs="Times New Roman"/>
          <w:bCs/>
          <w:color w:val="auto"/>
          <w:spacing w:val="0"/>
          <w:w w:val="100"/>
          <w:kern w:val="0"/>
          <w:position w:val="0"/>
          <w:sz w:val="24"/>
          <w:szCs w:val="24"/>
          <w:highlight w:val="none"/>
          <w:vertAlign w:val="superscript"/>
        </w:rPr>
        <w:t>3</w:t>
      </w:r>
      <w:r>
        <w:rPr>
          <w:rFonts w:hint="default" w:ascii="Times New Roman" w:hAnsi="Times New Roman" w:eastAsia="宋体" w:cs="Times New Roman"/>
          <w:bCs/>
          <w:color w:val="auto"/>
          <w:spacing w:val="0"/>
          <w:w w:val="100"/>
          <w:kern w:val="0"/>
          <w:position w:val="0"/>
          <w:sz w:val="24"/>
          <w:szCs w:val="24"/>
          <w:highlight w:val="none"/>
        </w:rPr>
        <w:t>/a</w:t>
      </w:r>
      <w:r>
        <w:rPr>
          <w:rFonts w:hint="default" w:ascii="Times New Roman" w:hAnsi="Times New Roman" w:eastAsia="宋体" w:cs="Times New Roman"/>
          <w:bCs/>
          <w:color w:val="auto"/>
          <w:spacing w:val="0"/>
          <w:w w:val="100"/>
          <w:kern w:val="0"/>
          <w:position w:val="0"/>
          <w:sz w:val="24"/>
          <w:szCs w:val="24"/>
          <w:highlight w:val="none"/>
          <w:lang w:val="en-US" w:eastAsia="zh-CN"/>
        </w:rPr>
        <w:t>。</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⑵牛降温用水</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en-US" w:eastAsia="zh-CN"/>
        </w:rPr>
      </w:pPr>
      <w:r>
        <w:rPr>
          <w:rFonts w:hint="default" w:ascii="Times New Roman" w:hAnsi="Times New Roman" w:eastAsia="宋体" w:cs="Times New Roman"/>
          <w:color w:val="auto"/>
          <w:spacing w:val="0"/>
          <w:w w:val="100"/>
          <w:kern w:val="0"/>
          <w:position w:val="0"/>
          <w:highlight w:val="none"/>
        </w:rPr>
        <w:t>根据企业提供，在牛只热应激或者夏季气温较高需对奶牛身体进行喷淋降温，包括</w:t>
      </w:r>
      <w:r>
        <w:rPr>
          <w:rFonts w:hint="eastAsia" w:ascii="Times New Roman" w:hAnsi="Times New Roman" w:cs="Times New Roman"/>
          <w:color w:val="auto"/>
          <w:spacing w:val="0"/>
          <w:w w:val="100"/>
          <w:kern w:val="0"/>
          <w:position w:val="0"/>
          <w:highlight w:val="none"/>
          <w:lang w:eastAsia="zh-CN"/>
        </w:rPr>
        <w:t>牛舍</w:t>
      </w:r>
      <w:r>
        <w:rPr>
          <w:rFonts w:hint="default" w:ascii="Times New Roman" w:hAnsi="Times New Roman" w:eastAsia="宋体" w:cs="Times New Roman"/>
          <w:color w:val="auto"/>
          <w:spacing w:val="0"/>
          <w:w w:val="100"/>
          <w:kern w:val="0"/>
          <w:position w:val="0"/>
          <w:highlight w:val="none"/>
        </w:rPr>
        <w:t>和挤奶厅待挤区的牛，</w:t>
      </w:r>
      <w:r>
        <w:rPr>
          <w:rFonts w:hint="default" w:ascii="Times New Roman" w:hAnsi="Times New Roman" w:eastAsia="宋体" w:cs="Times New Roman"/>
          <w:color w:val="auto"/>
          <w:spacing w:val="0"/>
          <w:w w:val="100"/>
          <w:kern w:val="0"/>
          <w:position w:val="0"/>
          <w:highlight w:val="none"/>
          <w:lang w:eastAsia="zh-CN"/>
        </w:rPr>
        <w:t>折合</w:t>
      </w:r>
      <w:r>
        <w:rPr>
          <w:rFonts w:hint="default" w:ascii="Times New Roman" w:hAnsi="Times New Roman" w:eastAsia="宋体" w:cs="Times New Roman"/>
          <w:color w:val="auto"/>
          <w:spacing w:val="0"/>
          <w:w w:val="100"/>
          <w:kern w:val="0"/>
          <w:position w:val="0"/>
          <w:highlight w:val="none"/>
        </w:rPr>
        <w:t>喷淋时间为</w:t>
      </w:r>
      <w:r>
        <w:rPr>
          <w:rFonts w:hint="default" w:ascii="Times New Roman" w:hAnsi="Times New Roman" w:eastAsia="宋体" w:cs="Times New Roman"/>
          <w:color w:val="auto"/>
          <w:spacing w:val="0"/>
          <w:w w:val="100"/>
          <w:kern w:val="0"/>
          <w:position w:val="0"/>
          <w:highlight w:val="none"/>
          <w:lang w:val="en-US" w:eastAsia="zh-CN"/>
        </w:rPr>
        <w:t>2</w:t>
      </w:r>
      <w:r>
        <w:rPr>
          <w:rFonts w:hint="default" w:ascii="Times New Roman" w:hAnsi="Times New Roman" w:eastAsia="宋体" w:cs="Times New Roman"/>
          <w:color w:val="auto"/>
          <w:spacing w:val="0"/>
          <w:w w:val="100"/>
          <w:kern w:val="0"/>
          <w:position w:val="0"/>
          <w:highlight w:val="none"/>
        </w:rPr>
        <w:t>个月</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lang w:val="en-US" w:eastAsia="zh-CN"/>
        </w:rPr>
        <w:t>60天</w:t>
      </w:r>
      <w:r>
        <w:rPr>
          <w:rFonts w:hint="default" w:ascii="Times New Roman" w:hAnsi="Times New Roman" w:eastAsia="宋体" w:cs="Times New Roman"/>
          <w:color w:val="auto"/>
          <w:spacing w:val="0"/>
          <w:w w:val="100"/>
          <w:kern w:val="0"/>
          <w:position w:val="0"/>
          <w:highlight w:val="none"/>
          <w:lang w:eastAsia="zh-CN"/>
        </w:rPr>
        <w:t>）</w:t>
      </w:r>
      <w:r>
        <w:rPr>
          <w:rFonts w:hint="default" w:ascii="Times New Roman" w:hAnsi="Times New Roman" w:eastAsia="宋体" w:cs="Times New Roman"/>
          <w:color w:val="auto"/>
          <w:spacing w:val="0"/>
          <w:w w:val="100"/>
          <w:kern w:val="0"/>
          <w:position w:val="0"/>
          <w:highlight w:val="none"/>
        </w:rPr>
        <w:t>，用水量约为</w:t>
      </w:r>
      <w:r>
        <w:rPr>
          <w:rFonts w:hint="default" w:ascii="Times New Roman" w:hAnsi="Times New Roman" w:cs="Times New Roman"/>
          <w:bCs/>
          <w:color w:val="auto"/>
          <w:spacing w:val="0"/>
          <w:w w:val="100"/>
          <w:kern w:val="0"/>
          <w:position w:val="0"/>
          <w:highlight w:val="none"/>
          <w:lang w:val="en-US" w:eastAsia="zh-CN"/>
        </w:rPr>
        <w:t>75</w:t>
      </w:r>
      <w:r>
        <w:rPr>
          <w:rFonts w:hint="default" w:ascii="Times New Roman" w:hAnsi="Times New Roman" w:eastAsia="宋体" w:cs="Times New Roman"/>
          <w:bCs/>
          <w:color w:val="auto"/>
          <w:spacing w:val="0"/>
          <w:w w:val="100"/>
          <w:kern w:val="0"/>
          <w:position w:val="0"/>
          <w:highlight w:val="none"/>
        </w:rPr>
        <w:t>m</w:t>
      </w:r>
      <w:r>
        <w:rPr>
          <w:rFonts w:hint="default" w:ascii="Times New Roman" w:hAnsi="Times New Roman" w:eastAsia="宋体" w:cs="Times New Roman"/>
          <w:bCs/>
          <w:color w:val="auto"/>
          <w:spacing w:val="0"/>
          <w:w w:val="100"/>
          <w:kern w:val="0"/>
          <w:position w:val="0"/>
          <w:highlight w:val="none"/>
          <w:vertAlign w:val="superscript"/>
        </w:rPr>
        <w:t>3</w:t>
      </w:r>
      <w:r>
        <w:rPr>
          <w:rFonts w:hint="default" w:ascii="Times New Roman" w:hAnsi="Times New Roman" w:eastAsia="宋体" w:cs="Times New Roman"/>
          <w:bCs/>
          <w:color w:val="auto"/>
          <w:spacing w:val="0"/>
          <w:w w:val="100"/>
          <w:kern w:val="0"/>
          <w:position w:val="0"/>
          <w:highlight w:val="none"/>
        </w:rPr>
        <w:t>/d（</w:t>
      </w:r>
      <w:r>
        <w:rPr>
          <w:rFonts w:hint="default" w:ascii="Times New Roman" w:hAnsi="Times New Roman" w:cs="Times New Roman"/>
          <w:color w:val="auto"/>
          <w:spacing w:val="0"/>
          <w:w w:val="100"/>
          <w:kern w:val="0"/>
          <w:position w:val="0"/>
          <w:highlight w:val="none"/>
          <w:lang w:val="en-US" w:eastAsia="zh-CN"/>
        </w:rPr>
        <w:t>45</w:t>
      </w:r>
      <w:r>
        <w:rPr>
          <w:rFonts w:hint="default" w:ascii="Times New Roman" w:hAnsi="Times New Roman" w:eastAsia="宋体" w:cs="Times New Roman"/>
          <w:color w:val="auto"/>
          <w:spacing w:val="0"/>
          <w:w w:val="100"/>
          <w:kern w:val="0"/>
          <w:position w:val="0"/>
          <w:highlight w:val="none"/>
          <w:lang w:val="en-US" w:eastAsia="zh-CN"/>
        </w:rPr>
        <w:t>00</w:t>
      </w:r>
      <w:r>
        <w:rPr>
          <w:rFonts w:hint="default" w:ascii="Times New Roman" w:hAnsi="Times New Roman" w:eastAsia="宋体" w:cs="Times New Roman"/>
          <w:bCs/>
          <w:color w:val="auto"/>
          <w:spacing w:val="0"/>
          <w:w w:val="100"/>
          <w:kern w:val="0"/>
          <w:position w:val="0"/>
          <w:highlight w:val="none"/>
        </w:rPr>
        <w:t>m</w:t>
      </w:r>
      <w:r>
        <w:rPr>
          <w:rFonts w:hint="default" w:ascii="Times New Roman" w:hAnsi="Times New Roman" w:eastAsia="宋体" w:cs="Times New Roman"/>
          <w:bCs/>
          <w:color w:val="auto"/>
          <w:spacing w:val="0"/>
          <w:w w:val="100"/>
          <w:kern w:val="0"/>
          <w:position w:val="0"/>
          <w:highlight w:val="none"/>
          <w:vertAlign w:val="superscript"/>
        </w:rPr>
        <w:t>3</w:t>
      </w:r>
      <w:r>
        <w:rPr>
          <w:rFonts w:hint="default" w:ascii="Times New Roman" w:hAnsi="Times New Roman" w:eastAsia="宋体" w:cs="Times New Roman"/>
          <w:bCs/>
          <w:color w:val="auto"/>
          <w:spacing w:val="0"/>
          <w:w w:val="100"/>
          <w:kern w:val="0"/>
          <w:position w:val="0"/>
          <w:highlight w:val="none"/>
        </w:rPr>
        <w:t>/a），该部分用水量以蒸发形式损耗。</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⑶清洗用水</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rPr>
        <w:t>挤奶厅每天需要定期对牛槽、挤奶厅地面、奶缸、挤奶设施等设备进行冲洗，根据建设单位提供资料，清洗用水总量为</w:t>
      </w:r>
      <w:r>
        <w:rPr>
          <w:rFonts w:hint="default" w:ascii="Times New Roman" w:hAnsi="Times New Roman" w:cs="Times New Roman"/>
          <w:color w:val="auto"/>
          <w:spacing w:val="0"/>
          <w:w w:val="100"/>
          <w:kern w:val="0"/>
          <w:position w:val="0"/>
          <w:highlight w:val="none"/>
          <w:lang w:val="en-US" w:eastAsia="zh-CN"/>
        </w:rPr>
        <w:t>90</w:t>
      </w:r>
      <w:r>
        <w:rPr>
          <w:rFonts w:hint="default" w:ascii="Times New Roman" w:hAnsi="Times New Roman" w:eastAsia="宋体" w:cs="Times New Roman"/>
          <w:color w:val="auto"/>
          <w:spacing w:val="0"/>
          <w:w w:val="100"/>
          <w:kern w:val="0"/>
          <w:position w:val="0"/>
          <w:highlight w:val="none"/>
        </w:rPr>
        <w:t>m</w:t>
      </w:r>
      <w:r>
        <w:rPr>
          <w:rFonts w:hint="default" w:ascii="Times New Roman" w:hAnsi="Times New Roman" w:eastAsia="宋体" w:cs="Times New Roman"/>
          <w:color w:val="auto"/>
          <w:spacing w:val="0"/>
          <w:w w:val="100"/>
          <w:kern w:val="0"/>
          <w:position w:val="0"/>
          <w:highlight w:val="none"/>
          <w:vertAlign w:val="superscript"/>
        </w:rPr>
        <w:t>3</w:t>
      </w:r>
      <w:r>
        <w:rPr>
          <w:rFonts w:hint="default" w:ascii="Times New Roman" w:hAnsi="Times New Roman" w:eastAsia="宋体" w:cs="Times New Roman"/>
          <w:color w:val="auto"/>
          <w:spacing w:val="0"/>
          <w:w w:val="100"/>
          <w:kern w:val="0"/>
          <w:position w:val="0"/>
          <w:highlight w:val="none"/>
        </w:rPr>
        <w:t>/d（</w:t>
      </w:r>
      <w:r>
        <w:rPr>
          <w:rFonts w:hint="default" w:ascii="Times New Roman" w:hAnsi="Times New Roman" w:cs="Times New Roman"/>
          <w:color w:val="auto"/>
          <w:spacing w:val="0"/>
          <w:w w:val="100"/>
          <w:kern w:val="0"/>
          <w:position w:val="0"/>
          <w:highlight w:val="none"/>
          <w:lang w:val="en-US" w:eastAsia="zh-CN"/>
        </w:rPr>
        <w:t>32850</w:t>
      </w:r>
      <w:r>
        <w:rPr>
          <w:rFonts w:hint="default" w:ascii="Times New Roman" w:hAnsi="Times New Roman" w:eastAsia="宋体" w:cs="Times New Roman"/>
          <w:color w:val="auto"/>
          <w:spacing w:val="0"/>
          <w:w w:val="100"/>
          <w:kern w:val="0"/>
          <w:position w:val="0"/>
          <w:highlight w:val="none"/>
        </w:rPr>
        <w:t>m</w:t>
      </w:r>
      <w:r>
        <w:rPr>
          <w:rFonts w:hint="default" w:ascii="Times New Roman" w:hAnsi="Times New Roman" w:eastAsia="宋体" w:cs="Times New Roman"/>
          <w:color w:val="auto"/>
          <w:spacing w:val="0"/>
          <w:w w:val="100"/>
          <w:kern w:val="0"/>
          <w:position w:val="0"/>
          <w:highlight w:val="none"/>
          <w:vertAlign w:val="superscript"/>
        </w:rPr>
        <w:t>3</w:t>
      </w:r>
      <w:r>
        <w:rPr>
          <w:rFonts w:hint="default" w:ascii="Times New Roman" w:hAnsi="Times New Roman" w:eastAsia="宋体" w:cs="Times New Roman"/>
          <w:color w:val="auto"/>
          <w:spacing w:val="0"/>
          <w:w w:val="100"/>
          <w:kern w:val="0"/>
          <w:position w:val="0"/>
          <w:highlight w:val="none"/>
        </w:rPr>
        <w:t>/a）</w:t>
      </w:r>
      <w:r>
        <w:rPr>
          <w:rFonts w:hint="default" w:ascii="Times New Roman" w:hAnsi="Times New Roman" w:eastAsia="宋体" w:cs="Times New Roman"/>
          <w:color w:val="auto"/>
          <w:spacing w:val="0"/>
          <w:w w:val="100"/>
          <w:kern w:val="0"/>
          <w:position w:val="0"/>
          <w:highlight w:val="none"/>
          <w:lang w:val="zh-CN"/>
        </w:rPr>
        <w:t>。</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rPr>
        <w:fldChar w:fldCharType="begin"/>
      </w:r>
      <w:r>
        <w:rPr>
          <w:rFonts w:hint="default" w:ascii="Times New Roman" w:hAnsi="Times New Roman" w:eastAsia="宋体" w:cs="Times New Roman"/>
          <w:color w:val="auto"/>
          <w:spacing w:val="0"/>
          <w:w w:val="100"/>
          <w:kern w:val="0"/>
          <w:position w:val="0"/>
          <w:highlight w:val="none"/>
        </w:rPr>
        <w:instrText xml:space="preserve">= 4 \* GB2</w:instrText>
      </w:r>
      <w:r>
        <w:rPr>
          <w:rFonts w:hint="default" w:ascii="Times New Roman" w:hAnsi="Times New Roman" w:eastAsia="宋体" w:cs="Times New Roman"/>
          <w:color w:val="auto"/>
          <w:spacing w:val="0"/>
          <w:w w:val="100"/>
          <w:kern w:val="0"/>
          <w:position w:val="0"/>
          <w:highlight w:val="none"/>
        </w:rPr>
        <w:fldChar w:fldCharType="separate"/>
      </w:r>
      <w:r>
        <w:rPr>
          <w:rFonts w:hint="default" w:ascii="Times New Roman" w:hAnsi="Times New Roman" w:eastAsia="宋体" w:cs="Times New Roman"/>
          <w:color w:val="auto"/>
          <w:spacing w:val="0"/>
          <w:w w:val="100"/>
          <w:kern w:val="0"/>
          <w:position w:val="0"/>
          <w:highlight w:val="none"/>
        </w:rPr>
        <w:t>⑷</w:t>
      </w:r>
      <w:r>
        <w:rPr>
          <w:rFonts w:hint="default" w:ascii="Times New Roman" w:hAnsi="Times New Roman" w:eastAsia="宋体" w:cs="Times New Roman"/>
          <w:color w:val="auto"/>
          <w:spacing w:val="0"/>
          <w:w w:val="100"/>
          <w:kern w:val="0"/>
          <w:position w:val="0"/>
          <w:highlight w:val="none"/>
        </w:rPr>
        <w:fldChar w:fldCharType="end"/>
      </w:r>
      <w:r>
        <w:rPr>
          <w:rFonts w:hint="default" w:ascii="Times New Roman" w:hAnsi="Times New Roman" w:eastAsia="宋体" w:cs="Times New Roman"/>
          <w:color w:val="auto"/>
          <w:spacing w:val="0"/>
          <w:w w:val="100"/>
          <w:kern w:val="0"/>
          <w:position w:val="0"/>
          <w:highlight w:val="none"/>
          <w:lang w:val="zh-CN"/>
        </w:rPr>
        <w:t>生活用水</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lang w:val="zh-CN"/>
        </w:rPr>
        <w:t>本项目工作人员</w:t>
      </w:r>
      <w:r>
        <w:rPr>
          <w:rFonts w:hint="default" w:ascii="Times New Roman" w:hAnsi="Times New Roman" w:cs="Times New Roman"/>
          <w:color w:val="auto"/>
          <w:spacing w:val="0"/>
          <w:w w:val="100"/>
          <w:kern w:val="0"/>
          <w:position w:val="0"/>
          <w:highlight w:val="none"/>
          <w:lang w:val="en-US" w:eastAsia="zh-CN"/>
        </w:rPr>
        <w:t>20</w:t>
      </w:r>
      <w:r>
        <w:rPr>
          <w:rFonts w:hint="default" w:ascii="Times New Roman" w:hAnsi="Times New Roman" w:eastAsia="宋体" w:cs="Times New Roman"/>
          <w:color w:val="auto"/>
          <w:spacing w:val="0"/>
          <w:w w:val="100"/>
          <w:kern w:val="0"/>
          <w:position w:val="0"/>
          <w:highlight w:val="none"/>
          <w:lang w:val="zh-CN"/>
        </w:rPr>
        <w:t>人，</w:t>
      </w:r>
      <w:r>
        <w:rPr>
          <w:rFonts w:hint="default" w:ascii="Times New Roman" w:hAnsi="Times New Roman" w:cs="Times New Roman"/>
          <w:color w:val="auto"/>
          <w:spacing w:val="2"/>
        </w:rPr>
        <w:t>参照《宁夏回族自治区人民政府办公厅关于印发</w:t>
      </w:r>
      <w:r>
        <w:rPr>
          <w:rFonts w:hint="default" w:ascii="Times New Roman" w:hAnsi="Times New Roman" w:eastAsia="Times New Roman" w:cs="Times New Roman"/>
          <w:color w:val="auto"/>
          <w:spacing w:val="2"/>
        </w:rPr>
        <w:t>“</w:t>
      </w:r>
      <w:r>
        <w:rPr>
          <w:rFonts w:hint="default" w:ascii="Times New Roman" w:hAnsi="Times New Roman" w:cs="Times New Roman"/>
          <w:color w:val="auto"/>
          <w:spacing w:val="2"/>
        </w:rPr>
        <w:t>宁夏</w:t>
      </w:r>
      <w:r>
        <w:rPr>
          <w:rFonts w:hint="default" w:ascii="Times New Roman" w:hAnsi="Times New Roman" w:cs="Times New Roman"/>
          <w:color w:val="auto"/>
        </w:rPr>
        <w:t>回族自治区有关行业用水定额（修订）的通知</w:t>
      </w:r>
      <w:r>
        <w:rPr>
          <w:rFonts w:hint="default" w:ascii="Times New Roman" w:hAnsi="Times New Roman" w:eastAsia="Times New Roman" w:cs="Times New Roman"/>
          <w:color w:val="auto"/>
        </w:rPr>
        <w:t>”</w:t>
      </w:r>
      <w:r>
        <w:rPr>
          <w:rFonts w:hint="default" w:ascii="Times New Roman" w:hAnsi="Times New Roman" w:cs="Times New Roman"/>
          <w:color w:val="auto"/>
        </w:rPr>
        <w:t>宁政办规发（</w:t>
      </w:r>
      <w:r>
        <w:rPr>
          <w:rFonts w:hint="default" w:ascii="Times New Roman" w:hAnsi="Times New Roman" w:eastAsia="Times New Roman" w:cs="Times New Roman"/>
          <w:color w:val="auto"/>
        </w:rPr>
        <w:t>2020</w:t>
      </w:r>
      <w:r>
        <w:rPr>
          <w:rFonts w:hint="default" w:ascii="Times New Roman" w:hAnsi="Times New Roman" w:cs="Times New Roman"/>
          <w:color w:val="auto"/>
        </w:rPr>
        <w:t>）</w:t>
      </w:r>
      <w:r>
        <w:rPr>
          <w:rFonts w:hint="default" w:ascii="Times New Roman" w:hAnsi="Times New Roman" w:eastAsia="Times New Roman" w:cs="Times New Roman"/>
          <w:color w:val="auto"/>
        </w:rPr>
        <w:t>20</w:t>
      </w:r>
      <w:r>
        <w:rPr>
          <w:rFonts w:hint="default" w:ascii="Times New Roman" w:hAnsi="Times New Roman" w:cs="Times New Roman"/>
          <w:color w:val="auto"/>
        </w:rPr>
        <w:t>号》中机关、</w:t>
      </w:r>
      <w:r>
        <w:rPr>
          <w:rFonts w:hint="default" w:ascii="Times New Roman" w:hAnsi="Times New Roman" w:cs="Times New Roman"/>
          <w:color w:val="auto"/>
          <w:spacing w:val="2"/>
        </w:rPr>
        <w:t>企事业管理机构和社会团体用水，办公生活用水定额按</w:t>
      </w:r>
      <w:r>
        <w:rPr>
          <w:rFonts w:hint="default" w:ascii="Times New Roman" w:hAnsi="Times New Roman" w:eastAsia="Times New Roman" w:cs="Times New Roman"/>
          <w:color w:val="auto"/>
          <w:spacing w:val="1"/>
        </w:rPr>
        <w:t>25m</w:t>
      </w:r>
      <w:r>
        <w:rPr>
          <w:rFonts w:hint="default" w:ascii="Times New Roman" w:hAnsi="Times New Roman" w:eastAsia="Times New Roman" w:cs="Times New Roman"/>
          <w:color w:val="auto"/>
          <w:position w:val="8"/>
          <w:sz w:val="15"/>
          <w:szCs w:val="15"/>
        </w:rPr>
        <w:t>3</w:t>
      </w:r>
      <w:r>
        <w:rPr>
          <w:rFonts w:hint="default" w:ascii="Times New Roman" w:hAnsi="Times New Roman" w:eastAsia="Times New Roman" w:cs="Times New Roman"/>
          <w:color w:val="auto"/>
          <w:spacing w:val="1"/>
        </w:rPr>
        <w:t>/</w:t>
      </w:r>
      <w:r>
        <w:rPr>
          <w:rFonts w:hint="default" w:ascii="Times New Roman" w:hAnsi="Times New Roman" w:cs="Times New Roman"/>
          <w:color w:val="auto"/>
          <w:spacing w:val="1"/>
        </w:rPr>
        <w:t>人</w:t>
      </w:r>
      <w:r>
        <w:rPr>
          <w:rFonts w:hint="default" w:ascii="Times New Roman" w:hAnsi="Times New Roman" w:eastAsia="Times New Roman" w:cs="Times New Roman"/>
          <w:color w:val="auto"/>
          <w:spacing w:val="1"/>
        </w:rPr>
        <w:t>·</w:t>
      </w:r>
      <w:r>
        <w:rPr>
          <w:rFonts w:hint="default" w:ascii="Times New Roman" w:hAnsi="Times New Roman" w:cs="Times New Roman"/>
          <w:color w:val="auto"/>
          <w:spacing w:val="1"/>
        </w:rPr>
        <w:t>年计，则生活用水</w:t>
      </w:r>
      <w:r>
        <w:rPr>
          <w:rFonts w:hint="default" w:ascii="Times New Roman" w:hAnsi="Times New Roman" w:cs="Times New Roman"/>
          <w:color w:val="auto"/>
        </w:rPr>
        <w:t>量为</w:t>
      </w:r>
      <w:r>
        <w:rPr>
          <w:rFonts w:hint="default" w:ascii="Times New Roman" w:hAnsi="Times New Roman" w:eastAsia="宋体" w:cs="Times New Roman"/>
          <w:color w:val="auto"/>
          <w:spacing w:val="-1"/>
          <w:lang w:val="en-US" w:eastAsia="zh-CN"/>
        </w:rPr>
        <w:t>1.37</w:t>
      </w:r>
      <w:r>
        <w:rPr>
          <w:rFonts w:hint="default" w:ascii="Times New Roman" w:hAnsi="Times New Roman" w:eastAsia="Times New Roman" w:cs="Times New Roman"/>
          <w:color w:val="auto"/>
          <w:spacing w:val="-1"/>
        </w:rPr>
        <w:t>m</w:t>
      </w:r>
      <w:r>
        <w:rPr>
          <w:rFonts w:hint="default" w:ascii="Times New Roman" w:hAnsi="Times New Roman" w:eastAsia="Times New Roman" w:cs="Times New Roman"/>
          <w:color w:val="auto"/>
          <w:spacing w:val="-1"/>
          <w:position w:val="8"/>
          <w:sz w:val="15"/>
          <w:szCs w:val="15"/>
        </w:rPr>
        <w:t>3</w:t>
      </w:r>
      <w:r>
        <w:rPr>
          <w:rFonts w:hint="default" w:ascii="Times New Roman" w:hAnsi="Times New Roman" w:eastAsia="Times New Roman" w:cs="Times New Roman"/>
          <w:color w:val="auto"/>
          <w:spacing w:val="-1"/>
        </w:rPr>
        <w:t>/d</w:t>
      </w:r>
      <w:r>
        <w:rPr>
          <w:rFonts w:hint="default" w:ascii="Times New Roman" w:hAnsi="Times New Roman" w:cs="Times New Roman"/>
          <w:color w:val="auto"/>
          <w:spacing w:val="-1"/>
        </w:rPr>
        <w:t>（</w:t>
      </w:r>
      <w:r>
        <w:rPr>
          <w:rFonts w:hint="default" w:ascii="Times New Roman" w:hAnsi="Times New Roman" w:eastAsia="宋体" w:cs="Times New Roman"/>
          <w:color w:val="auto"/>
          <w:spacing w:val="-1"/>
          <w:lang w:val="en-US" w:eastAsia="zh-CN"/>
        </w:rPr>
        <w:t>500</w:t>
      </w:r>
      <w:r>
        <w:rPr>
          <w:rFonts w:hint="default" w:ascii="Times New Roman" w:hAnsi="Times New Roman" w:eastAsia="Times New Roman" w:cs="Times New Roman"/>
          <w:color w:val="auto"/>
          <w:spacing w:val="-1"/>
        </w:rPr>
        <w:t>m</w:t>
      </w:r>
      <w:r>
        <w:rPr>
          <w:rFonts w:hint="default" w:ascii="Times New Roman" w:hAnsi="Times New Roman" w:eastAsia="Times New Roman" w:cs="Times New Roman"/>
          <w:color w:val="auto"/>
          <w:spacing w:val="-1"/>
          <w:position w:val="8"/>
          <w:sz w:val="15"/>
          <w:szCs w:val="15"/>
        </w:rPr>
        <w:t>3</w:t>
      </w:r>
      <w:r>
        <w:rPr>
          <w:rFonts w:hint="default" w:ascii="Times New Roman" w:hAnsi="Times New Roman" w:eastAsia="Times New Roman" w:cs="Times New Roman"/>
          <w:color w:val="auto"/>
          <w:spacing w:val="-1"/>
        </w:rPr>
        <w:t>/a</w:t>
      </w:r>
      <w:r>
        <w:rPr>
          <w:rFonts w:hint="default" w:ascii="Times New Roman" w:hAnsi="Times New Roman" w:cs="Times New Roman"/>
          <w:color w:val="auto"/>
          <w:spacing w:val="-1"/>
        </w:rPr>
        <w:t>）</w:t>
      </w:r>
      <w:r>
        <w:rPr>
          <w:rFonts w:hint="default" w:ascii="Times New Roman" w:hAnsi="Times New Roman" w:eastAsia="宋体" w:cs="Times New Roman"/>
          <w:color w:val="auto"/>
          <w:spacing w:val="0"/>
          <w:w w:val="100"/>
          <w:kern w:val="0"/>
          <w:position w:val="0"/>
          <w:highlight w:val="none"/>
        </w:rPr>
        <w:t>。</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fldChar w:fldCharType="begin"/>
      </w:r>
      <w:r>
        <w:rPr>
          <w:rFonts w:hint="default" w:ascii="Times New Roman" w:hAnsi="Times New Roman" w:eastAsia="宋体" w:cs="Times New Roman"/>
          <w:color w:val="auto"/>
          <w:spacing w:val="0"/>
          <w:w w:val="100"/>
          <w:kern w:val="0"/>
          <w:position w:val="0"/>
          <w:highlight w:val="none"/>
        </w:rPr>
        <w:instrText xml:space="preserve"> = 5 \* GB2 </w:instrText>
      </w:r>
      <w:r>
        <w:rPr>
          <w:rFonts w:hint="default" w:ascii="Times New Roman" w:hAnsi="Times New Roman" w:eastAsia="宋体" w:cs="Times New Roman"/>
          <w:color w:val="auto"/>
          <w:spacing w:val="0"/>
          <w:w w:val="100"/>
          <w:kern w:val="0"/>
          <w:position w:val="0"/>
          <w:highlight w:val="none"/>
        </w:rPr>
        <w:fldChar w:fldCharType="separate"/>
      </w:r>
      <w:r>
        <w:rPr>
          <w:rFonts w:hint="default" w:ascii="Times New Roman" w:hAnsi="Times New Roman" w:eastAsia="宋体" w:cs="Times New Roman"/>
          <w:color w:val="auto"/>
          <w:spacing w:val="0"/>
          <w:w w:val="100"/>
          <w:kern w:val="0"/>
          <w:position w:val="0"/>
          <w:highlight w:val="none"/>
        </w:rPr>
        <w:t>⑸</w:t>
      </w:r>
      <w:r>
        <w:rPr>
          <w:rFonts w:hint="default" w:ascii="Times New Roman" w:hAnsi="Times New Roman" w:eastAsia="宋体" w:cs="Times New Roman"/>
          <w:color w:val="auto"/>
          <w:spacing w:val="0"/>
          <w:w w:val="100"/>
          <w:kern w:val="0"/>
          <w:position w:val="0"/>
          <w:highlight w:val="none"/>
        </w:rPr>
        <w:fldChar w:fldCharType="end"/>
      </w:r>
      <w:r>
        <w:rPr>
          <w:rFonts w:hint="default" w:ascii="Times New Roman" w:hAnsi="Times New Roman" w:eastAsia="宋体" w:cs="Times New Roman"/>
          <w:color w:val="auto"/>
          <w:spacing w:val="0"/>
          <w:w w:val="100"/>
          <w:kern w:val="0"/>
          <w:position w:val="0"/>
          <w:highlight w:val="none"/>
        </w:rPr>
        <w:t>绿化用水</w:t>
      </w:r>
    </w:p>
    <w:p>
      <w:pPr>
        <w:spacing w:line="360" w:lineRule="auto"/>
        <w:ind w:firstLine="480"/>
        <w:rPr>
          <w:rFonts w:hint="default" w:ascii="Times New Roman" w:hAnsi="Times New Roman" w:eastAsia="宋体" w:cs="Times New Roman"/>
          <w:color w:val="auto"/>
          <w:spacing w:val="2"/>
          <w:sz w:val="24"/>
          <w:szCs w:val="24"/>
        </w:rPr>
      </w:pPr>
      <w:r>
        <w:rPr>
          <w:rFonts w:hint="default" w:ascii="Times New Roman" w:hAnsi="Times New Roman" w:cs="Times New Roman"/>
          <w:color w:val="auto"/>
          <w:sz w:val="24"/>
          <w:highlight w:val="none"/>
        </w:rPr>
        <w:t>本项目绿化面积为</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00</w:t>
      </w:r>
      <w:r>
        <w:rPr>
          <w:rFonts w:hint="default" w:ascii="Times New Roman" w:hAnsi="Times New Roman" w:cs="Times New Roman"/>
          <w:color w:val="auto"/>
          <w:sz w:val="24"/>
          <w:szCs w:val="24"/>
          <w:highlight w:val="none"/>
          <w:lang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根据《</w:t>
      </w:r>
      <w:r>
        <w:rPr>
          <w:rFonts w:hint="default" w:ascii="Times New Roman" w:hAnsi="Times New Roman" w:cs="Times New Roman"/>
          <w:color w:val="auto"/>
          <w:sz w:val="24"/>
          <w:szCs w:val="24"/>
          <w:highlight w:val="none"/>
        </w:rPr>
        <w:t>宁夏回族自治区有关行业用水定额（修订）》</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lang w:eastAsia="zh-CN"/>
        </w:rPr>
        <w:t>本项目位于中部干旱带，绿化</w:t>
      </w:r>
      <w:r>
        <w:rPr>
          <w:rFonts w:hint="default" w:ascii="Times New Roman" w:hAnsi="Times New Roman" w:eastAsia="宋体" w:cs="Times New Roman"/>
          <w:color w:val="auto"/>
          <w:spacing w:val="2"/>
          <w:sz w:val="24"/>
          <w:szCs w:val="24"/>
        </w:rPr>
        <w:t>用水按照</w:t>
      </w:r>
      <w:r>
        <w:rPr>
          <w:rFonts w:hint="default" w:ascii="Times New Roman" w:hAnsi="Times New Roman" w:cs="Times New Roman"/>
          <w:color w:val="auto"/>
          <w:spacing w:val="2"/>
          <w:sz w:val="24"/>
          <w:szCs w:val="24"/>
          <w:lang w:val="en-US" w:eastAsia="zh-CN"/>
        </w:rPr>
        <w:t>0.2m</w:t>
      </w:r>
      <w:r>
        <w:rPr>
          <w:rFonts w:hint="default" w:ascii="Times New Roman" w:hAnsi="Times New Roman" w:cs="Times New Roman"/>
          <w:color w:val="auto"/>
          <w:spacing w:val="2"/>
          <w:sz w:val="24"/>
          <w:szCs w:val="24"/>
          <w:vertAlign w:val="superscript"/>
          <w:lang w:val="en-US" w:eastAsia="zh-CN"/>
        </w:rPr>
        <w:t>3</w:t>
      </w:r>
      <w:r>
        <w:rPr>
          <w:rFonts w:hint="default" w:ascii="Times New Roman" w:hAnsi="Times New Roman"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rPr>
        <w:t>（m</w:t>
      </w:r>
      <w:r>
        <w:rPr>
          <w:rFonts w:hint="default" w:ascii="Times New Roman" w:hAnsi="Times New Roman" w:eastAsia="宋体" w:cs="Times New Roman"/>
          <w:color w:val="auto"/>
          <w:spacing w:val="2"/>
          <w:sz w:val="24"/>
          <w:szCs w:val="24"/>
          <w:vertAlign w:val="superscript"/>
        </w:rPr>
        <w:t>2</w:t>
      </w:r>
      <w:r>
        <w:rPr>
          <w:rFonts w:hint="default" w:ascii="Times New Roman" w:hAnsi="Times New Roman" w:eastAsia="宋体" w:cs="Times New Roman"/>
          <w:color w:val="auto"/>
          <w:spacing w:val="2"/>
          <w:sz w:val="24"/>
          <w:szCs w:val="24"/>
        </w:rPr>
        <w:t>•</w:t>
      </w:r>
      <w:r>
        <w:rPr>
          <w:rFonts w:hint="default" w:ascii="Times New Roman" w:hAnsi="Times New Roman" w:cs="Times New Roman"/>
          <w:color w:val="auto"/>
          <w:spacing w:val="2"/>
          <w:sz w:val="24"/>
          <w:szCs w:val="24"/>
          <w:lang w:val="en-US" w:eastAsia="zh-CN"/>
        </w:rPr>
        <w:t>a</w:t>
      </w:r>
      <w:r>
        <w:rPr>
          <w:rFonts w:hint="default" w:ascii="Times New Roman" w:hAnsi="Times New Roman" w:eastAsia="宋体" w:cs="Times New Roman"/>
          <w:color w:val="auto"/>
          <w:spacing w:val="2"/>
          <w:sz w:val="24"/>
          <w:szCs w:val="24"/>
        </w:rPr>
        <w:t>）计，则绿化用水量为</w:t>
      </w:r>
      <w:r>
        <w:rPr>
          <w:rFonts w:hint="default" w:ascii="Times New Roman" w:hAnsi="Times New Roman" w:cs="Times New Roman"/>
          <w:color w:val="auto"/>
          <w:sz w:val="24"/>
          <w:szCs w:val="24"/>
          <w:lang w:val="en-US" w:eastAsia="zh-CN"/>
        </w:rPr>
        <w:t>480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highlight w:val="none"/>
        </w:rPr>
        <w:fldChar w:fldCharType="begin"/>
      </w:r>
      <w:r>
        <w:rPr>
          <w:rFonts w:hint="default" w:ascii="Times New Roman" w:hAnsi="Times New Roman" w:eastAsia="宋体" w:cs="Times New Roman"/>
          <w:b/>
          <w:bCs/>
          <w:color w:val="auto"/>
          <w:spacing w:val="0"/>
          <w:w w:val="100"/>
          <w:kern w:val="0"/>
          <w:position w:val="0"/>
          <w:sz w:val="24"/>
          <w:highlight w:val="none"/>
        </w:rPr>
        <w:instrText xml:space="preserve"> = 2 \* GB2 \* MERGEFORMAT </w:instrText>
      </w:r>
      <w:r>
        <w:rPr>
          <w:rFonts w:hint="default" w:ascii="Times New Roman" w:hAnsi="Times New Roman" w:eastAsia="宋体" w:cs="Times New Roman"/>
          <w:b/>
          <w:bCs/>
          <w:color w:val="auto"/>
          <w:spacing w:val="0"/>
          <w:w w:val="100"/>
          <w:kern w:val="0"/>
          <w:position w:val="0"/>
          <w:sz w:val="24"/>
          <w:highlight w:val="none"/>
        </w:rPr>
        <w:fldChar w:fldCharType="separate"/>
      </w:r>
      <w:r>
        <w:rPr>
          <w:rFonts w:hint="default" w:ascii="Times New Roman" w:hAnsi="Times New Roman" w:eastAsia="宋体" w:cs="Times New Roman"/>
          <w:b/>
          <w:bCs/>
          <w:color w:val="auto"/>
          <w:spacing w:val="0"/>
          <w:w w:val="100"/>
          <w:kern w:val="0"/>
          <w:position w:val="0"/>
          <w:sz w:val="24"/>
          <w:highlight w:val="none"/>
        </w:rPr>
        <w:t>⑵</w:t>
      </w:r>
      <w:r>
        <w:rPr>
          <w:rFonts w:hint="default" w:ascii="Times New Roman" w:hAnsi="Times New Roman" w:eastAsia="宋体" w:cs="Times New Roman"/>
          <w:b/>
          <w:bCs/>
          <w:color w:val="auto"/>
          <w:spacing w:val="0"/>
          <w:w w:val="100"/>
          <w:kern w:val="0"/>
          <w:position w:val="0"/>
          <w:sz w:val="24"/>
          <w:highlight w:val="none"/>
        </w:rPr>
        <w:fldChar w:fldCharType="end"/>
      </w:r>
      <w:r>
        <w:rPr>
          <w:rFonts w:hint="default" w:ascii="Times New Roman" w:hAnsi="Times New Roman" w:eastAsia="宋体" w:cs="Times New Roman"/>
          <w:b/>
          <w:bCs/>
          <w:color w:val="auto"/>
          <w:spacing w:val="0"/>
          <w:w w:val="100"/>
          <w:kern w:val="0"/>
          <w:position w:val="0"/>
          <w:sz w:val="24"/>
          <w:highlight w:val="none"/>
        </w:rPr>
        <w:t>排水</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本项目采用干清粪工艺，</w:t>
      </w:r>
      <w:r>
        <w:rPr>
          <w:rFonts w:hint="eastAsia" w:ascii="Times New Roman" w:hAnsi="Times New Roman" w:cs="Times New Roman"/>
          <w:color w:val="auto"/>
          <w:spacing w:val="0"/>
          <w:w w:val="100"/>
          <w:kern w:val="0"/>
          <w:position w:val="0"/>
          <w:highlight w:val="none"/>
          <w:lang w:val="zh-CN"/>
        </w:rPr>
        <w:t>牛舍</w:t>
      </w:r>
      <w:r>
        <w:rPr>
          <w:rFonts w:hint="default" w:ascii="Times New Roman" w:hAnsi="Times New Roman" w:eastAsia="宋体" w:cs="Times New Roman"/>
          <w:color w:val="auto"/>
          <w:spacing w:val="0"/>
          <w:w w:val="100"/>
          <w:kern w:val="0"/>
          <w:position w:val="0"/>
          <w:highlight w:val="none"/>
          <w:lang w:val="zh-CN"/>
        </w:rPr>
        <w:t>不进行水冲洗，不产生圈舍冲洗废水。废水主要为生产废水（</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、奶缸等设施清洗废水、牛槽清洗废水等</w:t>
      </w:r>
      <w:r>
        <w:rPr>
          <w:rFonts w:hint="default" w:ascii="Times New Roman" w:hAnsi="Times New Roman" w:eastAsia="宋体" w:cs="Times New Roman"/>
          <w:color w:val="auto"/>
          <w:spacing w:val="0"/>
          <w:w w:val="100"/>
          <w:kern w:val="0"/>
          <w:position w:val="0"/>
          <w:highlight w:val="none"/>
          <w:lang w:val="zh-CN"/>
        </w:rPr>
        <w:t>）、工作人员产生的生活废水，项目废水产生总量为</w:t>
      </w:r>
      <w:r>
        <w:rPr>
          <w:rFonts w:hint="eastAsia" w:ascii="Times New Roman" w:hAnsi="Times New Roman" w:cs="Times New Roman"/>
          <w:color w:val="auto"/>
          <w:spacing w:val="0"/>
          <w:w w:val="100"/>
          <w:kern w:val="0"/>
          <w:position w:val="0"/>
          <w:highlight w:val="none"/>
          <w:lang w:val="en-US" w:eastAsia="zh-CN"/>
        </w:rPr>
        <w:t>29965</w:t>
      </w:r>
      <w:r>
        <w:rPr>
          <w:rFonts w:hint="default" w:ascii="Times New Roman" w:hAnsi="Times New Roman" w:eastAsia="宋体" w:cs="Times New Roman"/>
          <w:color w:val="auto"/>
          <w:spacing w:val="0"/>
          <w:w w:val="100"/>
          <w:kern w:val="0"/>
          <w:position w:val="0"/>
          <w:highlight w:val="none"/>
          <w:lang w:val="zh-CN"/>
        </w:rPr>
        <w:t>m</w:t>
      </w:r>
      <w:r>
        <w:rPr>
          <w:rFonts w:hint="default" w:ascii="Times New Roman" w:hAnsi="Times New Roman" w:eastAsia="宋体" w:cs="Times New Roman"/>
          <w:color w:val="auto"/>
          <w:spacing w:val="0"/>
          <w:w w:val="100"/>
          <w:kern w:val="0"/>
          <w:position w:val="0"/>
          <w:highlight w:val="none"/>
          <w:vertAlign w:val="superscript"/>
          <w:lang w:val="zh-CN"/>
        </w:rPr>
        <w:t>3</w:t>
      </w:r>
      <w:r>
        <w:rPr>
          <w:rFonts w:hint="default" w:ascii="Times New Roman" w:hAnsi="Times New Roman" w:eastAsia="宋体" w:cs="Times New Roman"/>
          <w:color w:val="auto"/>
          <w:spacing w:val="0"/>
          <w:w w:val="100"/>
          <w:kern w:val="0"/>
          <w:position w:val="0"/>
          <w:highlight w:val="none"/>
          <w:lang w:val="zh-CN"/>
        </w:rPr>
        <w:t>/a。</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⑴生产废水</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t>本项目采用干清粪工艺，不产生圈舍冲洗废水，牛舍活动场牛粪进行垫土就地堆肥，每月垫土1次，每次约5公分，年清理两次。饲喂棚每天产生的粪便及时清出，</w:t>
      </w:r>
      <w:r>
        <w:rPr>
          <w:rFonts w:hint="default" w:ascii="Times New Roman" w:hAnsi="Times New Roman" w:eastAsia="宋体" w:cs="Times New Roman"/>
          <w:color w:val="auto"/>
          <w:spacing w:val="0"/>
          <w:w w:val="100"/>
          <w:kern w:val="0"/>
          <w:position w:val="0"/>
          <w:sz w:val="24"/>
          <w:highlight w:val="none"/>
          <w:lang w:val="zh-CN"/>
        </w:rPr>
        <w:t>根据《排污许可证申请与核发技术规范畜禽养殖行业》各类污染物产生量中奶牛牛粪</w:t>
      </w:r>
      <w:r>
        <w:rPr>
          <w:rFonts w:hint="default" w:ascii="Times New Roman" w:hAnsi="Times New Roman" w:eastAsia="宋体" w:cs="Times New Roman"/>
          <w:color w:val="auto"/>
          <w:spacing w:val="0"/>
          <w:w w:val="100"/>
          <w:kern w:val="0"/>
          <w:position w:val="0"/>
          <w:sz w:val="24"/>
          <w:szCs w:val="24"/>
          <w:highlight w:val="none"/>
          <w:lang w:val="zh-CN"/>
        </w:rPr>
        <w:t>（含尿液）</w:t>
      </w:r>
      <w:r>
        <w:rPr>
          <w:rFonts w:hint="default" w:ascii="Times New Roman" w:hAnsi="Times New Roman" w:eastAsia="宋体" w:cs="Times New Roman"/>
          <w:color w:val="auto"/>
          <w:spacing w:val="0"/>
          <w:w w:val="100"/>
          <w:kern w:val="0"/>
          <w:position w:val="0"/>
          <w:sz w:val="24"/>
          <w:highlight w:val="none"/>
          <w:lang w:val="zh-CN"/>
        </w:rPr>
        <w:t>量为</w:t>
      </w:r>
      <w:r>
        <w:rPr>
          <w:rFonts w:hint="default" w:ascii="Times New Roman" w:hAnsi="Times New Roman" w:eastAsia="宋体" w:cs="Times New Roman"/>
          <w:color w:val="auto"/>
          <w:spacing w:val="0"/>
          <w:w w:val="100"/>
          <w:kern w:val="0"/>
          <w:position w:val="0"/>
          <w:sz w:val="24"/>
          <w:highlight w:val="none"/>
        </w:rPr>
        <w:t>25.71</w:t>
      </w:r>
      <w:r>
        <w:rPr>
          <w:rFonts w:hint="default" w:ascii="Times New Roman" w:hAnsi="Times New Roman" w:eastAsia="宋体" w:cs="Times New Roman"/>
          <w:color w:val="auto"/>
          <w:spacing w:val="0"/>
          <w:w w:val="100"/>
          <w:kern w:val="0"/>
          <w:position w:val="0"/>
          <w:sz w:val="24"/>
          <w:highlight w:val="none"/>
          <w:lang w:val="zh-CN"/>
        </w:rPr>
        <w:t>kg/头·d。本项目奶牛</w:t>
      </w:r>
      <w:r>
        <w:rPr>
          <w:rFonts w:hint="default" w:ascii="Times New Roman" w:hAnsi="Times New Roman" w:eastAsia="宋体" w:cs="Times New Roman"/>
          <w:color w:val="auto"/>
          <w:spacing w:val="0"/>
          <w:w w:val="100"/>
          <w:kern w:val="0"/>
          <w:position w:val="0"/>
          <w:sz w:val="24"/>
          <w:szCs w:val="24"/>
          <w:highlight w:val="none"/>
          <w:lang w:val="zh-CN"/>
        </w:rPr>
        <w:t>牛粪（含尿液）总产生量约为</w:t>
      </w:r>
      <w:r>
        <w:rPr>
          <w:rFonts w:hint="default" w:ascii="Times New Roman" w:hAnsi="Times New Roman" w:cs="Times New Roman"/>
          <w:color w:val="auto"/>
          <w:spacing w:val="0"/>
          <w:w w:val="100"/>
          <w:kern w:val="0"/>
          <w:position w:val="0"/>
          <w:sz w:val="24"/>
          <w:highlight w:val="none"/>
          <w:lang w:val="en-US" w:eastAsia="zh-CN"/>
        </w:rPr>
        <w:t>46920.75</w:t>
      </w:r>
      <w:r>
        <w:rPr>
          <w:rFonts w:hint="default" w:ascii="Times New Roman" w:hAnsi="Times New Roman" w:eastAsia="宋体" w:cs="Times New Roman"/>
          <w:color w:val="auto"/>
          <w:spacing w:val="0"/>
          <w:w w:val="100"/>
          <w:kern w:val="0"/>
          <w:position w:val="0"/>
          <w:sz w:val="24"/>
          <w:szCs w:val="24"/>
          <w:highlight w:val="none"/>
          <w:lang w:val="zh-CN"/>
        </w:rPr>
        <w:t>t/a</w:t>
      </w:r>
      <w:r>
        <w:rPr>
          <w:rFonts w:hint="default" w:ascii="Times New Roman" w:hAnsi="Times New Roman" w:cs="Times New Roman"/>
          <w:color w:val="auto"/>
          <w:spacing w:val="0"/>
          <w:w w:val="100"/>
          <w:kern w:val="0"/>
          <w:position w:val="0"/>
          <w:sz w:val="24"/>
          <w:szCs w:val="24"/>
          <w:highlight w:val="none"/>
          <w:lang w:val="zh-CN"/>
        </w:rPr>
        <w:t>，</w:t>
      </w:r>
      <w:r>
        <w:rPr>
          <w:rFonts w:hint="default" w:ascii="Times New Roman" w:hAnsi="Times New Roman" w:eastAsia="宋体" w:cs="Times New Roman"/>
          <w:color w:val="auto"/>
          <w:spacing w:val="0"/>
          <w:w w:val="100"/>
          <w:kern w:val="0"/>
          <w:position w:val="0"/>
          <w:sz w:val="24"/>
          <w:szCs w:val="24"/>
          <w:highlight w:val="none"/>
          <w:lang w:val="zh-CN"/>
        </w:rPr>
        <w:t>送到</w:t>
      </w:r>
      <w:r>
        <w:rPr>
          <w:rFonts w:hint="default" w:ascii="Times New Roman" w:hAnsi="Times New Roman" w:cs="Times New Roman"/>
          <w:color w:val="auto"/>
          <w:spacing w:val="0"/>
          <w:w w:val="100"/>
          <w:kern w:val="0"/>
          <w:position w:val="0"/>
          <w:sz w:val="24"/>
          <w:szCs w:val="24"/>
          <w:highlight w:val="none"/>
          <w:lang w:val="zh-CN"/>
        </w:rPr>
        <w:t>堆粪棚</w:t>
      </w:r>
      <w:r>
        <w:rPr>
          <w:rFonts w:hint="default" w:ascii="Times New Roman" w:hAnsi="Times New Roman" w:eastAsia="宋体" w:cs="Times New Roman"/>
          <w:color w:val="auto"/>
          <w:spacing w:val="0"/>
          <w:w w:val="100"/>
          <w:kern w:val="0"/>
          <w:position w:val="0"/>
          <w:sz w:val="24"/>
          <w:szCs w:val="24"/>
          <w:highlight w:val="none"/>
          <w:lang w:val="zh-CN"/>
        </w:rPr>
        <w:t>进行堆存。</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lang w:val="zh-CN"/>
        </w:rPr>
        <w:t>清洗废水：</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、奶缸等设施清洗废水、牛槽清洗废水</w:t>
      </w:r>
      <w:r>
        <w:rPr>
          <w:rFonts w:hint="default" w:ascii="Times New Roman" w:hAnsi="Times New Roman" w:eastAsia="宋体" w:cs="Times New Roman"/>
          <w:bCs/>
          <w:color w:val="auto"/>
          <w:spacing w:val="0"/>
          <w:w w:val="100"/>
          <w:kern w:val="0"/>
          <w:position w:val="0"/>
          <w:sz w:val="24"/>
          <w:szCs w:val="24"/>
          <w:highlight w:val="none"/>
        </w:rPr>
        <w:t>按用水总量的9</w:t>
      </w:r>
      <w:r>
        <w:rPr>
          <w:rFonts w:hint="default" w:ascii="Times New Roman" w:hAnsi="Times New Roman" w:eastAsia="宋体" w:cs="Times New Roman"/>
          <w:bCs/>
          <w:color w:val="auto"/>
          <w:spacing w:val="0"/>
          <w:w w:val="100"/>
          <w:kern w:val="0"/>
          <w:position w:val="0"/>
          <w:sz w:val="24"/>
          <w:szCs w:val="24"/>
          <w:highlight w:val="none"/>
          <w:lang w:val="en-US" w:eastAsia="zh-CN"/>
        </w:rPr>
        <w:t>0</w:t>
      </w:r>
      <w:r>
        <w:rPr>
          <w:rFonts w:hint="default" w:ascii="Times New Roman" w:hAnsi="Times New Roman" w:eastAsia="宋体" w:cs="Times New Roman"/>
          <w:bCs/>
          <w:color w:val="auto"/>
          <w:spacing w:val="0"/>
          <w:w w:val="100"/>
          <w:kern w:val="0"/>
          <w:position w:val="0"/>
          <w:sz w:val="24"/>
          <w:szCs w:val="24"/>
          <w:highlight w:val="none"/>
        </w:rPr>
        <w:t>%计，则挤奶</w:t>
      </w:r>
      <w:r>
        <w:rPr>
          <w:rFonts w:hint="default" w:ascii="Times New Roman" w:hAnsi="Times New Roman" w:eastAsia="宋体" w:cs="Times New Roman"/>
          <w:color w:val="auto"/>
          <w:spacing w:val="0"/>
          <w:w w:val="100"/>
          <w:kern w:val="0"/>
          <w:position w:val="0"/>
          <w:sz w:val="24"/>
          <w:szCs w:val="24"/>
          <w:highlight w:val="none"/>
          <w:lang w:val="zh-CN"/>
        </w:rPr>
        <w:t>厅地面</w:t>
      </w:r>
      <w:r>
        <w:rPr>
          <w:rFonts w:hint="default" w:ascii="Times New Roman" w:hAnsi="Times New Roman" w:eastAsia="宋体" w:cs="Times New Roman"/>
          <w:bCs/>
          <w:color w:val="auto"/>
          <w:spacing w:val="0"/>
          <w:w w:val="100"/>
          <w:kern w:val="0"/>
          <w:position w:val="0"/>
          <w:sz w:val="24"/>
          <w:szCs w:val="24"/>
          <w:highlight w:val="none"/>
        </w:rPr>
        <w:t>及奶缸清洗废水</w:t>
      </w:r>
      <w:r>
        <w:rPr>
          <w:rFonts w:hint="default" w:ascii="Times New Roman" w:hAnsi="Times New Roman" w:eastAsia="宋体" w:cs="Times New Roman"/>
          <w:color w:val="auto"/>
          <w:spacing w:val="0"/>
          <w:w w:val="100"/>
          <w:kern w:val="0"/>
          <w:position w:val="0"/>
          <w:sz w:val="24"/>
          <w:szCs w:val="24"/>
          <w:highlight w:val="none"/>
          <w:lang w:val="zh-CN"/>
        </w:rPr>
        <w:t>产生量为</w:t>
      </w:r>
      <w:r>
        <w:rPr>
          <w:rFonts w:hint="default" w:ascii="Times New Roman" w:hAnsi="Times New Roman" w:cs="Times New Roman"/>
          <w:color w:val="auto"/>
          <w:spacing w:val="0"/>
          <w:w w:val="100"/>
          <w:kern w:val="0"/>
          <w:position w:val="0"/>
          <w:sz w:val="24"/>
          <w:szCs w:val="24"/>
          <w:highlight w:val="none"/>
          <w:lang w:val="en-US" w:eastAsia="zh-CN"/>
        </w:rPr>
        <w:t>81</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w:t>
      </w:r>
      <w:r>
        <w:rPr>
          <w:rFonts w:hint="default" w:ascii="Times New Roman" w:hAnsi="Times New Roman" w:eastAsia="宋体" w:cs="Times New Roman"/>
          <w:color w:val="auto"/>
          <w:spacing w:val="0"/>
          <w:w w:val="100"/>
          <w:kern w:val="0"/>
          <w:position w:val="0"/>
          <w:sz w:val="24"/>
          <w:szCs w:val="24"/>
          <w:highlight w:val="none"/>
          <w:lang w:val="en-US" w:eastAsia="zh-CN"/>
        </w:rPr>
        <w:t>d</w:t>
      </w:r>
      <w:r>
        <w:rPr>
          <w:rFonts w:hint="default" w:ascii="Times New Roman" w:hAnsi="Times New Roman" w:eastAsia="宋体" w:cs="Times New Roman"/>
          <w:color w:val="auto"/>
          <w:spacing w:val="0"/>
          <w:w w:val="100"/>
          <w:kern w:val="0"/>
          <w:position w:val="0"/>
          <w:sz w:val="24"/>
          <w:szCs w:val="24"/>
          <w:highlight w:val="none"/>
          <w:lang w:val="zh-CN"/>
        </w:rPr>
        <w:t>（</w:t>
      </w:r>
      <w:r>
        <w:rPr>
          <w:rFonts w:hint="default" w:ascii="Times New Roman" w:hAnsi="Times New Roman" w:cs="Times New Roman"/>
          <w:color w:val="auto"/>
          <w:spacing w:val="0"/>
          <w:w w:val="100"/>
          <w:kern w:val="0"/>
          <w:position w:val="0"/>
          <w:sz w:val="24"/>
          <w:szCs w:val="24"/>
          <w:highlight w:val="none"/>
          <w:lang w:val="en-US" w:eastAsia="zh-CN"/>
        </w:rPr>
        <w:t>29565</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/a）。</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rPr>
        <w:t>⑵</w:t>
      </w:r>
      <w:r>
        <w:rPr>
          <w:rFonts w:hint="default" w:ascii="Times New Roman" w:hAnsi="Times New Roman" w:eastAsia="宋体" w:cs="Times New Roman"/>
          <w:color w:val="auto"/>
          <w:spacing w:val="0"/>
          <w:w w:val="100"/>
          <w:kern w:val="0"/>
          <w:position w:val="0"/>
          <w:highlight w:val="none"/>
          <w:lang w:val="zh-CN"/>
        </w:rPr>
        <w:t>生活废水</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生活污水产生量按用水量的</w:t>
      </w:r>
      <w:r>
        <w:rPr>
          <w:rFonts w:hint="default" w:ascii="Times New Roman" w:hAnsi="Times New Roman" w:eastAsia="宋体" w:cs="Times New Roman"/>
          <w:color w:val="auto"/>
          <w:spacing w:val="0"/>
          <w:w w:val="100"/>
          <w:kern w:val="0"/>
          <w:position w:val="0"/>
          <w:highlight w:val="none"/>
          <w:lang w:val="en-US" w:eastAsia="zh-CN"/>
        </w:rPr>
        <w:t>80</w:t>
      </w:r>
      <w:r>
        <w:rPr>
          <w:rFonts w:hint="default" w:ascii="Times New Roman" w:hAnsi="Times New Roman" w:eastAsia="宋体" w:cs="Times New Roman"/>
          <w:color w:val="auto"/>
          <w:spacing w:val="0"/>
          <w:w w:val="100"/>
          <w:kern w:val="0"/>
          <w:position w:val="0"/>
          <w:highlight w:val="none"/>
          <w:lang w:val="zh-CN"/>
        </w:rPr>
        <w:t>%计，则生活污水产生量为</w:t>
      </w:r>
      <w:r>
        <w:rPr>
          <w:rFonts w:hint="default" w:ascii="Times New Roman" w:hAnsi="Times New Roman" w:cs="Times New Roman"/>
          <w:color w:val="auto"/>
          <w:spacing w:val="0"/>
          <w:w w:val="100"/>
          <w:kern w:val="0"/>
          <w:position w:val="0"/>
          <w:highlight w:val="none"/>
          <w:lang w:val="en-US" w:eastAsia="zh-CN"/>
        </w:rPr>
        <w:t>1.1</w:t>
      </w:r>
      <w:r>
        <w:rPr>
          <w:rFonts w:hint="default" w:ascii="Times New Roman" w:hAnsi="Times New Roman" w:eastAsia="宋体" w:cs="Times New Roman"/>
          <w:color w:val="auto"/>
          <w:spacing w:val="0"/>
          <w:w w:val="100"/>
          <w:kern w:val="0"/>
          <w:position w:val="0"/>
          <w:highlight w:val="none"/>
        </w:rPr>
        <w:t>m</w:t>
      </w:r>
      <w:r>
        <w:rPr>
          <w:rFonts w:hint="default" w:ascii="Times New Roman" w:hAnsi="Times New Roman" w:eastAsia="宋体" w:cs="Times New Roman"/>
          <w:color w:val="auto"/>
          <w:spacing w:val="0"/>
          <w:w w:val="100"/>
          <w:kern w:val="0"/>
          <w:position w:val="0"/>
          <w:highlight w:val="none"/>
          <w:vertAlign w:val="superscript"/>
        </w:rPr>
        <w:t>3</w:t>
      </w:r>
      <w:r>
        <w:rPr>
          <w:rFonts w:hint="default" w:ascii="Times New Roman" w:hAnsi="Times New Roman" w:eastAsia="宋体" w:cs="Times New Roman"/>
          <w:color w:val="auto"/>
          <w:spacing w:val="0"/>
          <w:w w:val="100"/>
          <w:kern w:val="0"/>
          <w:position w:val="0"/>
          <w:highlight w:val="none"/>
        </w:rPr>
        <w:t>/d（</w:t>
      </w:r>
      <w:r>
        <w:rPr>
          <w:rFonts w:hint="default" w:ascii="Times New Roman" w:hAnsi="Times New Roman" w:cs="Times New Roman"/>
          <w:color w:val="auto"/>
          <w:spacing w:val="0"/>
          <w:w w:val="100"/>
          <w:kern w:val="0"/>
          <w:position w:val="0"/>
          <w:highlight w:val="none"/>
          <w:lang w:val="en-US" w:eastAsia="zh-CN"/>
        </w:rPr>
        <w:t>400</w:t>
      </w:r>
      <w:r>
        <w:rPr>
          <w:rFonts w:hint="default" w:ascii="Times New Roman" w:hAnsi="Times New Roman" w:eastAsia="宋体" w:cs="Times New Roman"/>
          <w:color w:val="auto"/>
          <w:spacing w:val="0"/>
          <w:w w:val="100"/>
          <w:kern w:val="0"/>
          <w:position w:val="0"/>
          <w:highlight w:val="none"/>
          <w:lang w:val="zh-CN"/>
        </w:rPr>
        <w:t>m</w:t>
      </w:r>
      <w:r>
        <w:rPr>
          <w:rFonts w:hint="default" w:ascii="Times New Roman" w:hAnsi="Times New Roman" w:eastAsia="宋体" w:cs="Times New Roman"/>
          <w:color w:val="auto"/>
          <w:spacing w:val="0"/>
          <w:w w:val="100"/>
          <w:kern w:val="0"/>
          <w:position w:val="0"/>
          <w:highlight w:val="none"/>
          <w:vertAlign w:val="superscript"/>
          <w:lang w:val="zh-CN"/>
        </w:rPr>
        <w:t>3</w:t>
      </w:r>
      <w:r>
        <w:rPr>
          <w:rFonts w:hint="default" w:ascii="Times New Roman" w:hAnsi="Times New Roman" w:eastAsia="宋体" w:cs="Times New Roman"/>
          <w:color w:val="auto"/>
          <w:spacing w:val="0"/>
          <w:w w:val="100"/>
          <w:kern w:val="0"/>
          <w:position w:val="0"/>
          <w:highlight w:val="none"/>
          <w:lang w:val="zh-CN"/>
        </w:rPr>
        <w:t>/a</w:t>
      </w:r>
      <w:r>
        <w:rPr>
          <w:rFonts w:hint="default" w:ascii="Times New Roman" w:hAnsi="Times New Roman" w:eastAsia="宋体" w:cs="Times New Roman"/>
          <w:color w:val="auto"/>
          <w:spacing w:val="0"/>
          <w:w w:val="100"/>
          <w:kern w:val="0"/>
          <w:position w:val="0"/>
          <w:highlight w:val="none"/>
        </w:rPr>
        <w:t>）。</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highlight w:val="none"/>
        </w:rPr>
        <w:t>生产废水</w:t>
      </w:r>
      <w:r>
        <w:rPr>
          <w:rFonts w:hint="default" w:ascii="Times New Roman" w:hAnsi="Times New Roman" w:eastAsia="宋体" w:cs="Times New Roman"/>
          <w:color w:val="auto"/>
          <w:spacing w:val="0"/>
          <w:w w:val="100"/>
          <w:kern w:val="0"/>
          <w:position w:val="0"/>
          <w:highlight w:val="none"/>
          <w:lang w:eastAsia="zh-CN"/>
        </w:rPr>
        <w:t>、生活污水</w:t>
      </w:r>
      <w:r>
        <w:rPr>
          <w:rFonts w:hint="default" w:ascii="Times New Roman" w:hAnsi="Times New Roman" w:eastAsia="宋体" w:cs="Times New Roman"/>
          <w:bCs/>
          <w:color w:val="auto"/>
          <w:spacing w:val="0"/>
          <w:w w:val="100"/>
          <w:kern w:val="0"/>
          <w:position w:val="0"/>
          <w:sz w:val="24"/>
          <w:szCs w:val="24"/>
          <w:highlight w:val="none"/>
        </w:rPr>
        <w:t>经建设单位自建</w:t>
      </w:r>
      <w:r>
        <w:rPr>
          <w:rFonts w:hint="default" w:ascii="Times New Roman" w:hAnsi="Times New Roman" w:eastAsia="宋体" w:cs="Times New Roman"/>
          <w:color w:val="auto"/>
          <w:spacing w:val="0"/>
          <w:w w:val="100"/>
          <w:kern w:val="0"/>
          <w:position w:val="0"/>
          <w:sz w:val="24"/>
          <w:szCs w:val="24"/>
          <w:highlight w:val="none"/>
        </w:rPr>
        <w:t>污水</w:t>
      </w:r>
      <w:r>
        <w:rPr>
          <w:rFonts w:hint="default" w:ascii="Times New Roman" w:hAnsi="Times New Roman" w:eastAsia="宋体" w:cs="Times New Roman"/>
          <w:bCs/>
          <w:color w:val="auto"/>
          <w:spacing w:val="0"/>
          <w:w w:val="100"/>
          <w:kern w:val="0"/>
          <w:position w:val="0"/>
          <w:sz w:val="24"/>
          <w:szCs w:val="24"/>
          <w:highlight w:val="none"/>
        </w:rPr>
        <w:t>处理站处理后</w:t>
      </w:r>
      <w:r>
        <w:rPr>
          <w:rFonts w:hint="default" w:ascii="Times New Roman" w:hAnsi="Times New Roman" w:eastAsia="宋体" w:cs="Times New Roman"/>
          <w:color w:val="auto"/>
          <w:spacing w:val="0"/>
          <w:w w:val="100"/>
          <w:kern w:val="0"/>
          <w:position w:val="0"/>
          <w:sz w:val="24"/>
          <w:szCs w:val="18"/>
          <w:highlight w:val="none"/>
        </w:rPr>
        <w:t>达到《农田灌溉水质标准》（GB5084-2005）</w:t>
      </w:r>
      <w:r>
        <w:rPr>
          <w:rFonts w:hint="default" w:ascii="Times New Roman" w:hAnsi="Times New Roman" w:eastAsia="宋体" w:cs="Times New Roman"/>
          <w:color w:val="auto"/>
          <w:spacing w:val="0"/>
          <w:w w:val="100"/>
          <w:kern w:val="0"/>
          <w:position w:val="0"/>
          <w:sz w:val="24"/>
          <w:szCs w:val="24"/>
          <w:highlight w:val="none"/>
          <w:lang w:val="zh-CN"/>
        </w:rPr>
        <w:t>中“旱作”标准后，用于本项目</w:t>
      </w:r>
      <w:r>
        <w:rPr>
          <w:rFonts w:hint="eastAsia" w:ascii="Times New Roman" w:hAnsi="Times New Roman"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highlight w:val="none"/>
          <w:lang w:val="zh-CN"/>
        </w:rPr>
        <w:t>。</w:t>
      </w:r>
      <w:r>
        <w:rPr>
          <w:rFonts w:hint="default" w:ascii="Times New Roman" w:hAnsi="Times New Roman" w:eastAsia="宋体" w:cs="Times New Roman"/>
          <w:bCs/>
          <w:color w:val="auto"/>
          <w:spacing w:val="0"/>
          <w:w w:val="100"/>
          <w:kern w:val="0"/>
          <w:position w:val="0"/>
          <w:sz w:val="24"/>
          <w:szCs w:val="24"/>
          <w:highlight w:val="none"/>
        </w:rPr>
        <w:t>冬季储存于</w:t>
      </w:r>
      <w:r>
        <w:rPr>
          <w:rFonts w:hint="default" w:ascii="Times New Roman" w:hAnsi="Times New Roman" w:eastAsia="宋体" w:cs="Times New Roman"/>
          <w:bCs/>
          <w:color w:val="auto"/>
          <w:spacing w:val="0"/>
          <w:w w:val="100"/>
          <w:kern w:val="0"/>
          <w:position w:val="0"/>
          <w:sz w:val="24"/>
          <w:szCs w:val="24"/>
          <w:highlight w:val="none"/>
          <w:lang w:eastAsia="zh-CN"/>
        </w:rPr>
        <w:t>项目氧化塘内</w:t>
      </w:r>
      <w:r>
        <w:rPr>
          <w:rFonts w:hint="default" w:ascii="Times New Roman" w:hAnsi="Times New Roman" w:eastAsia="宋体" w:cs="Times New Roman"/>
          <w:bCs/>
          <w:color w:val="auto"/>
          <w:spacing w:val="0"/>
          <w:w w:val="100"/>
          <w:kern w:val="0"/>
          <w:position w:val="0"/>
          <w:sz w:val="24"/>
          <w:szCs w:val="24"/>
          <w:highlight w:val="none"/>
        </w:rPr>
        <w:t>，待春季用于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bCs/>
          <w:color w:val="auto"/>
          <w:spacing w:val="0"/>
          <w:w w:val="100"/>
          <w:kern w:val="0"/>
          <w:position w:val="0"/>
          <w:sz w:val="24"/>
          <w:szCs w:val="24"/>
          <w:highlight w:val="none"/>
        </w:rPr>
        <w:t>。</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4"/>
          <w:szCs w:val="24"/>
          <w:highlight w:val="none"/>
          <w:lang w:val="zh-CN"/>
        </w:rPr>
        <w:t>本项目给排水用量见表</w:t>
      </w:r>
      <w:r>
        <w:rPr>
          <w:rFonts w:hint="default" w:ascii="Times New Roman" w:hAnsi="Times New Roman" w:eastAsia="宋体" w:cs="Times New Roman"/>
          <w:color w:val="auto"/>
          <w:spacing w:val="0"/>
          <w:w w:val="100"/>
          <w:kern w:val="0"/>
          <w:position w:val="0"/>
          <w:sz w:val="24"/>
          <w:szCs w:val="24"/>
          <w:highlight w:val="none"/>
          <w:lang w:val="en-US" w:eastAsia="zh-CN"/>
        </w:rPr>
        <w:t>2</w:t>
      </w:r>
      <w:r>
        <w:rPr>
          <w:rFonts w:hint="default" w:ascii="Times New Roman" w:hAnsi="Times New Roman" w:eastAsia="宋体" w:cs="Times New Roman"/>
          <w:color w:val="auto"/>
          <w:spacing w:val="0"/>
          <w:w w:val="100"/>
          <w:kern w:val="0"/>
          <w:position w:val="0"/>
          <w:sz w:val="24"/>
          <w:szCs w:val="24"/>
          <w:highlight w:val="none"/>
        </w:rPr>
        <w:t>.1-</w:t>
      </w:r>
      <w:r>
        <w:rPr>
          <w:rFonts w:hint="default" w:ascii="Times New Roman" w:hAnsi="Times New Roman" w:eastAsia="宋体" w:cs="Times New Roman"/>
          <w:color w:val="auto"/>
          <w:spacing w:val="0"/>
          <w:w w:val="100"/>
          <w:kern w:val="0"/>
          <w:position w:val="0"/>
          <w:sz w:val="24"/>
          <w:szCs w:val="24"/>
          <w:highlight w:val="none"/>
          <w:lang w:val="en-US" w:eastAsia="zh-CN"/>
        </w:rPr>
        <w:t>7</w:t>
      </w:r>
      <w:r>
        <w:rPr>
          <w:rFonts w:hint="default" w:ascii="Times New Roman" w:hAnsi="Times New Roman" w:eastAsia="宋体" w:cs="Times New Roman"/>
          <w:color w:val="auto"/>
          <w:spacing w:val="0"/>
          <w:w w:val="100"/>
          <w:kern w:val="0"/>
          <w:position w:val="0"/>
          <w:sz w:val="24"/>
          <w:szCs w:val="24"/>
          <w:highlight w:val="none"/>
          <w:lang w:val="zh-CN"/>
        </w:rPr>
        <w:t>。本项目水平衡图见图</w:t>
      </w:r>
      <w:r>
        <w:rPr>
          <w:rFonts w:hint="default" w:ascii="Times New Roman" w:hAnsi="Times New Roman" w:eastAsia="宋体" w:cs="Times New Roman"/>
          <w:color w:val="auto"/>
          <w:spacing w:val="0"/>
          <w:w w:val="100"/>
          <w:kern w:val="0"/>
          <w:position w:val="0"/>
          <w:sz w:val="24"/>
          <w:szCs w:val="24"/>
          <w:highlight w:val="none"/>
          <w:lang w:val="en-US" w:eastAsia="zh-CN"/>
        </w:rPr>
        <w:t>2</w:t>
      </w:r>
      <w:r>
        <w:rPr>
          <w:rFonts w:hint="default" w:ascii="Times New Roman" w:hAnsi="Times New Roman" w:eastAsia="宋体" w:cs="Times New Roman"/>
          <w:color w:val="auto"/>
          <w:spacing w:val="0"/>
          <w:w w:val="100"/>
          <w:kern w:val="0"/>
          <w:position w:val="0"/>
          <w:sz w:val="24"/>
          <w:szCs w:val="24"/>
          <w:highlight w:val="none"/>
        </w:rPr>
        <w:t>.1-</w:t>
      </w:r>
      <w:r>
        <w:rPr>
          <w:rFonts w:hint="eastAsia" w:ascii="Times New Roman" w:hAnsi="Times New Roman"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表2.1-7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本项目给排水用量一览表   单位：m</w:t>
      </w:r>
      <w:r>
        <w:rPr>
          <w:rFonts w:hint="default" w:ascii="Times New Roman" w:hAnsi="Times New Roman" w:eastAsia="宋体" w:cs="Times New Roman"/>
          <w:b/>
          <w:bCs w:val="0"/>
          <w:color w:val="auto"/>
          <w:spacing w:val="0"/>
          <w:w w:val="100"/>
          <w:kern w:val="0"/>
          <w:position w:val="0"/>
          <w:sz w:val="24"/>
          <w:szCs w:val="24"/>
          <w:highlight w:val="none"/>
          <w:vertAlign w:val="super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/a</w:t>
      </w:r>
    </w:p>
    <w:tbl>
      <w:tblPr>
        <w:tblStyle w:val="25"/>
        <w:tblW w:w="490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1011"/>
        <w:gridCol w:w="3872"/>
        <w:gridCol w:w="1044"/>
        <w:gridCol w:w="1020"/>
        <w:gridCol w:w="960"/>
        <w:gridCol w:w="8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项目</w:t>
            </w:r>
          </w:p>
        </w:tc>
        <w:tc>
          <w:tcPr>
            <w:tcW w:w="3872"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用水标准</w:t>
            </w:r>
          </w:p>
        </w:tc>
        <w:tc>
          <w:tcPr>
            <w:tcW w:w="1044"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用水量</w:t>
            </w:r>
          </w:p>
        </w:tc>
        <w:tc>
          <w:tcPr>
            <w:tcW w:w="1020"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lang w:eastAsia="zh-CN"/>
              </w:rPr>
            </w:pPr>
            <w:r>
              <w:rPr>
                <w:rFonts w:hint="default" w:ascii="Times New Roman" w:hAnsi="Times New Roman" w:eastAsia="宋体" w:cs="Times New Roman"/>
                <w:b/>
                <w:color w:val="auto"/>
                <w:spacing w:val="0"/>
                <w:w w:val="100"/>
                <w:kern w:val="0"/>
                <w:position w:val="0"/>
                <w:szCs w:val="21"/>
                <w:highlight w:val="none"/>
                <w:lang w:eastAsia="zh-CN"/>
              </w:rPr>
              <w:t>损耗量</w:t>
            </w:r>
          </w:p>
        </w:tc>
        <w:tc>
          <w:tcPr>
            <w:tcW w:w="960"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排水量</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lang w:eastAsia="zh-CN"/>
              </w:rPr>
            </w:pPr>
            <w:r>
              <w:rPr>
                <w:rFonts w:hint="default" w:ascii="Times New Roman" w:hAnsi="Times New Roman" w:eastAsia="宋体" w:cs="Times New Roman"/>
                <w:b/>
                <w:color w:val="auto"/>
                <w:spacing w:val="0"/>
                <w:w w:val="100"/>
                <w:kern w:val="0"/>
                <w:position w:val="0"/>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生活用水</w:t>
            </w:r>
          </w:p>
        </w:tc>
        <w:tc>
          <w:tcPr>
            <w:tcW w:w="3872" w:type="dxa"/>
            <w:tcBorders>
              <w:tl2br w:val="nil"/>
              <w:tr2bl w:val="nil"/>
            </w:tcBorders>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cs="Times New Roman"/>
                <w:color w:val="auto"/>
                <w:spacing w:val="0"/>
                <w:w w:val="100"/>
                <w:kern w:val="0"/>
                <w:position w:val="0"/>
                <w:szCs w:val="21"/>
                <w:highlight w:val="none"/>
                <w:lang w:val="en-US" w:eastAsia="zh-CN"/>
              </w:rPr>
              <w:t>20人，</w:t>
            </w:r>
            <w:r>
              <w:rPr>
                <w:rFonts w:hint="default" w:ascii="Times New Roman" w:hAnsi="Times New Roman" w:eastAsia="宋体" w:cs="Times New Roman"/>
                <w:color w:val="auto"/>
                <w:spacing w:val="0"/>
                <w:w w:val="100"/>
                <w:kern w:val="0"/>
                <w:position w:val="0"/>
                <w:szCs w:val="21"/>
                <w:highlight w:val="none"/>
              </w:rPr>
              <w:t>25m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/人·年</w:t>
            </w:r>
          </w:p>
        </w:tc>
        <w:tc>
          <w:tcPr>
            <w:tcW w:w="1044" w:type="dxa"/>
            <w:tcBorders>
              <w:tl2br w:val="nil"/>
              <w:tr2bl w:val="nil"/>
            </w:tcBorders>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500</w:t>
            </w:r>
          </w:p>
        </w:tc>
        <w:tc>
          <w:tcPr>
            <w:tcW w:w="1020" w:type="dxa"/>
            <w:tcBorders>
              <w:tl2br w:val="nil"/>
              <w:tr2bl w:val="nil"/>
            </w:tcBorders>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100</w:t>
            </w:r>
          </w:p>
        </w:tc>
        <w:tc>
          <w:tcPr>
            <w:tcW w:w="960" w:type="dxa"/>
            <w:tcBorders>
              <w:tl2br w:val="nil"/>
              <w:tr2bl w:val="nil"/>
            </w:tcBorders>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4</w:t>
            </w:r>
            <w:r>
              <w:rPr>
                <w:rFonts w:hint="default" w:ascii="Times New Roman" w:hAnsi="Times New Roman" w:eastAsia="宋体" w:cs="Times New Roman"/>
                <w:color w:val="auto"/>
                <w:spacing w:val="0"/>
                <w:w w:val="100"/>
                <w:kern w:val="0"/>
                <w:position w:val="0"/>
                <w:szCs w:val="21"/>
                <w:highlight w:val="none"/>
              </w:rPr>
              <w:t>00</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牛饮用水</w:t>
            </w:r>
          </w:p>
        </w:tc>
        <w:tc>
          <w:tcPr>
            <w:tcW w:w="387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产奶牛用水量按150L/头•d计，</w:t>
            </w: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干奶牛</w:t>
            </w:r>
            <w:r>
              <w:rPr>
                <w:rFonts w:hint="default" w:ascii="Times New Roman" w:hAnsi="Times New Roman" w:eastAsia="宋体" w:cs="Times New Roman"/>
                <w:color w:val="auto"/>
                <w:spacing w:val="0"/>
                <w:w w:val="100"/>
                <w:kern w:val="0"/>
                <w:position w:val="0"/>
                <w:szCs w:val="21"/>
                <w:highlight w:val="none"/>
                <w:lang w:eastAsia="zh-CN"/>
              </w:rPr>
              <w:t>、围产牛</w:t>
            </w:r>
            <w:r>
              <w:rPr>
                <w:rFonts w:hint="default" w:ascii="Times New Roman" w:hAnsi="Times New Roman" w:eastAsia="宋体" w:cs="Times New Roman"/>
                <w:color w:val="auto"/>
                <w:spacing w:val="0"/>
                <w:w w:val="100"/>
                <w:kern w:val="0"/>
                <w:position w:val="0"/>
                <w:szCs w:val="21"/>
                <w:highlight w:val="none"/>
              </w:rPr>
              <w:t>用水量按90L/头•d计，青年牛</w:t>
            </w:r>
            <w:r>
              <w:rPr>
                <w:rFonts w:hint="default" w:ascii="Times New Roman" w:hAnsi="Times New Roman" w:eastAsia="宋体" w:cs="Times New Roman"/>
                <w:color w:val="auto"/>
                <w:spacing w:val="0"/>
                <w:w w:val="100"/>
                <w:kern w:val="0"/>
                <w:position w:val="0"/>
                <w:szCs w:val="21"/>
                <w:highlight w:val="none"/>
                <w:lang w:eastAsia="zh-CN"/>
              </w:rPr>
              <w:t>、育成牛</w:t>
            </w:r>
            <w:r>
              <w:rPr>
                <w:rFonts w:hint="default" w:ascii="Times New Roman" w:hAnsi="Times New Roman" w:eastAsia="宋体" w:cs="Times New Roman"/>
                <w:color w:val="auto"/>
                <w:spacing w:val="0"/>
                <w:w w:val="100"/>
                <w:kern w:val="0"/>
                <w:position w:val="0"/>
                <w:szCs w:val="21"/>
                <w:highlight w:val="none"/>
              </w:rPr>
              <w:t>用水量按60L/头•d计，犊牛用水量按30L/头•d计</w:t>
            </w:r>
          </w:p>
        </w:tc>
        <w:tc>
          <w:tcPr>
            <w:tcW w:w="104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z w:val="21"/>
                <w:lang w:val="en-US" w:eastAsia="zh-CN"/>
              </w:rPr>
              <w:t>228110.4</w:t>
            </w:r>
          </w:p>
        </w:tc>
        <w:tc>
          <w:tcPr>
            <w:tcW w:w="10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z w:val="21"/>
                <w:lang w:val="en-US" w:eastAsia="zh-CN"/>
              </w:rPr>
              <w:t>228110.4</w:t>
            </w:r>
          </w:p>
        </w:tc>
        <w:tc>
          <w:tcPr>
            <w:tcW w:w="9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牛降温</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用水</w:t>
            </w:r>
          </w:p>
        </w:tc>
        <w:tc>
          <w:tcPr>
            <w:tcW w:w="387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折合喷淋时间为</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个月，用水量约为</w:t>
            </w:r>
            <w:r>
              <w:rPr>
                <w:rFonts w:hint="default" w:ascii="Times New Roman" w:hAnsi="Times New Roman" w:eastAsia="宋体" w:cs="Times New Roman"/>
                <w:color w:val="auto"/>
                <w:spacing w:val="0"/>
                <w:w w:val="100"/>
                <w:kern w:val="0"/>
                <w:position w:val="0"/>
                <w:szCs w:val="21"/>
                <w:highlight w:val="none"/>
                <w:lang w:val="en-US" w:eastAsia="zh-CN"/>
              </w:rPr>
              <w:t>60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/d</w:t>
            </w:r>
          </w:p>
        </w:tc>
        <w:tc>
          <w:tcPr>
            <w:tcW w:w="104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45</w:t>
            </w:r>
            <w:r>
              <w:rPr>
                <w:rFonts w:hint="default" w:ascii="Times New Roman" w:hAnsi="Times New Roman" w:eastAsia="宋体" w:cs="Times New Roman"/>
                <w:color w:val="auto"/>
                <w:spacing w:val="0"/>
                <w:w w:val="100"/>
                <w:kern w:val="0"/>
                <w:position w:val="0"/>
                <w:szCs w:val="21"/>
                <w:highlight w:val="none"/>
                <w:lang w:val="en-US" w:eastAsia="zh-CN"/>
              </w:rPr>
              <w:t>00</w:t>
            </w:r>
          </w:p>
        </w:tc>
        <w:tc>
          <w:tcPr>
            <w:tcW w:w="10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45</w:t>
            </w:r>
            <w:r>
              <w:rPr>
                <w:rFonts w:hint="default" w:ascii="Times New Roman" w:hAnsi="Times New Roman" w:eastAsia="宋体" w:cs="Times New Roman"/>
                <w:color w:val="auto"/>
                <w:spacing w:val="0"/>
                <w:w w:val="100"/>
                <w:kern w:val="0"/>
                <w:position w:val="0"/>
                <w:szCs w:val="21"/>
                <w:highlight w:val="none"/>
                <w:lang w:val="en-US" w:eastAsia="zh-CN"/>
              </w:rPr>
              <w:t>00</w:t>
            </w:r>
          </w:p>
        </w:tc>
        <w:tc>
          <w:tcPr>
            <w:tcW w:w="9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清洗用水</w:t>
            </w:r>
          </w:p>
        </w:tc>
        <w:tc>
          <w:tcPr>
            <w:tcW w:w="387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清洗用水量按</w:t>
            </w:r>
            <w:r>
              <w:rPr>
                <w:rFonts w:hint="default" w:ascii="Times New Roman" w:hAnsi="Times New Roman" w:cs="Times New Roman"/>
                <w:color w:val="auto"/>
                <w:spacing w:val="0"/>
                <w:w w:val="100"/>
                <w:kern w:val="0"/>
                <w:position w:val="0"/>
                <w:szCs w:val="21"/>
                <w:highlight w:val="none"/>
                <w:lang w:val="en-US" w:eastAsia="zh-CN"/>
              </w:rPr>
              <w:t>90</w:t>
            </w:r>
            <w:r>
              <w:rPr>
                <w:rFonts w:hint="default" w:ascii="Times New Roman" w:hAnsi="Times New Roman" w:eastAsia="宋体" w:cs="Times New Roman"/>
                <w:color w:val="auto"/>
                <w:spacing w:val="0"/>
                <w:w w:val="100"/>
                <w:kern w:val="0"/>
                <w:position w:val="0"/>
                <w:szCs w:val="21"/>
                <w:highlight w:val="none"/>
              </w:rPr>
              <w:t>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/d计，全年按365d计</w:t>
            </w:r>
          </w:p>
        </w:tc>
        <w:tc>
          <w:tcPr>
            <w:tcW w:w="104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z w:val="21"/>
              </w:rPr>
              <w:t>32850</w:t>
            </w:r>
          </w:p>
        </w:tc>
        <w:tc>
          <w:tcPr>
            <w:tcW w:w="10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z w:val="21"/>
              </w:rPr>
              <w:t>3285</w:t>
            </w:r>
          </w:p>
        </w:tc>
        <w:tc>
          <w:tcPr>
            <w:tcW w:w="9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val="en-US" w:eastAsia="zh-CN"/>
              </w:rPr>
              <w:t>29565</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绿化用水</w:t>
            </w:r>
          </w:p>
        </w:tc>
        <w:tc>
          <w:tcPr>
            <w:tcW w:w="3872"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2"/>
                <w:sz w:val="21"/>
                <w:szCs w:val="21"/>
                <w:lang w:val="en-US" w:eastAsia="zh-CN"/>
              </w:rPr>
              <w:t>0.2m</w:t>
            </w:r>
            <w:r>
              <w:rPr>
                <w:rFonts w:hint="default" w:ascii="Times New Roman" w:hAnsi="Times New Roman" w:cs="Times New Roman"/>
                <w:color w:val="auto"/>
                <w:spacing w:val="2"/>
                <w:sz w:val="21"/>
                <w:szCs w:val="21"/>
                <w:vertAlign w:val="superscript"/>
                <w:lang w:val="en-US" w:eastAsia="zh-CN"/>
              </w:rPr>
              <w:t>3</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w:t>
            </w:r>
            <w:r>
              <w:rPr>
                <w:rFonts w:hint="default" w:ascii="Times New Roman" w:hAnsi="Times New Roman" w:cs="Times New Roman"/>
                <w:color w:val="auto"/>
                <w:spacing w:val="2"/>
                <w:sz w:val="21"/>
                <w:szCs w:val="21"/>
                <w:lang w:val="en-US" w:eastAsia="zh-CN"/>
              </w:rPr>
              <w:t>a</w:t>
            </w:r>
            <w:r>
              <w:rPr>
                <w:rFonts w:hint="default" w:ascii="Times New Roman" w:hAnsi="Times New Roman" w:eastAsia="宋体" w:cs="Times New Roman"/>
                <w:color w:val="auto"/>
                <w:spacing w:val="2"/>
                <w:sz w:val="21"/>
                <w:szCs w:val="21"/>
              </w:rPr>
              <w:t>）</w:t>
            </w:r>
            <w:r>
              <w:rPr>
                <w:rFonts w:hint="eastAsia" w:ascii="Times New Roman" w:hAnsi="Times New Roman" w:cs="Times New Roman"/>
                <w:color w:val="auto"/>
                <w:spacing w:val="0"/>
                <w:w w:val="100"/>
                <w:kern w:val="0"/>
                <w:position w:val="0"/>
                <w:sz w:val="21"/>
                <w:szCs w:val="21"/>
                <w:highlight w:val="none"/>
                <w:lang w:val="en-US" w:eastAsia="zh-CN"/>
              </w:rPr>
              <w:t xml:space="preserve"> </w:t>
            </w:r>
            <w:r>
              <w:rPr>
                <w:rFonts w:hint="eastAsia" w:ascii="Times New Roman" w:hAnsi="Times New Roman" w:cs="Times New Roman"/>
                <w:color w:val="auto"/>
                <w:spacing w:val="0"/>
                <w:w w:val="100"/>
                <w:kern w:val="0"/>
                <w:position w:val="0"/>
                <w:szCs w:val="21"/>
                <w:highlight w:val="none"/>
                <w:lang w:val="en-US" w:eastAsia="zh-CN"/>
              </w:rPr>
              <w:t xml:space="preserve"> </w:t>
            </w:r>
          </w:p>
        </w:tc>
        <w:tc>
          <w:tcPr>
            <w:tcW w:w="1044" w:type="dxa"/>
            <w:tcBorders>
              <w:tl2br w:val="nil"/>
              <w:tr2bl w:val="nil"/>
            </w:tcBorders>
            <w:noWrap w:val="0"/>
            <w:vAlign w:val="center"/>
          </w:tcPr>
          <w:p>
            <w:pPr>
              <w:adjustRightInd w:val="0"/>
              <w:snapToGrid w:val="0"/>
              <w:ind w:firstLine="210" w:firstLineChars="100"/>
              <w:jc w:val="both"/>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240</w:t>
            </w:r>
          </w:p>
        </w:tc>
        <w:tc>
          <w:tcPr>
            <w:tcW w:w="10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240</w:t>
            </w:r>
          </w:p>
        </w:tc>
        <w:tc>
          <w:tcPr>
            <w:tcW w:w="9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6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883"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合计</w:t>
            </w:r>
          </w:p>
        </w:tc>
        <w:tc>
          <w:tcPr>
            <w:tcW w:w="1044" w:type="dxa"/>
            <w:tcBorders>
              <w:tl2br w:val="nil"/>
              <w:tr2bl w:val="nil"/>
            </w:tcBorders>
            <w:noWrap w:val="0"/>
            <w:vAlign w:val="top"/>
          </w:tcPr>
          <w:p>
            <w:pPr>
              <w:keepNext w:val="0"/>
              <w:keepLines w:val="0"/>
              <w:widowControl/>
              <w:suppressLineNumbers w:val="0"/>
              <w:jc w:val="center"/>
              <w:textAlignment w:val="top"/>
              <w:rPr>
                <w:rFonts w:hint="default" w:ascii="Times New Roman" w:hAnsi="Times New Roman"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266200.4</w:t>
            </w:r>
          </w:p>
        </w:tc>
        <w:tc>
          <w:tcPr>
            <w:tcW w:w="1020" w:type="dxa"/>
            <w:tcBorders>
              <w:tl2br w:val="nil"/>
              <w:tr2bl w:val="nil"/>
            </w:tcBorders>
            <w:noWrap w:val="0"/>
            <w:vAlign w:val="top"/>
          </w:tcPr>
          <w:p>
            <w:pPr>
              <w:keepNext w:val="0"/>
              <w:keepLines w:val="0"/>
              <w:widowControl/>
              <w:suppressLineNumbers w:val="0"/>
              <w:jc w:val="center"/>
              <w:textAlignment w:val="top"/>
              <w:rPr>
                <w:rFonts w:hint="default" w:ascii="Times New Roman" w:hAnsi="Times New Roman"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236395.4</w:t>
            </w:r>
          </w:p>
        </w:tc>
        <w:tc>
          <w:tcPr>
            <w:tcW w:w="960" w:type="dxa"/>
            <w:tcBorders>
              <w:tl2br w:val="nil"/>
              <w:tr2bl w:val="nil"/>
            </w:tcBorders>
            <w:noWrap w:val="0"/>
            <w:vAlign w:val="top"/>
          </w:tcPr>
          <w:p>
            <w:pPr>
              <w:keepNext w:val="0"/>
              <w:keepLines w:val="0"/>
              <w:widowControl/>
              <w:suppressLineNumbers w:val="0"/>
              <w:jc w:val="center"/>
              <w:textAlignment w:val="top"/>
              <w:rPr>
                <w:rFonts w:hint="default" w:ascii="Times New Roman" w:hAnsi="Times New Roman"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29965</w:t>
            </w:r>
          </w:p>
        </w:tc>
        <w:tc>
          <w:tcPr>
            <w:tcW w:w="868" w:type="dxa"/>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b/>
                <w:bCs/>
                <w:color w:val="auto"/>
                <w:spacing w:val="0"/>
                <w:w w:val="100"/>
                <w:kern w:val="0"/>
                <w:position w:val="0"/>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kern w:val="0"/>
          <w:position w:val="0"/>
          <w:sz w:val="24"/>
          <w:szCs w:val="22"/>
          <w:highlight w:val="none"/>
        </w:rPr>
      </w:pPr>
      <w:r>
        <w:rPr>
          <w:rFonts w:hint="default" w:ascii="Times New Roman" w:hAnsi="Times New Roman" w:eastAsia="宋体" w:cs="Times New Roman"/>
          <w:b/>
          <w:bCs/>
          <w:color w:val="auto"/>
          <w:spacing w:val="0"/>
          <w:w w:val="100"/>
          <w:kern w:val="0"/>
          <w:position w:val="0"/>
          <w:sz w:val="24"/>
          <w:szCs w:val="22"/>
          <w:highlight w:val="none"/>
        </w:rPr>
        <w:object>
          <v:shape id="_x0000_i1026" o:spt="75" type="#_x0000_t75" style="height:313.5pt;width:312.75pt;" o:ole="t" filled="f" o:preferrelative="t" stroked="f" coordsize="21600,21600">
            <v:path/>
            <v:fill on="f" focussize="0,0"/>
            <v:stroke on="f"/>
            <v:imagedata r:id="rId23" o:title=""/>
            <o:lock v:ext="edit" aspectratio="f"/>
            <w10:wrap type="none"/>
            <w10:anchorlock/>
          </v:shape>
          <o:OLEObject Type="Embed" ProgID="Visio.Drawing.11" ShapeID="_x0000_i1026" DrawAspect="Content" ObjectID="_1468075726" r:id="rId2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bookmarkStart w:id="517" w:name="_Toc26305"/>
      <w:bookmarkStart w:id="518" w:name="_Toc9310"/>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图2.1-</w:t>
      </w:r>
      <w:r>
        <w:rPr>
          <w:rFonts w:hint="eastAsia" w:ascii="Times New Roman" w:hAnsi="Times New Roman"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项目水平衡图   单位：m</w:t>
      </w:r>
      <w:r>
        <w:rPr>
          <w:rFonts w:hint="default" w:ascii="Times New Roman" w:hAnsi="Times New Roman" w:eastAsia="宋体" w:cs="Times New Roman"/>
          <w:b/>
          <w:bCs w:val="0"/>
          <w:color w:val="auto"/>
          <w:spacing w:val="0"/>
          <w:w w:val="100"/>
          <w:kern w:val="0"/>
          <w:position w:val="0"/>
          <w:sz w:val="24"/>
          <w:szCs w:val="24"/>
          <w:highlight w:val="none"/>
          <w:vertAlign w:val="super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/a</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2.1.7.2供电</w:t>
      </w:r>
      <w:bookmarkEnd w:id="517"/>
      <w:bookmarkEnd w:id="518"/>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bookmarkStart w:id="519" w:name="_Toc28496"/>
      <w:bookmarkStart w:id="520" w:name="_Toc11001"/>
      <w:r>
        <w:rPr>
          <w:rFonts w:hint="default" w:ascii="Times New Roman" w:hAnsi="Times New Roman" w:eastAsia="宋体" w:cs="Times New Roman"/>
          <w:color w:val="auto"/>
          <w:spacing w:val="0"/>
          <w:w w:val="100"/>
          <w:kern w:val="0"/>
          <w:position w:val="0"/>
          <w:highlight w:val="none"/>
          <w:lang w:val="zh-CN"/>
        </w:rPr>
        <w:t>本项目供电接自</w:t>
      </w:r>
      <w:r>
        <w:rPr>
          <w:rFonts w:hint="default" w:ascii="Times New Roman" w:hAnsi="Times New Roman" w:eastAsia="宋体" w:cs="Times New Roman"/>
          <w:b w:val="0"/>
          <w:bCs w:val="0"/>
          <w:color w:val="auto"/>
          <w:spacing w:val="0"/>
          <w:w w:val="100"/>
          <w:kern w:val="0"/>
          <w:position w:val="0"/>
          <w:sz w:val="24"/>
          <w:szCs w:val="24"/>
          <w:lang w:val="en-US" w:eastAsia="zh-CN"/>
        </w:rPr>
        <w:t>乡镇</w:t>
      </w:r>
      <w:r>
        <w:rPr>
          <w:rFonts w:hint="default" w:ascii="Times New Roman" w:hAnsi="Times New Roman" w:eastAsia="宋体" w:cs="Times New Roman"/>
          <w:color w:val="auto"/>
          <w:spacing w:val="0"/>
          <w:w w:val="100"/>
          <w:kern w:val="0"/>
          <w:position w:val="0"/>
          <w:highlight w:val="none"/>
          <w:lang w:val="zh-CN"/>
        </w:rPr>
        <w:t>供电网，经变配电室配送至各用电部位。</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2.1.7.3供暖</w:t>
      </w:r>
      <w:bookmarkEnd w:id="519"/>
      <w:bookmarkEnd w:id="520"/>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本项目供暖主要为冬季职工生活供暖和挤奶厅供暖，建设单位采用</w:t>
      </w:r>
      <w:r>
        <w:rPr>
          <w:rFonts w:hint="default" w:ascii="Times New Roman" w:hAnsi="Times New Roman" w:eastAsia="宋体" w:cs="Times New Roman"/>
          <w:color w:val="auto"/>
          <w:spacing w:val="0"/>
          <w:w w:val="100"/>
          <w:kern w:val="0"/>
          <w:position w:val="0"/>
          <w:highlight w:val="none"/>
          <w:lang w:val="en-US" w:eastAsia="zh-CN"/>
        </w:rPr>
        <w:t>电暖气</w:t>
      </w:r>
      <w:r>
        <w:rPr>
          <w:rFonts w:hint="default" w:ascii="Times New Roman" w:hAnsi="Times New Roman" w:eastAsia="宋体" w:cs="Times New Roman"/>
          <w:color w:val="auto"/>
          <w:spacing w:val="0"/>
          <w:w w:val="100"/>
          <w:kern w:val="0"/>
          <w:position w:val="0"/>
          <w:highlight w:val="none"/>
          <w:lang w:val="zh-CN"/>
        </w:rPr>
        <w:t>供暖。</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2.1.7.4通风</w:t>
      </w:r>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本项目各建筑物采用自然通风和机械通风相结合的通风方式，其中机械通风主要是在牛舍、挤奶厅内安装通风装置。</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21" w:name="_Toc11158"/>
      <w:bookmarkStart w:id="522" w:name="_Toc19144"/>
      <w:bookmarkStart w:id="523" w:name="_Toc31344"/>
      <w:bookmarkStart w:id="524" w:name="_Toc30626"/>
      <w:bookmarkStart w:id="525" w:name="_Toc817"/>
      <w:bookmarkStart w:id="526" w:name="_Toc8186"/>
      <w:bookmarkStart w:id="527" w:name="_Toc12341"/>
      <w:bookmarkStart w:id="528" w:name="_Toc22688"/>
      <w:bookmarkStart w:id="529" w:name="_Toc15122"/>
      <w:r>
        <w:rPr>
          <w:rFonts w:hint="default" w:ascii="Times New Roman" w:hAnsi="Times New Roman" w:eastAsia="宋体" w:cs="Times New Roman"/>
          <w:snapToGrid w:val="0"/>
          <w:color w:val="auto"/>
          <w:spacing w:val="0"/>
          <w:w w:val="100"/>
          <w:kern w:val="0"/>
          <w:position w:val="0"/>
          <w:sz w:val="28"/>
          <w:szCs w:val="28"/>
          <w:highlight w:val="none"/>
          <w:lang w:val="en-US" w:eastAsia="zh-CN"/>
        </w:rPr>
        <w:t>2.1.8劳动定员和工作制度</w:t>
      </w:r>
      <w:bookmarkEnd w:id="521"/>
      <w:bookmarkEnd w:id="522"/>
      <w:bookmarkEnd w:id="523"/>
      <w:bookmarkEnd w:id="524"/>
      <w:bookmarkEnd w:id="525"/>
      <w:bookmarkEnd w:id="526"/>
      <w:bookmarkEnd w:id="527"/>
      <w:bookmarkEnd w:id="528"/>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本项目劳动定员</w:t>
      </w:r>
      <w:r>
        <w:rPr>
          <w:rFonts w:hint="default" w:ascii="Times New Roman" w:hAnsi="Times New Roman" w:cs="Times New Roman"/>
          <w:color w:val="auto"/>
          <w:spacing w:val="0"/>
          <w:w w:val="100"/>
          <w:kern w:val="0"/>
          <w:position w:val="0"/>
          <w:highlight w:val="none"/>
          <w:lang w:val="en-US" w:eastAsia="zh-CN"/>
        </w:rPr>
        <w:t>2</w:t>
      </w:r>
      <w:r>
        <w:rPr>
          <w:rFonts w:hint="default" w:ascii="Times New Roman" w:hAnsi="Times New Roman" w:eastAsia="宋体" w:cs="Times New Roman"/>
          <w:color w:val="auto"/>
          <w:spacing w:val="0"/>
          <w:w w:val="100"/>
          <w:kern w:val="0"/>
          <w:position w:val="0"/>
          <w:highlight w:val="none"/>
          <w:lang w:val="en-US" w:eastAsia="zh-CN"/>
        </w:rPr>
        <w:t>0</w:t>
      </w:r>
      <w:r>
        <w:rPr>
          <w:rFonts w:hint="default" w:ascii="Times New Roman" w:hAnsi="Times New Roman" w:eastAsia="宋体" w:cs="Times New Roman"/>
          <w:color w:val="auto"/>
          <w:spacing w:val="0"/>
          <w:w w:val="100"/>
          <w:kern w:val="0"/>
          <w:position w:val="0"/>
          <w:highlight w:val="none"/>
          <w:lang w:val="zh-CN"/>
        </w:rPr>
        <w:t>人，每天工作8小时，年工作时间为365d。</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30" w:name="_Toc15306"/>
      <w:bookmarkStart w:id="531" w:name="_Toc17630"/>
      <w:bookmarkStart w:id="532" w:name="_Toc30962"/>
      <w:bookmarkStart w:id="533" w:name="_Toc16765"/>
      <w:bookmarkStart w:id="534" w:name="_Toc27410"/>
      <w:bookmarkStart w:id="535" w:name="_Toc13844"/>
      <w:bookmarkStart w:id="536" w:name="_Toc10416"/>
      <w:r>
        <w:rPr>
          <w:rFonts w:hint="default" w:ascii="Times New Roman" w:hAnsi="Times New Roman" w:eastAsia="宋体" w:cs="Times New Roman"/>
          <w:snapToGrid w:val="0"/>
          <w:color w:val="auto"/>
          <w:spacing w:val="0"/>
          <w:w w:val="100"/>
          <w:kern w:val="0"/>
          <w:position w:val="0"/>
          <w:sz w:val="28"/>
          <w:szCs w:val="28"/>
          <w:highlight w:val="none"/>
          <w:lang w:val="en-US" w:eastAsia="zh-CN"/>
        </w:rPr>
        <w:t>2.1.9项目总投资及环保投资</w:t>
      </w:r>
      <w:bookmarkEnd w:id="529"/>
      <w:bookmarkEnd w:id="530"/>
      <w:bookmarkEnd w:id="531"/>
      <w:bookmarkEnd w:id="532"/>
      <w:bookmarkEnd w:id="533"/>
      <w:bookmarkEnd w:id="534"/>
      <w:bookmarkEnd w:id="535"/>
      <w:bookmarkEnd w:id="536"/>
    </w:p>
    <w:p>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本项目总投资</w:t>
      </w:r>
      <w:r>
        <w:rPr>
          <w:rFonts w:hint="default" w:ascii="Times New Roman" w:hAnsi="Times New Roman" w:eastAsia="宋体" w:cs="Times New Roman"/>
          <w:color w:val="auto"/>
          <w:spacing w:val="0"/>
          <w:w w:val="100"/>
          <w:kern w:val="0"/>
          <w:position w:val="0"/>
          <w:highlight w:val="none"/>
          <w:lang w:val="en-US" w:eastAsia="zh-CN"/>
        </w:rPr>
        <w:t>7448.78万元</w:t>
      </w:r>
      <w:r>
        <w:rPr>
          <w:rFonts w:hint="default" w:ascii="Times New Roman" w:hAnsi="Times New Roman" w:eastAsia="宋体" w:cs="Times New Roman"/>
          <w:color w:val="auto"/>
          <w:spacing w:val="0"/>
          <w:w w:val="100"/>
          <w:kern w:val="0"/>
          <w:position w:val="0"/>
          <w:highlight w:val="none"/>
          <w:lang w:val="zh-CN"/>
        </w:rPr>
        <w:t>，环保投资</w:t>
      </w:r>
      <w:r>
        <w:rPr>
          <w:rFonts w:hint="default" w:ascii="Times New Roman" w:hAnsi="Times New Roman" w:eastAsia="宋体" w:cs="Times New Roman"/>
          <w:color w:val="auto"/>
          <w:spacing w:val="0"/>
          <w:w w:val="100"/>
          <w:kern w:val="0"/>
          <w:position w:val="0"/>
          <w:highlight w:val="none"/>
          <w:lang w:val="en-US" w:eastAsia="zh-CN"/>
        </w:rPr>
        <w:t>478.5</w:t>
      </w:r>
      <w:r>
        <w:rPr>
          <w:rFonts w:hint="default" w:ascii="Times New Roman" w:hAnsi="Times New Roman" w:eastAsia="宋体" w:cs="Times New Roman"/>
          <w:color w:val="auto"/>
          <w:spacing w:val="0"/>
          <w:w w:val="100"/>
          <w:kern w:val="0"/>
          <w:position w:val="0"/>
          <w:highlight w:val="none"/>
          <w:lang w:val="zh-CN"/>
        </w:rPr>
        <w:t>万元，占总投资的</w:t>
      </w:r>
      <w:r>
        <w:rPr>
          <w:rFonts w:hint="eastAsia" w:ascii="Times New Roman" w:hAnsi="Times New Roman" w:cs="Times New Roman"/>
          <w:color w:val="auto"/>
          <w:spacing w:val="0"/>
          <w:w w:val="100"/>
          <w:kern w:val="0"/>
          <w:position w:val="0"/>
          <w:highlight w:val="none"/>
          <w:lang w:val="en-US" w:eastAsia="zh-CN"/>
        </w:rPr>
        <w:t>6.42%</w:t>
      </w:r>
      <w:r>
        <w:rPr>
          <w:rFonts w:hint="default" w:ascii="Times New Roman" w:hAnsi="Times New Roman" w:eastAsia="宋体" w:cs="Times New Roman"/>
          <w:color w:val="auto"/>
          <w:spacing w:val="0"/>
          <w:w w:val="100"/>
          <w:kern w:val="0"/>
          <w:position w:val="0"/>
          <w:highlight w:val="none"/>
          <w:lang w:val="zh-CN"/>
        </w:rPr>
        <w:t>。环保投资主要包括施工期污染防治投资、营运期废水、废气、噪声、固废等治理投资，具体分项见表</w:t>
      </w:r>
      <w:r>
        <w:rPr>
          <w:rFonts w:hint="default" w:ascii="Times New Roman" w:hAnsi="Times New Roman" w:eastAsia="宋体" w:cs="Times New Roman"/>
          <w:color w:val="auto"/>
          <w:spacing w:val="0"/>
          <w:w w:val="100"/>
          <w:kern w:val="0"/>
          <w:position w:val="0"/>
          <w:highlight w:val="none"/>
          <w:lang w:val="en-US" w:eastAsia="zh-CN"/>
        </w:rPr>
        <w:t>2</w:t>
      </w:r>
      <w:r>
        <w:rPr>
          <w:rFonts w:hint="default" w:ascii="Times New Roman" w:hAnsi="Times New Roman" w:eastAsia="宋体" w:cs="Times New Roman"/>
          <w:color w:val="auto"/>
          <w:spacing w:val="0"/>
          <w:w w:val="100"/>
          <w:kern w:val="0"/>
          <w:position w:val="0"/>
          <w:highlight w:val="none"/>
          <w:lang w:val="zh-CN"/>
        </w:rPr>
        <w:t>.1-8。</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表2.1-8   环保投资估算一览表</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3"/>
        <w:gridCol w:w="920"/>
        <w:gridCol w:w="1242"/>
        <w:gridCol w:w="5340"/>
        <w:gridCol w:w="1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5" w:type="dxa"/>
            <w:gridSpan w:val="2"/>
            <w:noWrap w:val="0"/>
            <w:vAlign w:val="center"/>
          </w:tcPr>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项目</w:t>
            </w:r>
          </w:p>
        </w:tc>
        <w:tc>
          <w:tcPr>
            <w:tcW w:w="1102" w:type="dxa"/>
            <w:noWrap w:val="0"/>
            <w:vAlign w:val="center"/>
          </w:tcPr>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产污</w:t>
            </w:r>
          </w:p>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环节</w:t>
            </w:r>
          </w:p>
        </w:tc>
        <w:tc>
          <w:tcPr>
            <w:tcW w:w="4738" w:type="dxa"/>
            <w:noWrap w:val="0"/>
            <w:vAlign w:val="center"/>
          </w:tcPr>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环保措施</w:t>
            </w:r>
          </w:p>
        </w:tc>
        <w:tc>
          <w:tcPr>
            <w:tcW w:w="913" w:type="dxa"/>
            <w:noWrap w:val="0"/>
            <w:vAlign w:val="center"/>
          </w:tcPr>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金额</w:t>
            </w:r>
          </w:p>
          <w:p>
            <w:pPr>
              <w:adjustRightInd w:val="0"/>
              <w:snapToGrid w:val="0"/>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w:t>
            </w:r>
            <w:r>
              <w:rPr>
                <w:rFonts w:hint="default" w:ascii="Times New Roman" w:hAnsi="Times New Roman" w:eastAsia="宋体" w:cs="Times New Roman"/>
                <w:b/>
                <w:bCs/>
                <w:snapToGrid w:val="0"/>
                <w:color w:val="auto"/>
                <w:spacing w:val="0"/>
                <w:w w:val="100"/>
                <w:kern w:val="0"/>
                <w:position w:val="0"/>
                <w:sz w:val="18"/>
                <w:szCs w:val="18"/>
                <w:highlight w:val="none"/>
              </w:rPr>
              <w:t>万元</w:t>
            </w:r>
            <w:r>
              <w:rPr>
                <w:rFonts w:hint="default" w:ascii="Times New Roman" w:hAnsi="Times New Roman" w:eastAsia="宋体" w:cs="Times New Roman"/>
                <w:b/>
                <w:bCs/>
                <w:snapToGrid w:val="0"/>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施工期</w:t>
            </w:r>
          </w:p>
        </w:tc>
        <w:tc>
          <w:tcPr>
            <w:tcW w:w="816"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废水治理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施工废水</w:t>
            </w:r>
            <w:r>
              <w:rPr>
                <w:rFonts w:hint="default" w:ascii="Times New Roman" w:hAnsi="Times New Roman" w:cs="Times New Roman"/>
                <w:snapToGrid w:val="0"/>
                <w:color w:val="auto"/>
                <w:spacing w:val="0"/>
                <w:w w:val="100"/>
                <w:kern w:val="0"/>
                <w:position w:val="0"/>
                <w:szCs w:val="21"/>
                <w:highlight w:val="none"/>
                <w:lang w:eastAsia="zh-CN"/>
              </w:rPr>
              <w:t>、</w:t>
            </w:r>
            <w:r>
              <w:rPr>
                <w:rFonts w:hint="default" w:ascii="Times New Roman" w:hAnsi="Times New Roman" w:eastAsia="宋体" w:cs="Times New Roman"/>
                <w:snapToGrid w:val="0"/>
                <w:color w:val="auto"/>
                <w:spacing w:val="0"/>
                <w:w w:val="100"/>
                <w:kern w:val="0"/>
                <w:position w:val="0"/>
                <w:szCs w:val="21"/>
                <w:highlight w:val="none"/>
              </w:rPr>
              <w:t>生活污水</w:t>
            </w:r>
          </w:p>
        </w:tc>
        <w:tc>
          <w:tcPr>
            <w:tcW w:w="473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设置防渗旱厕，生活污水主要为洗漱废水，收集用于泼洒抑尘，施工废水经10m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沉淀池沉淀后回用</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废气处理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扬尘</w:t>
            </w:r>
          </w:p>
        </w:tc>
        <w:tc>
          <w:tcPr>
            <w:tcW w:w="473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施工现场设置围挡，现场定时洒水降尘，道路硬质覆盖，粉性物料采取封闭、遮盖措施，运输车辆加盖苫布，防止扬尘对周围环境的污染</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噪声治理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建筑施工</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选用低噪声施工机械设备，合理安排施工作业时间，施工机械采取减振措施</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固废处理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生活垃圾、建筑垃圾</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建筑垃圾及施工弃土清运至指定地点，弃土作为回填材料利用</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snapToGrid w:val="0"/>
                <w:color w:val="auto"/>
                <w:spacing w:val="0"/>
                <w:w w:val="100"/>
                <w:kern w:val="0"/>
                <w:position w:val="0"/>
                <w:szCs w:val="21"/>
                <w:highlight w:val="none"/>
              </w:rPr>
              <w:t>运营期</w:t>
            </w:r>
          </w:p>
        </w:tc>
        <w:tc>
          <w:tcPr>
            <w:tcW w:w="816"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废水处理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生活废水、生产废水</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污水处理站1座，</w:t>
            </w:r>
            <w:r>
              <w:rPr>
                <w:rFonts w:hint="default" w:ascii="Times New Roman" w:hAnsi="Times New Roman" w:eastAsia="宋体" w:cs="Times New Roman"/>
                <w:color w:val="auto"/>
                <w:spacing w:val="0"/>
                <w:w w:val="100"/>
                <w:kern w:val="0"/>
                <w:position w:val="0"/>
                <w:szCs w:val="21"/>
                <w:highlight w:val="none"/>
                <w:lang w:val="zh-CN"/>
              </w:rPr>
              <w:t>处理规模为</w:t>
            </w:r>
            <w:r>
              <w:rPr>
                <w:rFonts w:hint="default" w:ascii="Times New Roman" w:hAnsi="Times New Roman" w:cs="Times New Roman"/>
                <w:color w:val="auto"/>
                <w:spacing w:val="0"/>
                <w:w w:val="100"/>
                <w:kern w:val="0"/>
                <w:position w:val="0"/>
                <w:szCs w:val="21"/>
                <w:highlight w:val="none"/>
                <w:lang w:val="en-US" w:eastAsia="zh-CN"/>
              </w:rPr>
              <w:t>10</w:t>
            </w:r>
            <w:r>
              <w:rPr>
                <w:rFonts w:hint="default" w:ascii="Times New Roman" w:hAnsi="Times New Roman" w:eastAsia="宋体" w:cs="Times New Roman"/>
                <w:color w:val="auto"/>
                <w:spacing w:val="0"/>
                <w:w w:val="100"/>
                <w:kern w:val="0"/>
                <w:position w:val="0"/>
                <w:szCs w:val="21"/>
                <w:highlight w:val="none"/>
              </w:rPr>
              <w:t>0m</w:t>
            </w:r>
            <w:r>
              <w:rPr>
                <w:rFonts w:hint="default" w:ascii="Times New Roman" w:hAnsi="Times New Roman" w:eastAsia="宋体" w:cs="Times New Roman"/>
                <w:color w:val="auto"/>
                <w:spacing w:val="0"/>
                <w:w w:val="100"/>
                <w:kern w:val="0"/>
                <w:position w:val="0"/>
                <w:szCs w:val="21"/>
                <w:highlight w:val="none"/>
                <w:vertAlign w:val="superscript"/>
              </w:rPr>
              <w:t>3</w:t>
            </w:r>
            <w:r>
              <w:rPr>
                <w:rFonts w:hint="default" w:ascii="Times New Roman" w:hAnsi="Times New Roman" w:eastAsia="宋体" w:cs="Times New Roman"/>
                <w:color w:val="auto"/>
                <w:spacing w:val="0"/>
                <w:w w:val="100"/>
                <w:kern w:val="0"/>
                <w:position w:val="0"/>
                <w:szCs w:val="21"/>
                <w:highlight w:val="none"/>
              </w:rPr>
              <w:t>/d</w:t>
            </w:r>
            <w:r>
              <w:rPr>
                <w:rFonts w:hint="default" w:ascii="Times New Roman" w:hAnsi="Times New Roman" w:eastAsia="宋体" w:cs="Times New Roman"/>
                <w:color w:val="auto"/>
                <w:spacing w:val="0"/>
                <w:w w:val="100"/>
                <w:kern w:val="0"/>
                <w:position w:val="0"/>
                <w:szCs w:val="21"/>
                <w:highlight w:val="none"/>
                <w:lang w:val="zh-CN"/>
              </w:rPr>
              <w:t>，处理工艺为“</w:t>
            </w:r>
            <w:r>
              <w:rPr>
                <w:rFonts w:hint="default" w:ascii="Times New Roman" w:hAnsi="Times New Roman" w:eastAsia="宋体" w:cs="Times New Roman"/>
                <w:color w:val="auto"/>
                <w:spacing w:val="0"/>
                <w:w w:val="100"/>
                <w:kern w:val="0"/>
                <w:position w:val="0"/>
                <w:sz w:val="21"/>
                <w:szCs w:val="21"/>
                <w:highlight w:val="none"/>
                <w:lang w:eastAsia="zh-CN"/>
              </w:rPr>
              <w:t>初沉池</w:t>
            </w:r>
            <w:r>
              <w:rPr>
                <w:rFonts w:hint="default" w:ascii="Times New Roman" w:hAnsi="Times New Roman" w:eastAsia="宋体" w:cs="Times New Roman"/>
                <w:color w:val="auto"/>
                <w:spacing w:val="0"/>
                <w:w w:val="100"/>
                <w:kern w:val="0"/>
                <w:position w:val="0"/>
                <w:sz w:val="21"/>
                <w:szCs w:val="21"/>
                <w:highlight w:val="none"/>
              </w:rPr>
              <w:t>+调节池+</w:t>
            </w:r>
            <w:r>
              <w:rPr>
                <w:rFonts w:hint="default" w:ascii="Times New Roman" w:hAnsi="Times New Roman" w:eastAsia="宋体" w:cs="Times New Roman"/>
                <w:color w:val="auto"/>
                <w:spacing w:val="0"/>
                <w:w w:val="100"/>
                <w:kern w:val="0"/>
                <w:position w:val="0"/>
                <w:sz w:val="21"/>
                <w:szCs w:val="21"/>
                <w:highlight w:val="none"/>
                <w:lang w:eastAsia="zh-CN"/>
              </w:rPr>
              <w:t>压滤机</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中间水池</w:t>
            </w:r>
            <w:r>
              <w:rPr>
                <w:rFonts w:hint="default" w:ascii="Times New Roman" w:hAnsi="Times New Roman" w:eastAsia="宋体" w:cs="Times New Roman"/>
                <w:color w:val="auto"/>
                <w:spacing w:val="0"/>
                <w:w w:val="100"/>
                <w:kern w:val="0"/>
                <w:position w:val="0"/>
                <w:sz w:val="21"/>
                <w:szCs w:val="21"/>
                <w:highlight w:val="none"/>
              </w:rPr>
              <w:t>+A/O</w:t>
            </w:r>
            <w:r>
              <w:rPr>
                <w:rFonts w:hint="default" w:ascii="Times New Roman" w:hAnsi="Times New Roman" w:eastAsia="宋体" w:cs="Times New Roman"/>
                <w:color w:val="auto"/>
                <w:spacing w:val="0"/>
                <w:w w:val="100"/>
                <w:kern w:val="0"/>
                <w:position w:val="0"/>
                <w:sz w:val="21"/>
                <w:szCs w:val="21"/>
                <w:highlight w:val="none"/>
                <w:lang w:val="en-US" w:eastAsia="zh-CN"/>
              </w:rPr>
              <w:t>/O</w:t>
            </w:r>
            <w:r>
              <w:rPr>
                <w:rFonts w:hint="default" w:ascii="Times New Roman" w:hAnsi="Times New Roman" w:eastAsia="宋体" w:cs="Times New Roman"/>
                <w:color w:val="auto"/>
                <w:spacing w:val="0"/>
                <w:w w:val="100"/>
                <w:kern w:val="0"/>
                <w:position w:val="0"/>
                <w:sz w:val="21"/>
                <w:szCs w:val="21"/>
                <w:highlight w:val="none"/>
              </w:rPr>
              <w:t>反应池+二沉池</w:t>
            </w:r>
            <w:r>
              <w:rPr>
                <w:rFonts w:hint="default" w:ascii="Times New Roman" w:hAnsi="Times New Roman" w:eastAsia="宋体" w:cs="Times New Roman"/>
                <w:color w:val="auto"/>
                <w:spacing w:val="0"/>
                <w:w w:val="100"/>
                <w:kern w:val="0"/>
                <w:position w:val="0"/>
                <w:sz w:val="21"/>
                <w:szCs w:val="21"/>
                <w:highlight w:val="none"/>
                <w:lang w:val="en-US" w:eastAsia="zh-CN"/>
              </w:rPr>
              <w:t>+消毒池”</w:t>
            </w:r>
            <w:r>
              <w:rPr>
                <w:rFonts w:hint="default" w:ascii="Times New Roman" w:hAnsi="Times New Roman" w:eastAsia="宋体" w:cs="Times New Roman"/>
                <w:color w:val="auto"/>
                <w:spacing w:val="0"/>
                <w:w w:val="100"/>
                <w:kern w:val="0"/>
                <w:position w:val="0"/>
                <w:sz w:val="21"/>
                <w:szCs w:val="21"/>
                <w:highlight w:val="none"/>
              </w:rPr>
              <w:t>；建设废水</w:t>
            </w:r>
            <w:r>
              <w:rPr>
                <w:rFonts w:hint="default" w:ascii="Times New Roman" w:hAnsi="Times New Roman" w:eastAsia="宋体" w:cs="Times New Roman"/>
                <w:color w:val="auto"/>
                <w:spacing w:val="0"/>
                <w:w w:val="100"/>
                <w:kern w:val="0"/>
                <w:position w:val="0"/>
                <w:sz w:val="21"/>
                <w:szCs w:val="21"/>
                <w:highlight w:val="none"/>
                <w:lang w:eastAsia="zh-CN"/>
              </w:rPr>
              <w:t>氧化塘</w:t>
            </w:r>
            <w:r>
              <w:rPr>
                <w:rFonts w:hint="default" w:ascii="Times New Roman" w:hAnsi="Times New Roman" w:eastAsia="宋体" w:cs="Times New Roman"/>
                <w:color w:val="auto"/>
                <w:spacing w:val="0"/>
                <w:w w:val="100"/>
                <w:kern w:val="0"/>
                <w:position w:val="0"/>
                <w:sz w:val="21"/>
                <w:szCs w:val="21"/>
                <w:highlight w:val="none"/>
              </w:rPr>
              <w:t>，总容积为</w:t>
            </w:r>
            <w:r>
              <w:rPr>
                <w:rFonts w:hint="default" w:ascii="Times New Roman" w:hAnsi="Times New Roman" w:cs="Times New Roman"/>
                <w:color w:val="auto"/>
                <w:spacing w:val="0"/>
                <w:w w:val="100"/>
                <w:kern w:val="0"/>
                <w:position w:val="0"/>
                <w:sz w:val="21"/>
                <w:szCs w:val="21"/>
                <w:highlight w:val="none"/>
                <w:lang w:val="en-US" w:eastAsia="zh-CN"/>
              </w:rPr>
              <w:t>16000m</w:t>
            </w:r>
            <w:r>
              <w:rPr>
                <w:rFonts w:hint="default" w:ascii="Times New Roman" w:hAnsi="Times New Roman" w:eastAsia="宋体" w:cs="Times New Roman"/>
                <w:color w:val="auto"/>
                <w:spacing w:val="0"/>
                <w:w w:val="100"/>
                <w:kern w:val="0"/>
                <w:position w:val="0"/>
                <w:sz w:val="21"/>
                <w:szCs w:val="21"/>
                <w:highlight w:val="none"/>
                <w:vertAlign w:val="superscript"/>
              </w:rPr>
              <w:t>3</w:t>
            </w:r>
            <w:r>
              <w:rPr>
                <w:rFonts w:hint="default" w:ascii="Times New Roman" w:hAnsi="Times New Roman" w:eastAsia="宋体" w:cs="Times New Roman"/>
                <w:color w:val="auto"/>
                <w:spacing w:val="0"/>
                <w:w w:val="100"/>
                <w:kern w:val="0"/>
                <w:position w:val="0"/>
                <w:sz w:val="21"/>
                <w:szCs w:val="21"/>
                <w:highlight w:val="none"/>
              </w:rPr>
              <w:t>。污水处理站配备污泥压滤机对污泥进行脱水处理</w:t>
            </w:r>
            <w:r>
              <w:rPr>
                <w:rFonts w:hint="default" w:ascii="Times New Roman" w:hAnsi="Times New Roman" w:eastAsia="宋体" w:cs="Times New Roman"/>
                <w:color w:val="auto"/>
                <w:spacing w:val="0"/>
                <w:w w:val="100"/>
                <w:kern w:val="0"/>
                <w:position w:val="0"/>
                <w:sz w:val="21"/>
                <w:szCs w:val="21"/>
                <w:highlight w:val="none"/>
                <w:lang w:val="en-US" w:eastAsia="zh-CN"/>
              </w:rPr>
              <w:t>。</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eastAsia" w:ascii="Times New Roman" w:hAnsi="Times New Roman" w:cs="Times New Roman"/>
                <w:snapToGrid w:val="0"/>
                <w:color w:val="auto"/>
                <w:spacing w:val="0"/>
                <w:w w:val="100"/>
                <w:kern w:val="0"/>
                <w:position w:val="0"/>
                <w:szCs w:val="21"/>
                <w:highlight w:val="none"/>
                <w:lang w:val="en-US" w:eastAsia="zh-CN"/>
              </w:rPr>
              <w:t>1</w:t>
            </w:r>
            <w:r>
              <w:rPr>
                <w:rFonts w:hint="default" w:ascii="Times New Roman" w:hAnsi="Times New Roman" w:eastAsia="宋体" w:cs="Times New Roman"/>
                <w:snapToGrid w:val="0"/>
                <w:color w:val="auto"/>
                <w:spacing w:val="0"/>
                <w:w w:val="100"/>
                <w:kern w:val="0"/>
                <w:position w:val="0"/>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地下水防渗</w:t>
            </w:r>
          </w:p>
        </w:tc>
        <w:tc>
          <w:tcPr>
            <w:tcW w:w="4738" w:type="dxa"/>
            <w:noWrap w:val="0"/>
            <w:vAlign w:val="center"/>
          </w:tcPr>
          <w:p>
            <w:pPr>
              <w:adjustRightInd w:val="0"/>
              <w:snapToGrid w:val="0"/>
              <w:ind w:firstLine="420" w:firstLineChars="200"/>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采取分区防渗措施，对危险废物暂存间、污水处理站、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、氧化塘</w:t>
            </w:r>
            <w:r>
              <w:rPr>
                <w:rFonts w:hint="default" w:ascii="Times New Roman" w:hAnsi="Times New Roman" w:eastAsia="宋体" w:cs="Times New Roman"/>
                <w:color w:val="auto"/>
                <w:spacing w:val="0"/>
                <w:w w:val="100"/>
                <w:kern w:val="0"/>
                <w:position w:val="0"/>
                <w:szCs w:val="21"/>
                <w:highlight w:val="none"/>
              </w:rPr>
              <w:t>做重点防渗，其中危废暂存间防渗性能需满足《危险废物贮存污染控制标准》（GB18597-2001）要求，基础必须防渗，防渗层为至少1m</w:t>
            </w:r>
            <w:r>
              <w:rPr>
                <w:rFonts w:hint="default" w:ascii="Times New Roman" w:hAnsi="Times New Roman" w:eastAsia="宋体" w:cs="Times New Roman"/>
                <w:color w:val="auto"/>
                <w:spacing w:val="0"/>
                <w:w w:val="100"/>
                <w:kern w:val="0"/>
                <w:position w:val="0"/>
                <w:szCs w:val="21"/>
                <w:highlight w:val="none"/>
                <w:lang w:eastAsia="zh-CN"/>
              </w:rPr>
              <w:t>厚</w:t>
            </w:r>
            <w:r>
              <w:rPr>
                <w:rFonts w:hint="default" w:ascii="Times New Roman" w:hAnsi="Times New Roman" w:eastAsia="宋体" w:cs="Times New Roman"/>
                <w:color w:val="auto"/>
                <w:spacing w:val="0"/>
                <w:w w:val="100"/>
                <w:kern w:val="0"/>
                <w:position w:val="0"/>
                <w:szCs w:val="21"/>
                <w:highlight w:val="none"/>
              </w:rPr>
              <w:t>粘土层（渗透系数≤1.0×10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及氧化塘</w:t>
            </w:r>
            <w:r>
              <w:rPr>
                <w:rFonts w:hint="default" w:ascii="Times New Roman" w:hAnsi="Times New Roman" w:eastAsia="宋体" w:cs="Times New Roman"/>
                <w:color w:val="auto"/>
                <w:spacing w:val="0"/>
                <w:w w:val="100"/>
                <w:kern w:val="0"/>
                <w:position w:val="0"/>
                <w:szCs w:val="21"/>
                <w:highlight w:val="none"/>
              </w:rPr>
              <w:t>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cm/s的黏土层。对牛舍、挤奶厅做一般防渗，其防渗层的防渗性能不低于1.5m厚渗透系数为1.0×10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eastAsia" w:ascii="Times New Roman" w:hAnsi="Times New Roman" w:cs="Times New Roman"/>
                <w:snapToGrid w:val="0"/>
                <w:color w:val="auto"/>
                <w:spacing w:val="0"/>
                <w:w w:val="100"/>
                <w:kern w:val="0"/>
                <w:position w:val="0"/>
                <w:szCs w:val="21"/>
                <w:highlight w:val="none"/>
                <w:lang w:val="en-US" w:eastAsia="zh-CN"/>
              </w:rPr>
              <w:t>1</w:t>
            </w:r>
            <w:r>
              <w:rPr>
                <w:rFonts w:hint="default" w:ascii="Times New Roman" w:hAnsi="Times New Roman" w:eastAsia="宋体" w:cs="Times New Roman"/>
                <w:snapToGrid w:val="0"/>
                <w:color w:val="auto"/>
                <w:spacing w:val="0"/>
                <w:w w:val="100"/>
                <w:kern w:val="0"/>
                <w:position w:val="0"/>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运营期</w:t>
            </w:r>
          </w:p>
        </w:tc>
        <w:tc>
          <w:tcPr>
            <w:tcW w:w="816"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废气处理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饲料加工粉尘</w:t>
            </w:r>
          </w:p>
        </w:tc>
        <w:tc>
          <w:tcPr>
            <w:tcW w:w="473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饲料加工粉碎在半封闭式厂房内进行，采用日粮混合机进行湿润搅拌，设备自带除尘设施</w:t>
            </w:r>
            <w:r>
              <w:rPr>
                <w:rFonts w:hint="default" w:ascii="Times New Roman" w:hAnsi="Times New Roman" w:eastAsia="宋体" w:cs="Times New Roman"/>
                <w:color w:val="auto"/>
                <w:spacing w:val="0"/>
                <w:w w:val="100"/>
                <w:kern w:val="0"/>
                <w:position w:val="0"/>
                <w:szCs w:val="21"/>
                <w:highlight w:val="none"/>
                <w:lang w:eastAsia="zh-CN"/>
              </w:rPr>
              <w:t>除尘效率</w:t>
            </w:r>
            <w:r>
              <w:rPr>
                <w:rFonts w:hint="default" w:ascii="Times New Roman" w:hAnsi="Times New Roman" w:eastAsia="宋体" w:cs="Times New Roman"/>
                <w:color w:val="auto"/>
                <w:spacing w:val="0"/>
                <w:w w:val="100"/>
                <w:kern w:val="0"/>
                <w:position w:val="0"/>
                <w:szCs w:val="21"/>
                <w:highlight w:val="none"/>
                <w:lang w:val="en-US" w:eastAsia="zh-CN"/>
              </w:rPr>
              <w:t>95%</w:t>
            </w:r>
            <w:r>
              <w:rPr>
                <w:rFonts w:hint="default" w:ascii="Times New Roman" w:hAnsi="Times New Roman" w:eastAsia="宋体" w:cs="Times New Roman"/>
                <w:color w:val="auto"/>
                <w:spacing w:val="0"/>
                <w:w w:val="100"/>
                <w:kern w:val="0"/>
                <w:position w:val="0"/>
                <w:szCs w:val="21"/>
                <w:highlight w:val="none"/>
              </w:rPr>
              <w:t>，粉尘以无组织形式排放。</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102"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恶臭</w:t>
            </w:r>
          </w:p>
        </w:tc>
        <w:tc>
          <w:tcPr>
            <w:tcW w:w="4738" w:type="dxa"/>
            <w:noWrap w:val="0"/>
            <w:vAlign w:val="center"/>
          </w:tcPr>
          <w:p>
            <w:pPr>
              <w:keepNext w:val="0"/>
              <w:keepLines w:val="0"/>
              <w:pageBreakBefore w:val="0"/>
              <w:kinsoku/>
              <w:wordWrap/>
              <w:topLinePunct w:val="0"/>
              <w:autoSpaceDE/>
              <w:autoSpaceDN/>
              <w:bidi w:val="0"/>
              <w:adjustRightInd w:val="0"/>
              <w:snapToGrid w:val="0"/>
              <w:spacing w:line="240" w:lineRule="auto"/>
              <w:ind w:right="0" w:rightChars="0" w:firstLine="420" w:firstLineChars="200"/>
              <w:jc w:val="left"/>
              <w:rPr>
                <w:rFonts w:hint="default" w:ascii="Times New Roman" w:hAnsi="Times New Roman" w:eastAsia="宋体" w:cs="Times New Roman"/>
                <w:b w:val="0"/>
                <w:bCs w:val="0"/>
                <w:color w:val="auto"/>
                <w:spacing w:val="0"/>
                <w:w w:val="100"/>
                <w:kern w:val="0"/>
                <w:position w:val="0"/>
                <w:highlight w:val="none"/>
                <w:lang w:eastAsia="zh-CN"/>
              </w:rPr>
            </w:pPr>
            <w:r>
              <w:rPr>
                <w:rFonts w:hint="eastAsia" w:ascii="Times New Roman" w:hAnsi="Times New Roman" w:cs="Times New Roman"/>
                <w:b w:val="0"/>
                <w:bCs w:val="0"/>
                <w:color w:val="auto"/>
                <w:spacing w:val="0"/>
                <w:w w:val="100"/>
                <w:kern w:val="0"/>
                <w:position w:val="0"/>
                <w:highlight w:val="none"/>
                <w:lang w:eastAsia="zh-CN"/>
              </w:rPr>
              <w:t>牛舍</w:t>
            </w:r>
            <w:r>
              <w:rPr>
                <w:rFonts w:hint="default" w:ascii="Times New Roman" w:hAnsi="Times New Roman" w:eastAsia="宋体" w:cs="Times New Roman"/>
                <w:b w:val="0"/>
                <w:bCs w:val="0"/>
                <w:color w:val="auto"/>
                <w:spacing w:val="0"/>
                <w:w w:val="100"/>
                <w:kern w:val="0"/>
                <w:position w:val="0"/>
                <w:highlight w:val="none"/>
              </w:rPr>
              <w:t>：对</w:t>
            </w:r>
            <w:r>
              <w:rPr>
                <w:rFonts w:hint="eastAsia" w:ascii="Times New Roman" w:hAnsi="Times New Roman" w:cs="Times New Roman"/>
                <w:b w:val="0"/>
                <w:bCs w:val="0"/>
                <w:color w:val="auto"/>
                <w:spacing w:val="0"/>
                <w:w w:val="100"/>
                <w:kern w:val="0"/>
                <w:position w:val="0"/>
                <w:highlight w:val="none"/>
                <w:lang w:eastAsia="zh-CN"/>
              </w:rPr>
              <w:t>牛舍</w:t>
            </w:r>
            <w:r>
              <w:rPr>
                <w:rFonts w:hint="default" w:ascii="Times New Roman" w:hAnsi="Times New Roman" w:eastAsia="宋体" w:cs="Times New Roman"/>
                <w:b w:val="0"/>
                <w:bCs w:val="0"/>
                <w:color w:val="auto"/>
                <w:spacing w:val="0"/>
                <w:w w:val="100"/>
                <w:kern w:val="0"/>
                <w:position w:val="0"/>
                <w:highlight w:val="none"/>
              </w:rPr>
              <w:t>及运动场的牛粪，采用干清粪方式及时进行清理，定期消毒，喷洒除臭剂（生石灰）等。减少恶臭污染物的蓄积</w:t>
            </w:r>
            <w:r>
              <w:rPr>
                <w:rFonts w:hint="default" w:ascii="Times New Roman" w:hAnsi="Times New Roman" w:eastAsia="宋体" w:cs="Times New Roman"/>
                <w:b w:val="0"/>
                <w:bCs w:val="0"/>
                <w:color w:val="auto"/>
                <w:spacing w:val="0"/>
                <w:w w:val="100"/>
                <w:kern w:val="0"/>
                <w:position w:val="0"/>
                <w:highlight w:val="none"/>
                <w:lang w:eastAsia="zh-CN"/>
              </w:rPr>
              <w:t>。</w:t>
            </w:r>
          </w:p>
          <w:p>
            <w:pPr>
              <w:pStyle w:val="36"/>
              <w:ind w:firstLine="420" w:firstLineChars="200"/>
              <w:rPr>
                <w:rFonts w:hint="default" w:ascii="Times New Roman" w:hAnsi="Times New Roman" w:eastAsia="宋体" w:cs="Times New Roman"/>
                <w:b w:val="0"/>
                <w:bCs w:val="0"/>
                <w:color w:val="auto"/>
                <w:spacing w:val="0"/>
                <w:w w:val="100"/>
                <w:kern w:val="0"/>
                <w:position w:val="0"/>
                <w:highlight w:val="none"/>
              </w:rPr>
            </w:pPr>
            <w:r>
              <w:rPr>
                <w:rFonts w:hint="default" w:ascii="Times New Roman" w:hAnsi="Times New Roman" w:eastAsia="宋体" w:cs="Times New Roman"/>
                <w:b w:val="0"/>
                <w:bCs w:val="0"/>
                <w:color w:val="auto"/>
                <w:spacing w:val="0"/>
                <w:w w:val="100"/>
                <w:kern w:val="0"/>
                <w:position w:val="0"/>
                <w:sz w:val="21"/>
                <w:szCs w:val="24"/>
                <w:highlight w:val="none"/>
                <w:lang w:val="en-US" w:eastAsia="zh-CN" w:bidi="ar-SA"/>
              </w:rPr>
              <w:t>饲养过程：需科学管理、调配饲料等措施治理恶臭。</w:t>
            </w:r>
          </w:p>
        </w:tc>
        <w:tc>
          <w:tcPr>
            <w:tcW w:w="913"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816"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1102"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4738" w:type="dxa"/>
            <w:noWrap w:val="0"/>
            <w:vAlign w:val="center"/>
          </w:tcPr>
          <w:p>
            <w:pPr>
              <w:keepNext w:val="0"/>
              <w:keepLines w:val="0"/>
              <w:pageBreakBefore w:val="0"/>
              <w:kinsoku/>
              <w:wordWrap/>
              <w:topLinePunct w:val="0"/>
              <w:autoSpaceDE/>
              <w:autoSpaceDN/>
              <w:bidi w:val="0"/>
              <w:adjustRightInd w:val="0"/>
              <w:snapToGrid w:val="0"/>
              <w:spacing w:line="240" w:lineRule="auto"/>
              <w:ind w:left="0" w:leftChars="0" w:right="0" w:rightChars="0" w:firstLine="420" w:firstLineChars="200"/>
              <w:jc w:val="left"/>
              <w:rPr>
                <w:rFonts w:hint="default" w:ascii="Times New Roman" w:hAnsi="Times New Roman" w:eastAsia="宋体" w:cs="Times New Roman"/>
                <w:b w:val="0"/>
                <w:bCs w:val="0"/>
                <w:color w:val="auto"/>
                <w:spacing w:val="0"/>
                <w:w w:val="100"/>
                <w:kern w:val="0"/>
                <w:position w:val="0"/>
                <w:highlight w:val="none"/>
                <w:lang w:eastAsia="zh-CN"/>
              </w:rPr>
            </w:pPr>
            <w:r>
              <w:rPr>
                <w:rFonts w:hint="default" w:ascii="Times New Roman" w:hAnsi="Times New Roman" w:cs="Times New Roman"/>
                <w:b w:val="0"/>
                <w:bCs w:val="0"/>
                <w:color w:val="auto"/>
                <w:spacing w:val="0"/>
                <w:w w:val="100"/>
                <w:kern w:val="0"/>
                <w:position w:val="0"/>
                <w:highlight w:val="none"/>
                <w:lang w:eastAsia="zh-CN"/>
              </w:rPr>
              <w:t>堆粪棚</w:t>
            </w:r>
            <w:r>
              <w:rPr>
                <w:rFonts w:hint="default" w:ascii="Times New Roman" w:hAnsi="Times New Roman" w:eastAsia="宋体" w:cs="Times New Roman"/>
                <w:b w:val="0"/>
                <w:bCs w:val="0"/>
                <w:color w:val="auto"/>
                <w:spacing w:val="0"/>
                <w:w w:val="100"/>
                <w:kern w:val="0"/>
                <w:position w:val="0"/>
                <w:highlight w:val="none"/>
              </w:rPr>
              <w:t>：加强过程控制和清运管理，减少牛粪堆存，定期消毒，及时清出</w:t>
            </w:r>
            <w:r>
              <w:rPr>
                <w:rFonts w:hint="default" w:ascii="Times New Roman" w:hAnsi="Times New Roman" w:cs="Times New Roman"/>
                <w:b w:val="0"/>
                <w:bCs w:val="0"/>
                <w:color w:val="auto"/>
                <w:spacing w:val="0"/>
                <w:w w:val="100"/>
                <w:kern w:val="0"/>
                <w:position w:val="0"/>
                <w:highlight w:val="none"/>
                <w:lang w:eastAsia="zh-CN"/>
              </w:rPr>
              <w:t>堆粪棚</w:t>
            </w:r>
            <w:r>
              <w:rPr>
                <w:rFonts w:hint="default" w:ascii="Times New Roman" w:hAnsi="Times New Roman" w:eastAsia="宋体" w:cs="Times New Roman"/>
                <w:b w:val="0"/>
                <w:bCs w:val="0"/>
                <w:color w:val="auto"/>
                <w:spacing w:val="0"/>
                <w:w w:val="100"/>
                <w:kern w:val="0"/>
                <w:position w:val="0"/>
                <w:highlight w:val="none"/>
              </w:rPr>
              <w:t>牛粪（堆存时间不得超过1周），对</w:t>
            </w:r>
            <w:r>
              <w:rPr>
                <w:rFonts w:hint="default" w:ascii="Times New Roman" w:hAnsi="Times New Roman" w:cs="Times New Roman"/>
                <w:b w:val="0"/>
                <w:bCs w:val="0"/>
                <w:color w:val="auto"/>
                <w:spacing w:val="0"/>
                <w:w w:val="100"/>
                <w:kern w:val="0"/>
                <w:position w:val="0"/>
                <w:highlight w:val="none"/>
                <w:lang w:eastAsia="zh-CN"/>
              </w:rPr>
              <w:t>堆粪棚</w:t>
            </w:r>
            <w:r>
              <w:rPr>
                <w:rFonts w:hint="default" w:ascii="Times New Roman" w:hAnsi="Times New Roman" w:eastAsia="宋体" w:cs="Times New Roman"/>
                <w:b w:val="0"/>
                <w:bCs w:val="0"/>
                <w:color w:val="auto"/>
                <w:spacing w:val="0"/>
                <w:w w:val="100"/>
                <w:kern w:val="0"/>
                <w:position w:val="0"/>
                <w:highlight w:val="none"/>
              </w:rPr>
              <w:t>定期喷洒除臭剂</w:t>
            </w:r>
            <w:r>
              <w:rPr>
                <w:rFonts w:hint="default" w:ascii="Times New Roman" w:hAnsi="Times New Roman" w:eastAsia="宋体" w:cs="Times New Roman"/>
                <w:b w:val="0"/>
                <w:bCs w:val="0"/>
                <w:color w:val="auto"/>
                <w:spacing w:val="0"/>
                <w:w w:val="100"/>
                <w:kern w:val="0"/>
                <w:position w:val="0"/>
                <w:highlight w:val="none"/>
                <w:lang w:eastAsia="zh-CN"/>
              </w:rPr>
              <w:t>。</w:t>
            </w:r>
          </w:p>
        </w:tc>
        <w:tc>
          <w:tcPr>
            <w:tcW w:w="913"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816"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1102"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c>
          <w:tcPr>
            <w:tcW w:w="4738" w:type="dxa"/>
            <w:noWrap w:val="0"/>
            <w:vAlign w:val="center"/>
          </w:tcPr>
          <w:p>
            <w:pPr>
              <w:keepNext w:val="0"/>
              <w:keepLines w:val="0"/>
              <w:pageBreakBefore w:val="0"/>
              <w:kinsoku/>
              <w:wordWrap/>
              <w:topLinePunct w:val="0"/>
              <w:autoSpaceDE/>
              <w:autoSpaceDN/>
              <w:bidi w:val="0"/>
              <w:adjustRightInd w:val="0"/>
              <w:snapToGrid w:val="0"/>
              <w:spacing w:line="240" w:lineRule="auto"/>
              <w:ind w:left="0" w:leftChars="0" w:right="0" w:rightChars="0" w:firstLine="420" w:firstLineChars="200"/>
              <w:jc w:val="lef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污水处理站：各类池体加盖封闭，加强周边绿化、喷洒除臭剂。</w:t>
            </w:r>
          </w:p>
        </w:tc>
        <w:tc>
          <w:tcPr>
            <w:tcW w:w="913" w:type="dxa"/>
            <w:vMerge w:val="continue"/>
            <w:noWrap w:val="0"/>
            <w:vAlign w:val="center"/>
          </w:tcPr>
          <w:p>
            <w:pPr>
              <w:pStyle w:val="36"/>
              <w:ind w:firstLine="0"/>
              <w:rPr>
                <w:rFonts w:hint="default" w:ascii="Times New Roman" w:hAnsi="Times New Roman" w:eastAsia="宋体" w:cs="Times New Roman"/>
                <w:color w:val="auto"/>
                <w:spacing w:val="0"/>
                <w:w w:val="100"/>
                <w:kern w:val="0"/>
                <w:position w:val="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噪声治理</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设备运转</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设备降噪减振、管线等设置软管连接装置</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restart"/>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固体废物</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生活垃圾</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生活垃圾收集设施</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医疗废物</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设危险废物暂存间1座（</w:t>
            </w:r>
            <w:r>
              <w:rPr>
                <w:rFonts w:hint="default" w:ascii="Times New Roman" w:hAnsi="Times New Roman" w:eastAsia="宋体" w:cs="Times New Roman"/>
                <w:snapToGrid w:val="0"/>
                <w:color w:val="auto"/>
                <w:spacing w:val="0"/>
                <w:w w:val="100"/>
                <w:kern w:val="0"/>
                <w:position w:val="0"/>
                <w:szCs w:val="21"/>
                <w:highlight w:val="none"/>
                <w:lang w:val="en-US" w:eastAsia="zh-CN"/>
              </w:rPr>
              <w:t>10</w:t>
            </w:r>
            <w:r>
              <w:rPr>
                <w:rFonts w:hint="default" w:ascii="Times New Roman" w:hAnsi="Times New Roman" w:eastAsia="宋体" w:cs="Times New Roman"/>
                <w:snapToGrid w:val="0"/>
                <w:color w:val="auto"/>
                <w:spacing w:val="0"/>
                <w:w w:val="100"/>
                <w:kern w:val="0"/>
                <w:position w:val="0"/>
                <w:szCs w:val="21"/>
                <w:highlight w:val="none"/>
              </w:rPr>
              <w:t>m</w:t>
            </w:r>
            <w:r>
              <w:rPr>
                <w:rFonts w:hint="default" w:ascii="Times New Roman" w:hAnsi="Times New Roman" w:eastAsia="宋体" w:cs="Times New Roman"/>
                <w:snapToGrid w:val="0"/>
                <w:color w:val="auto"/>
                <w:spacing w:val="0"/>
                <w:w w:val="100"/>
                <w:kern w:val="0"/>
                <w:position w:val="0"/>
                <w:szCs w:val="21"/>
                <w:highlight w:val="none"/>
                <w:vertAlign w:val="superscript"/>
              </w:rPr>
              <w:t>2</w:t>
            </w:r>
            <w:r>
              <w:rPr>
                <w:rFonts w:hint="default" w:ascii="Times New Roman" w:hAnsi="Times New Roman" w:eastAsia="宋体" w:cs="Times New Roman"/>
                <w:snapToGrid w:val="0"/>
                <w:color w:val="auto"/>
                <w:spacing w:val="0"/>
                <w:w w:val="100"/>
                <w:kern w:val="0"/>
                <w:position w:val="0"/>
                <w:szCs w:val="21"/>
                <w:highlight w:val="none"/>
              </w:rPr>
              <w:t>），位于</w:t>
            </w:r>
            <w:r>
              <w:rPr>
                <w:rFonts w:hint="default" w:ascii="Times New Roman" w:hAnsi="Times New Roman" w:eastAsia="宋体" w:cs="Times New Roman"/>
                <w:snapToGrid w:val="0"/>
                <w:color w:val="auto"/>
                <w:spacing w:val="0"/>
                <w:w w:val="100"/>
                <w:kern w:val="0"/>
                <w:position w:val="0"/>
                <w:szCs w:val="21"/>
                <w:highlight w:val="none"/>
                <w:lang w:eastAsia="zh-CN"/>
              </w:rPr>
              <w:t>场</w:t>
            </w:r>
            <w:r>
              <w:rPr>
                <w:rFonts w:hint="default" w:ascii="Times New Roman" w:hAnsi="Times New Roman" w:eastAsia="宋体" w:cs="Times New Roman"/>
                <w:snapToGrid w:val="0"/>
                <w:color w:val="auto"/>
                <w:spacing w:val="0"/>
                <w:w w:val="100"/>
                <w:kern w:val="0"/>
                <w:position w:val="0"/>
                <w:szCs w:val="21"/>
                <w:highlight w:val="none"/>
              </w:rPr>
              <w:t>区北侧兽医站旁，医疗废物收集后委托有资质的单位定期外运处理</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牛粪</w:t>
            </w:r>
          </w:p>
        </w:tc>
        <w:tc>
          <w:tcPr>
            <w:tcW w:w="4738"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eastAsia="zh-CN"/>
              </w:rPr>
            </w:pPr>
            <w:r>
              <w:rPr>
                <w:rFonts w:hint="default" w:ascii="Times New Roman" w:hAnsi="Times New Roman" w:cs="Times New Roman"/>
                <w:snapToGrid w:val="0"/>
                <w:color w:val="auto"/>
                <w:spacing w:val="0"/>
                <w:w w:val="100"/>
                <w:kern w:val="0"/>
                <w:position w:val="0"/>
                <w:szCs w:val="21"/>
                <w:highlight w:val="none"/>
                <w:lang w:eastAsia="zh-CN"/>
              </w:rPr>
              <w:t>堆粪棚</w:t>
            </w:r>
            <w:r>
              <w:rPr>
                <w:rFonts w:hint="default" w:ascii="Times New Roman" w:hAnsi="Times New Roman" w:eastAsia="宋体" w:cs="Times New Roman"/>
                <w:snapToGrid w:val="0"/>
                <w:color w:val="auto"/>
                <w:spacing w:val="0"/>
                <w:w w:val="100"/>
                <w:kern w:val="0"/>
                <w:position w:val="0"/>
                <w:szCs w:val="21"/>
                <w:highlight w:val="none"/>
              </w:rPr>
              <w:t>总建筑面积</w:t>
            </w:r>
            <w:r>
              <w:rPr>
                <w:rFonts w:hint="default" w:ascii="Times New Roman" w:hAnsi="Times New Roman" w:cs="Times New Roman"/>
                <w:snapToGrid w:val="0"/>
                <w:color w:val="auto"/>
                <w:spacing w:val="0"/>
                <w:w w:val="100"/>
                <w:kern w:val="0"/>
                <w:position w:val="0"/>
                <w:szCs w:val="21"/>
                <w:highlight w:val="none"/>
                <w:lang w:val="en-US" w:eastAsia="zh-CN"/>
              </w:rPr>
              <w:t>320</w:t>
            </w:r>
            <w:r>
              <w:rPr>
                <w:rFonts w:hint="default" w:ascii="Times New Roman" w:hAnsi="Times New Roman" w:eastAsia="宋体" w:cs="Times New Roman"/>
                <w:snapToGrid w:val="0"/>
                <w:color w:val="auto"/>
                <w:spacing w:val="0"/>
                <w:w w:val="100"/>
                <w:kern w:val="0"/>
                <w:position w:val="0"/>
                <w:szCs w:val="21"/>
                <w:highlight w:val="none"/>
              </w:rPr>
              <w:t>m</w:t>
            </w:r>
            <w:r>
              <w:rPr>
                <w:rFonts w:hint="default" w:ascii="Times New Roman" w:hAnsi="Times New Roman" w:eastAsia="宋体" w:cs="Times New Roman"/>
                <w:snapToGrid w:val="0"/>
                <w:color w:val="auto"/>
                <w:spacing w:val="0"/>
                <w:w w:val="100"/>
                <w:kern w:val="0"/>
                <w:position w:val="0"/>
                <w:szCs w:val="21"/>
                <w:highlight w:val="none"/>
                <w:vertAlign w:val="superscript"/>
              </w:rPr>
              <w:t>2</w:t>
            </w:r>
            <w:r>
              <w:rPr>
                <w:rFonts w:hint="default" w:ascii="Times New Roman" w:hAnsi="Times New Roman" w:eastAsia="宋体" w:cs="Times New Roman"/>
                <w:snapToGrid w:val="0"/>
                <w:color w:val="auto"/>
                <w:spacing w:val="0"/>
                <w:w w:val="100"/>
                <w:kern w:val="0"/>
                <w:position w:val="0"/>
                <w:szCs w:val="21"/>
                <w:highlight w:val="none"/>
              </w:rPr>
              <w:t>，顶部设防雨顶棚、四周设挡雨墙，地面采取硬化防渗处理</w:t>
            </w:r>
          </w:p>
        </w:tc>
        <w:tc>
          <w:tcPr>
            <w:tcW w:w="913"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病死牛尸体及胎盘</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由</w:t>
            </w:r>
            <w:r>
              <w:rPr>
                <w:rFonts w:hint="default" w:ascii="Times New Roman" w:hAnsi="Times New Roman" w:eastAsia="宋体" w:cs="Times New Roman"/>
                <w:snapToGrid w:val="0"/>
                <w:color w:val="auto"/>
                <w:spacing w:val="0"/>
                <w:w w:val="100"/>
                <w:kern w:val="0"/>
                <w:position w:val="0"/>
                <w:szCs w:val="21"/>
                <w:highlight w:val="none"/>
                <w:lang w:eastAsia="zh-CN"/>
              </w:rPr>
              <w:t>防疫部门</w:t>
            </w:r>
            <w:r>
              <w:rPr>
                <w:rFonts w:hint="default" w:ascii="Times New Roman" w:hAnsi="Times New Roman" w:eastAsia="宋体" w:cs="Times New Roman"/>
                <w:snapToGrid w:val="0"/>
                <w:color w:val="auto"/>
                <w:spacing w:val="0"/>
                <w:w w:val="100"/>
                <w:kern w:val="0"/>
                <w:position w:val="0"/>
                <w:szCs w:val="21"/>
                <w:highlight w:val="none"/>
              </w:rPr>
              <w:t>专用车</w:t>
            </w:r>
            <w:r>
              <w:rPr>
                <w:rFonts w:hint="default" w:ascii="Times New Roman" w:hAnsi="Times New Roman" w:eastAsia="宋体" w:cs="Times New Roman"/>
                <w:snapToGrid w:val="0"/>
                <w:color w:val="auto"/>
                <w:spacing w:val="0"/>
                <w:w w:val="100"/>
                <w:kern w:val="0"/>
                <w:position w:val="0"/>
                <w:sz w:val="21"/>
                <w:szCs w:val="21"/>
                <w:highlight w:val="none"/>
              </w:rPr>
              <w:t>辆送往无害化处置中心处置。</w:t>
            </w:r>
          </w:p>
        </w:tc>
        <w:tc>
          <w:tcPr>
            <w:tcW w:w="913" w:type="dxa"/>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地下水跟踪监测</w:t>
            </w:r>
          </w:p>
        </w:tc>
        <w:tc>
          <w:tcPr>
            <w:tcW w:w="1102"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在场区污水处理站西侧设置1座地下水跟踪监测井，用于日常地下水水质监测</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p>
        </w:tc>
        <w:tc>
          <w:tcPr>
            <w:tcW w:w="1918" w:type="dxa"/>
            <w:gridSpan w:val="2"/>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lang w:eastAsia="zh-CN"/>
              </w:rPr>
              <w:t>应急预案</w:t>
            </w:r>
          </w:p>
        </w:tc>
        <w:tc>
          <w:tcPr>
            <w:tcW w:w="473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项目厂区风险应急预案</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7" w:type="dxa"/>
            <w:gridSpan w:val="3"/>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场区绿化</w:t>
            </w:r>
          </w:p>
        </w:tc>
        <w:tc>
          <w:tcPr>
            <w:tcW w:w="4738"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绿化面积</w:t>
            </w:r>
            <w:r>
              <w:rPr>
                <w:rFonts w:hint="eastAsia" w:ascii="Times New Roman" w:hAnsi="Times New Roman" w:cs="Times New Roman"/>
                <w:snapToGrid w:val="0"/>
                <w:color w:val="auto"/>
                <w:spacing w:val="0"/>
                <w:w w:val="100"/>
                <w:kern w:val="0"/>
                <w:position w:val="0"/>
                <w:szCs w:val="21"/>
                <w:highlight w:val="none"/>
                <w:lang w:val="en-US" w:eastAsia="zh-CN"/>
              </w:rPr>
              <w:t>200</w:t>
            </w:r>
            <w:r>
              <w:rPr>
                <w:rFonts w:hint="default" w:ascii="Times New Roman" w:hAnsi="Times New Roman" w:cs="Times New Roman"/>
                <w:snapToGrid w:val="0"/>
                <w:color w:val="auto"/>
                <w:spacing w:val="0"/>
                <w:w w:val="100"/>
                <w:kern w:val="0"/>
                <w:position w:val="0"/>
                <w:szCs w:val="21"/>
                <w:highlight w:val="none"/>
                <w:lang w:val="en-US" w:eastAsia="zh-CN"/>
              </w:rPr>
              <w:t>0</w:t>
            </w:r>
            <w:r>
              <w:rPr>
                <w:rFonts w:hint="default" w:ascii="Times New Roman" w:hAnsi="Times New Roman" w:eastAsia="宋体" w:cs="Times New Roman"/>
                <w:snapToGrid w:val="0"/>
                <w:color w:val="auto"/>
                <w:spacing w:val="0"/>
                <w:w w:val="100"/>
                <w:kern w:val="0"/>
                <w:position w:val="0"/>
                <w:szCs w:val="21"/>
                <w:highlight w:val="none"/>
              </w:rPr>
              <w:t>m</w:t>
            </w:r>
            <w:r>
              <w:rPr>
                <w:rFonts w:hint="default" w:ascii="Times New Roman" w:hAnsi="Times New Roman" w:eastAsia="宋体" w:cs="Times New Roman"/>
                <w:snapToGrid w:val="0"/>
                <w:color w:val="auto"/>
                <w:spacing w:val="0"/>
                <w:w w:val="100"/>
                <w:kern w:val="0"/>
                <w:position w:val="0"/>
                <w:szCs w:val="21"/>
                <w:highlight w:val="none"/>
                <w:vertAlign w:val="superscript"/>
              </w:rPr>
              <w:t>2</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5" w:type="dxa"/>
            <w:gridSpan w:val="4"/>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eastAsia="zh-CN"/>
              </w:rPr>
            </w:pPr>
            <w:r>
              <w:rPr>
                <w:rFonts w:hint="default" w:ascii="Times New Roman" w:hAnsi="Times New Roman" w:cs="Times New Roman"/>
                <w:snapToGrid w:val="0"/>
                <w:color w:val="auto"/>
                <w:spacing w:val="0"/>
                <w:w w:val="100"/>
                <w:kern w:val="0"/>
                <w:position w:val="0"/>
                <w:szCs w:val="21"/>
                <w:highlight w:val="none"/>
                <w:lang w:eastAsia="zh-CN"/>
              </w:rPr>
              <w:t>合计</w:t>
            </w:r>
          </w:p>
        </w:tc>
        <w:tc>
          <w:tcPr>
            <w:tcW w:w="913" w:type="dxa"/>
            <w:noWrap w:val="0"/>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b/>
                <w:bCs/>
                <w:snapToGrid w:val="0"/>
                <w:color w:val="auto"/>
                <w:spacing w:val="0"/>
                <w:w w:val="100"/>
                <w:kern w:val="0"/>
                <w:position w:val="0"/>
                <w:szCs w:val="21"/>
                <w:highlight w:val="none"/>
                <w:lang w:val="en-US" w:eastAsia="zh-CN"/>
              </w:rPr>
              <w:t>478.5</w:t>
            </w:r>
          </w:p>
        </w:tc>
      </w:tr>
      <w:bookmarkEnd w:id="516"/>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537" w:name="_Toc671"/>
      <w:bookmarkStart w:id="538" w:name="_Toc28812"/>
      <w:bookmarkStart w:id="539" w:name="_Toc11324"/>
      <w:bookmarkStart w:id="540" w:name="_Toc10154"/>
      <w:bookmarkStart w:id="541" w:name="_Toc30529"/>
      <w:bookmarkStart w:id="542" w:name="_Toc21324"/>
      <w:r>
        <w:rPr>
          <w:rFonts w:hint="default" w:ascii="Times New Roman" w:hAnsi="Times New Roman" w:eastAsia="宋体" w:cs="Times New Roman"/>
          <w:snapToGrid w:val="0"/>
          <w:color w:val="auto"/>
          <w:spacing w:val="0"/>
          <w:w w:val="100"/>
          <w:kern w:val="0"/>
          <w:position w:val="0"/>
          <w:highlight w:val="none"/>
          <w:lang w:val="en-US" w:eastAsia="zh-CN"/>
        </w:rPr>
        <w:t>2.2工艺流程分析</w:t>
      </w:r>
      <w:bookmarkEnd w:id="537"/>
      <w:bookmarkEnd w:id="538"/>
      <w:bookmarkEnd w:id="539"/>
      <w:bookmarkEnd w:id="540"/>
      <w:bookmarkEnd w:id="541"/>
      <w:bookmarkEnd w:id="542"/>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43" w:name="_Toc22012"/>
      <w:bookmarkStart w:id="544" w:name="_Toc7434"/>
      <w:bookmarkStart w:id="545" w:name="_Toc28086"/>
      <w:r>
        <w:rPr>
          <w:rFonts w:hint="default" w:ascii="Times New Roman" w:hAnsi="Times New Roman" w:eastAsia="宋体" w:cs="Times New Roman"/>
          <w:snapToGrid w:val="0"/>
          <w:color w:val="auto"/>
          <w:spacing w:val="0"/>
          <w:w w:val="100"/>
          <w:kern w:val="0"/>
          <w:position w:val="0"/>
          <w:sz w:val="28"/>
          <w:szCs w:val="28"/>
          <w:highlight w:val="none"/>
          <w:lang w:val="en-US" w:eastAsia="zh-CN"/>
        </w:rPr>
        <w:t>2.2.1奶牛养殖工艺</w:t>
      </w:r>
      <w:bookmarkEnd w:id="543"/>
      <w:bookmarkEnd w:id="544"/>
      <w:bookmarkEnd w:id="545"/>
    </w:p>
    <w:p>
      <w:pPr>
        <w:pStyle w:val="12"/>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本项目奶牛品种选择荷斯坦奶牛，品种性能优良，属大型乳牛品种，体格高大，结构匀称，体躯呈楔形，皮薄骨细，乳房发达，毛色为黑白花，是世界上泌乳性能最好的品种。</w:t>
      </w:r>
    </w:p>
    <w:p>
      <w:pPr>
        <w:pStyle w:val="12"/>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本项目采取集约化养殖模式，摆脱了分散的、传统的季节性生产方式，将建设工厂化、程序化、常年均衡的奶牛养殖体系，从而达到生产的高水平和经营的高效益。</w:t>
      </w:r>
    </w:p>
    <w:p>
      <w:pPr>
        <w:pStyle w:val="12"/>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具体奶牛养殖工艺流程及产污环节详见图2.</w:t>
      </w:r>
      <w:r>
        <w:rPr>
          <w:rFonts w:hint="default" w:ascii="Times New Roman" w:hAnsi="Times New Roman" w:eastAsia="宋体"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rPr>
        <w:t>-1。</w:t>
      </w:r>
    </w:p>
    <w:p>
      <w:pPr>
        <w:pStyle w:val="16"/>
        <w:widowControl w:val="0"/>
        <w:adjustRightInd w:val="0"/>
        <w:jc w:val="both"/>
        <w:rPr>
          <w:rFonts w:hint="default" w:ascii="Times New Roman" w:hAnsi="Times New Roman" w:eastAsia="宋体" w:cs="Times New Roman"/>
          <w:color w:val="auto"/>
          <w:spacing w:val="0"/>
          <w:w w:val="100"/>
          <w:kern w:val="0"/>
          <w:position w:val="0"/>
          <w:sz w:val="24"/>
          <w:szCs w:val="24"/>
          <w:highlight w:val="none"/>
        </w:rPr>
      </w:pPr>
    </w:p>
    <w:p>
      <w:pPr>
        <w:pStyle w:val="16"/>
        <w:widowControl w:val="0"/>
        <w:adjustRightInd w:val="0"/>
        <w:spacing w:line="312" w:lineRule="auto"/>
        <w:ind w:left="480" w:hanging="480" w:hangingChars="200"/>
        <w:jc w:val="left"/>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rPr>
        <w:drawing>
          <wp:inline distT="0" distB="0" distL="114300" distR="114300">
            <wp:extent cx="5541645" cy="3952875"/>
            <wp:effectExtent l="0" t="0" r="1905" b="9525"/>
            <wp:docPr id="36" name="图片 36" descr="图片1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55845"/>
                    <pic:cNvPicPr>
                      <a:picLocks noChangeAspect="1"/>
                    </pic:cNvPicPr>
                  </pic:nvPicPr>
                  <pic:blipFill>
                    <a:blip r:embed="rId24"/>
                    <a:stretch>
                      <a:fillRect/>
                    </a:stretch>
                  </pic:blipFill>
                  <pic:spPr>
                    <a:xfrm>
                      <a:off x="0" y="0"/>
                      <a:ext cx="5541645" cy="3952875"/>
                    </a:xfrm>
                    <a:prstGeom prst="rect">
                      <a:avLst/>
                    </a:prstGeom>
                  </pic:spPr>
                </pic:pic>
              </a:graphicData>
            </a:graphic>
          </wp:inline>
        </w:drawing>
      </w:r>
      <w:r>
        <w:rPr>
          <w:rFonts w:hint="default" w:ascii="Times New Roman" w:hAnsi="Times New Roman" w:eastAsia="宋体" w:cs="Times New Roman"/>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图2.2-1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奶牛养殖工艺流程及产污环节示意图</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2.2.1.1技术指标</w:t>
      </w:r>
    </w:p>
    <w:p>
      <w:pPr>
        <w:pStyle w:val="12"/>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项目实施后达到的主要生产技术指标见表2.</w:t>
      </w:r>
      <w:r>
        <w:rPr>
          <w:rFonts w:hint="default" w:ascii="Times New Roman" w:hAnsi="Times New Roman" w:eastAsia="宋体"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表2.2-1   项目实施后主要生产技术指标一览表</w:t>
      </w:r>
    </w:p>
    <w:tbl>
      <w:tblPr>
        <w:tblStyle w:val="25"/>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370"/>
        <w:gridCol w:w="1816"/>
        <w:gridCol w:w="3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序号</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主要生产技术指标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指标</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性成熟月龄</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12</w:t>
            </w:r>
            <w:r>
              <w:rPr>
                <w:rFonts w:hint="default" w:ascii="Times New Roman" w:hAnsi="Times New Roman" w:eastAsia="宋体" w:cs="Times New Roman"/>
                <w:color w:val="auto"/>
                <w:spacing w:val="0"/>
                <w:w w:val="100"/>
                <w:kern w:val="0"/>
                <w:position w:val="0"/>
                <w:szCs w:val="21"/>
                <w:highlight w:val="none"/>
              </w:rPr>
              <w:t>月</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产奶量</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≥6.25t/a·头</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每胎产仔数</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繁殖率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89%</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产犊成活率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95%</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犊牛成活率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92%</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总受胎率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0.90</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8"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w:t>
            </w:r>
          </w:p>
        </w:tc>
        <w:tc>
          <w:tcPr>
            <w:tcW w:w="2370"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更新率</w:t>
            </w:r>
          </w:p>
        </w:tc>
        <w:tc>
          <w:tcPr>
            <w:tcW w:w="1816"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w:t>
            </w:r>
          </w:p>
        </w:tc>
        <w:tc>
          <w:tcPr>
            <w:tcW w:w="3544" w:type="dxa"/>
            <w:noWrap w:val="0"/>
            <w:vAlign w:val="center"/>
          </w:tcPr>
          <w:p>
            <w:pPr>
              <w:pStyle w:val="12"/>
              <w:widowControl w:val="0"/>
              <w:adjustRightInd w:val="0"/>
              <w:snapToGrid w:val="0"/>
              <w:spacing w:after="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产奶牛每年按</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%的淘汰率更新，即每年向市场出售淘汰奶牛</w:t>
            </w:r>
            <w:r>
              <w:rPr>
                <w:rFonts w:hint="default" w:ascii="Times New Roman" w:hAnsi="Times New Roman" w:eastAsia="宋体" w:cs="Times New Roman"/>
                <w:color w:val="auto"/>
                <w:spacing w:val="0"/>
                <w:w w:val="100"/>
                <w:kern w:val="0"/>
                <w:position w:val="0"/>
                <w:szCs w:val="21"/>
                <w:highlight w:val="none"/>
                <w:lang w:val="en-US" w:eastAsia="zh-CN"/>
              </w:rPr>
              <w:t>270</w:t>
            </w:r>
            <w:r>
              <w:rPr>
                <w:rFonts w:hint="default" w:ascii="Times New Roman" w:hAnsi="Times New Roman" w:eastAsia="宋体" w:cs="Times New Roman"/>
                <w:color w:val="auto"/>
                <w:spacing w:val="0"/>
                <w:w w:val="100"/>
                <w:kern w:val="0"/>
                <w:position w:val="0"/>
                <w:szCs w:val="21"/>
                <w:highlight w:val="none"/>
              </w:rPr>
              <w:t>头</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546" w:name="_Toc16459"/>
      <w:r>
        <w:rPr>
          <w:rFonts w:hint="default" w:ascii="Times New Roman" w:hAnsi="Times New Roman" w:eastAsia="宋体" w:cs="Times New Roman"/>
          <w:b/>
          <w:color w:val="auto"/>
          <w:spacing w:val="0"/>
          <w:w w:val="100"/>
          <w:kern w:val="0"/>
          <w:position w:val="0"/>
          <w:sz w:val="24"/>
          <w:highlight w:val="none"/>
          <w:lang w:val="en-US" w:eastAsia="zh-CN"/>
        </w:rPr>
        <w:t>2.2.1.2牛群周转</w:t>
      </w:r>
    </w:p>
    <w:p>
      <w:pPr>
        <w:pStyle w:val="12"/>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本项目周转更新方案为：犊牛哺乳期2个月，饲养到6月龄后即为育成牛，初配牛采用性控冻精人工授精技术，经产母牛配种使用普通精液人工授精技术，成乳牛每年按2%淘汰率更新。</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2.2.1.3饲养工艺技术方案</w:t>
      </w:r>
    </w:p>
    <w:bookmarkEnd w:id="546"/>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⑴饲养工艺</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本项目采用散栏式饲养技术：奶牛可在不拴系、无固定床位的</w:t>
      </w:r>
      <w:r>
        <w:rPr>
          <w:rFonts w:hint="eastAsia" w:ascii="Times New Roman" w:hAnsi="Times New Roman" w:cs="Times New Roman"/>
          <w:color w:val="auto"/>
          <w:spacing w:val="0"/>
          <w:w w:val="100"/>
          <w:kern w:val="0"/>
          <w:position w:val="0"/>
          <w:sz w:val="24"/>
          <w:szCs w:val="22"/>
          <w:highlight w:val="none"/>
          <w:lang w:eastAsia="zh-CN"/>
        </w:rPr>
        <w:t>牛舍</w:t>
      </w:r>
      <w:r>
        <w:rPr>
          <w:rFonts w:hint="default" w:ascii="Times New Roman" w:hAnsi="Times New Roman" w:eastAsia="宋体" w:cs="Times New Roman"/>
          <w:color w:val="auto"/>
          <w:spacing w:val="0"/>
          <w:w w:val="100"/>
          <w:kern w:val="0"/>
          <w:position w:val="0"/>
          <w:sz w:val="24"/>
          <w:szCs w:val="22"/>
          <w:highlight w:val="none"/>
        </w:rPr>
        <w:t>中自由采食、自由饮水和自由运动。该技术是将自由牛床饲养和挤奶厅集中挤奶相结合的奶牛现代饲养技术。散栏式饲养以奶牛的舒适、健康、产品安全为宗旨，更加符合奶牛的自然和生理需要，奶牛可以根据生理需要全天候的自由采食、自由饮水、自由运动。</w:t>
      </w:r>
    </w:p>
    <w:p>
      <w:pPr>
        <w:pStyle w:val="12"/>
        <w:adjustRightInd w:val="0"/>
        <w:snapToGrid w:val="0"/>
        <w:spacing w:after="0" w:line="360" w:lineRule="auto"/>
        <w:ind w:firstLine="480" w:firstLineChars="200"/>
        <w:jc w:val="both"/>
        <w:rPr>
          <w:rFonts w:hint="default" w:ascii="Times New Roman" w:hAnsi="Times New Roman" w:eastAsia="宋体" w:cs="Times New Roman"/>
          <w:b/>
          <w:bCs/>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⑵饲料喂养技术</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饲料喂养技术：采用TMR加料法喂养，所谓TMR全称</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全混合日粮</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，即根据奶牛的营养配方，将奶牛所需精饲料、粗饲料及奶牛所需维生素等在饲料喂养车内充分混合而得到的一种营养平衡日粮。</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采用TMR技术，全天候饲喂，实现机械喂料，牛群自由采食全混合日粮，自由卧栏休息。理论上可以每天1－3次上料，从刺激奶牛采食和保证奶牛进食量的角度考虑，每天3次上料较好，只是饲喂成本会略有增加；TMR搅拌站的优势是集中饲草料贮存设施，减少车辆运行成本，但过程较为烦琐。本项目计划设计为TMR搅拌站，移动洒料车饲喂。每日饲喂3次，增加整槽次数。每天至少进行6次整槽，1次清槽。</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rPr>
        <w:t>⑶犊牛的饲养</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在犊牛阶段，主要做好以下管理工作：</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a、喂好初乳。初乳营养丰富，还含有溶菌酶和抗体蛋白，一般在犊牛出生后2小时能站起即可喂初乳。初乳应即挤即喂，防止变质或温度降低。犊牛饲喂5-7天初乳后，改用常乳饲喂，一直喂到60日龄。</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b、调教犊牛。对不会吃奶的初生犊牛，可以用手蘸奶送入犊牛口腔，反复多次；经常刷拭牛犊；饲养员经常接触犊牛，以避免牛怕人、长大后顶人，还要调教牛定位、认床等。</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c、断奶补料。断奶时间一般控制在70日龄以内，从犊牛出生后的第7天开始，除了喂牛乳外，应加喂开食料、干草和水，也可以喂给少量青草。开食料用玉米、（熟）豆粕、食盐、钙等配成。开食料喂量随需要增加，当犊牛一天能吃1kg开食料时即可断奶。断奶后，继续喂开食料到4月龄，日喂精料1.8-2.5kg，以减少断奶应激。4月龄后方可换成育成牛或青年牛精料。</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rPr>
        <w:t>⑷育成牛的饲养</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育成牛正处于生长和发育最旺盛的时期，饲养的特点主要是以青、粗饲料为主，如大量供应苜蓿干草、青贮玉米，并适当补充精料。精料日补充量1岁前在3kg左右。</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rPr>
        <w:t>⑸青年牛的饲养</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母牛1岁后，应注意观察其发情表现。对青年牛进行乳房按摩可以促进乳房发育，利于分娩后产奶。方法是用温热的湿毛巾擦拭按摩乳房的底部中沟和两侧。每天至少按摩1次，最好于上午、下午各按摩1次，每次按摩1-3分钟，预产期前1个月停止。</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rPr>
        <w:t>⑹泌乳牛的饲养</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由于每阶段奶牛的产奶水平和营养需要量有明显差别，因此应按不同泌乳期的分期饲养。</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泌乳初期：奶牛从产犊开始直到产后70</w:t>
      </w:r>
      <w:r>
        <w:rPr>
          <w:rFonts w:hint="default" w:ascii="Times New Roman" w:hAnsi="Times New Roman" w:eastAsia="宋体" w:cs="Times New Roman"/>
          <w:color w:val="auto"/>
          <w:spacing w:val="0"/>
          <w:w w:val="100"/>
          <w:kern w:val="0"/>
          <w:position w:val="0"/>
          <w:sz w:val="24"/>
          <w:szCs w:val="22"/>
          <w:highlight w:val="none"/>
          <w:lang w:val="en-US" w:eastAsia="zh-CN"/>
        </w:rPr>
        <w:t>d</w:t>
      </w:r>
      <w:r>
        <w:rPr>
          <w:rFonts w:hint="default" w:ascii="Times New Roman" w:hAnsi="Times New Roman" w:eastAsia="宋体" w:cs="Times New Roman"/>
          <w:color w:val="auto"/>
          <w:spacing w:val="0"/>
          <w:w w:val="100"/>
          <w:kern w:val="0"/>
          <w:position w:val="0"/>
          <w:sz w:val="24"/>
          <w:szCs w:val="22"/>
          <w:highlight w:val="none"/>
          <w:lang w:val="en-GB"/>
        </w:rPr>
        <w:t>，为泌乳初期。在此阶段，奶牛的干物质进食量因食欲未完全恢复而比泌乳后期还低15%，采用全价日粮饲养法，即先按泌乳初期的产奶量、乳脂率、体重和减重程度等因素计算好奶牛所需营养成分，再计算相应的日粮营养水平和调制的总量，确定饲料配方，然后把粗饲料、精料、糟粕类饲料、矿质元素、维生素等添加剂用专用搅拌机混合均匀，供牛自由采食。</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泌乳中期：此阶段为母牛产后71-140</w:t>
      </w:r>
      <w:r>
        <w:rPr>
          <w:rFonts w:hint="default" w:ascii="Times New Roman" w:hAnsi="Times New Roman" w:eastAsia="宋体" w:cs="Times New Roman"/>
          <w:color w:val="auto"/>
          <w:spacing w:val="0"/>
          <w:w w:val="100"/>
          <w:kern w:val="0"/>
          <w:position w:val="0"/>
          <w:sz w:val="24"/>
          <w:szCs w:val="22"/>
          <w:highlight w:val="none"/>
          <w:lang w:val="en-US" w:eastAsia="zh-CN"/>
        </w:rPr>
        <w:t>d</w:t>
      </w:r>
      <w:r>
        <w:rPr>
          <w:rFonts w:hint="default" w:ascii="Times New Roman" w:hAnsi="Times New Roman" w:eastAsia="宋体" w:cs="Times New Roman"/>
          <w:color w:val="auto"/>
          <w:spacing w:val="0"/>
          <w:w w:val="100"/>
          <w:kern w:val="0"/>
          <w:position w:val="0"/>
          <w:sz w:val="24"/>
          <w:szCs w:val="22"/>
          <w:highlight w:val="none"/>
          <w:lang w:val="en-GB"/>
        </w:rPr>
        <w:t>。此阶段母牛的泌乳高峰期刚过去，但干物质进食量进入高峰期，故体重开始恢复。故此阶段也采用全价日粮饲养，同时添加缓冲剂，夏季还应加脂肪粉，以利于奶牛抗热应激。</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泌乳后期：此阶段日粮给法要根据母牛的产奶水平和实际膘情，母牛为中等膘，则按日粮组成饲喂，若中等以上膘情，则可减少1-1.5kg精料，并严格控制青贮玉米的给量，防止母牛过肥。</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2.2.1.4饮水方式</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采用</w:t>
      </w:r>
      <w:r>
        <w:rPr>
          <w:rFonts w:hint="eastAsia" w:ascii="Times New Roman" w:hAnsi="Times New Roman" w:cs="Times New Roman"/>
          <w:color w:val="auto"/>
          <w:spacing w:val="0"/>
          <w:w w:val="100"/>
          <w:kern w:val="0"/>
          <w:position w:val="0"/>
          <w:sz w:val="24"/>
          <w:szCs w:val="22"/>
          <w:highlight w:val="none"/>
          <w:lang w:val="en-GB" w:eastAsia="zh-CN"/>
        </w:rPr>
        <w:t>牛舍</w:t>
      </w:r>
      <w:r>
        <w:rPr>
          <w:rFonts w:hint="default" w:ascii="Times New Roman" w:hAnsi="Times New Roman" w:eastAsia="宋体" w:cs="Times New Roman"/>
          <w:color w:val="auto"/>
          <w:spacing w:val="0"/>
          <w:w w:val="100"/>
          <w:kern w:val="0"/>
          <w:position w:val="0"/>
          <w:sz w:val="24"/>
          <w:szCs w:val="22"/>
          <w:highlight w:val="none"/>
          <w:lang w:val="en-GB"/>
        </w:rPr>
        <w:t>内饮水槽、运动场饮水槽自由饮水方式。</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自控饮水槽改变了饮水与饲料喂养合槽的传统方式，项目饮水槽为自动补水系统，当水位低于一定界面后，会自动补水至设计高度，快捷方便。且饮水槽与饲料分开，大量的节约了水资源和提高了饲料的利用率。</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2.2.1.5挤奶方式</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本项目设置</w:t>
      </w:r>
      <w:r>
        <w:rPr>
          <w:rFonts w:hint="eastAsia" w:ascii="Times New Roman" w:hAnsi="Times New Roman"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lang w:val="en-GB"/>
        </w:rPr>
        <w:t>座挤奶厅，配置挤奶台</w:t>
      </w:r>
      <w:r>
        <w:rPr>
          <w:rFonts w:hint="default" w:ascii="Times New Roman" w:hAnsi="Times New Roman" w:eastAsia="宋体" w:cs="Times New Roman"/>
          <w:color w:val="auto"/>
          <w:spacing w:val="0"/>
          <w:w w:val="100"/>
          <w:kern w:val="0"/>
          <w:position w:val="0"/>
          <w:sz w:val="24"/>
          <w:szCs w:val="22"/>
          <w:highlight w:val="none"/>
        </w:rPr>
        <w:t>2</w:t>
      </w:r>
      <w:r>
        <w:rPr>
          <w:rFonts w:hint="default" w:ascii="Times New Roman" w:hAnsi="Times New Roman" w:eastAsia="宋体" w:cs="Times New Roman"/>
          <w:color w:val="auto"/>
          <w:spacing w:val="0"/>
          <w:w w:val="100"/>
          <w:kern w:val="0"/>
          <w:position w:val="0"/>
          <w:sz w:val="24"/>
          <w:szCs w:val="22"/>
          <w:highlight w:val="none"/>
          <w:lang w:val="en-GB"/>
        </w:rPr>
        <w:t>套，承担奶牛的挤奶任务，并自动完成挤奶过程中的刺激按摩、自动脱落、电子计量等项工作。挤奶完成后牛奶通过管道自动入贮奶罐，管道自动清洗。由于鲜奶挤出后由全封闭管道进入直冷式贮奶罐（水冷），可控制杂菌数量。</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本项目挤奶方式采用机器挤奶，挤奶机系由真空泵和挤奶器两大部分组成。前者主要包括真空泵、电动机、真空罐、真空调节器、真空压力表等；后者由挤奶桶、搏动器（或脉动器）、集乳器、挤奶杯和一些导管及橡皮管所组成。乳汁由挤奶杯通过挤乳器，由管道直接流人贮奶罐，与外界完全隔绝；且能根据乳流自动调节挤奶杯的真空压力，挤净后可自动脱落，不致</w:t>
      </w:r>
      <w:r>
        <w:rPr>
          <w:rFonts w:hint="default" w:ascii="Times New Roman" w:hAnsi="Times New Roman" w:eastAsia="宋体" w:cs="Times New Roman"/>
          <w:color w:val="auto"/>
          <w:spacing w:val="0"/>
          <w:w w:val="100"/>
          <w:kern w:val="0"/>
          <w:position w:val="0"/>
          <w:sz w:val="24"/>
          <w:szCs w:val="22"/>
          <w:highlight w:val="none"/>
          <w:lang w:val="en-GB" w:eastAsia="zh-CN"/>
        </w:rPr>
        <w:t>“</w:t>
      </w:r>
      <w:r>
        <w:rPr>
          <w:rFonts w:hint="default" w:ascii="Times New Roman" w:hAnsi="Times New Roman" w:eastAsia="宋体" w:cs="Times New Roman"/>
          <w:color w:val="auto"/>
          <w:spacing w:val="0"/>
          <w:w w:val="100"/>
          <w:kern w:val="0"/>
          <w:position w:val="0"/>
          <w:sz w:val="24"/>
          <w:szCs w:val="22"/>
          <w:highlight w:val="none"/>
          <w:lang w:val="en-GB"/>
        </w:rPr>
        <w:t>放空车</w:t>
      </w:r>
      <w:r>
        <w:rPr>
          <w:rFonts w:hint="default" w:ascii="Times New Roman" w:hAnsi="Times New Roman" w:eastAsia="宋体" w:cs="Times New Roman"/>
          <w:color w:val="auto"/>
          <w:spacing w:val="0"/>
          <w:w w:val="100"/>
          <w:kern w:val="0"/>
          <w:position w:val="0"/>
          <w:sz w:val="24"/>
          <w:szCs w:val="22"/>
          <w:highlight w:val="none"/>
          <w:lang w:val="en-GB" w:eastAsia="zh-CN"/>
        </w:rPr>
        <w:t>”</w:t>
      </w:r>
      <w:r>
        <w:rPr>
          <w:rFonts w:hint="default" w:ascii="Times New Roman" w:hAnsi="Times New Roman" w:eastAsia="宋体" w:cs="Times New Roman"/>
          <w:color w:val="auto"/>
          <w:spacing w:val="0"/>
          <w:w w:val="100"/>
          <w:kern w:val="0"/>
          <w:position w:val="0"/>
          <w:sz w:val="24"/>
          <w:szCs w:val="22"/>
          <w:highlight w:val="none"/>
          <w:lang w:val="en-GB"/>
        </w:rPr>
        <w:t>，整个过程中牛奶与空气接触的时间不超过3min。贮奶罐由不锈钢制成，罐为夹层，内有蛇形管，罐内有电动搅拌器2个，可使牛奶温度迅速降到2～3℃。对于牛场内鲜奶的采集拟引进并列式挤奶台，牛奶通过过滤器过滤后，在2h内冷却至4℃以下，再存入贮奶冷罐保存。消毒方法：用乳头消毒液（碘式剂与甘油3:1）浸泡乳头，先用温水洗净乳房，其次用消毒液浸沾乳房，再上乳杯挤奶。挤奶完毕后用乳头消毒液（碘式剂与甘油3:1）浸泡乳头数秒。</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2.2.1.6消毒方式</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（1）厂区消毒</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本项目与外界接触进出口设有消毒室和消毒池，拉</w:t>
      </w:r>
      <w:r>
        <w:rPr>
          <w:rFonts w:hint="default" w:ascii="Times New Roman" w:hAnsi="Times New Roman" w:cs="Times New Roman"/>
          <w:color w:val="auto"/>
          <w:spacing w:val="0"/>
          <w:w w:val="100"/>
          <w:kern w:val="0"/>
          <w:position w:val="0"/>
          <w:sz w:val="24"/>
          <w:szCs w:val="22"/>
          <w:highlight w:val="none"/>
          <w:lang w:val="en-GB" w:eastAsia="zh-CN"/>
        </w:rPr>
        <w:t>运</w:t>
      </w:r>
      <w:r>
        <w:rPr>
          <w:rFonts w:hint="default" w:ascii="Times New Roman" w:hAnsi="Times New Roman" w:eastAsia="宋体" w:cs="Times New Roman"/>
          <w:color w:val="auto"/>
          <w:spacing w:val="0"/>
          <w:w w:val="100"/>
          <w:kern w:val="0"/>
          <w:position w:val="0"/>
          <w:sz w:val="24"/>
          <w:szCs w:val="22"/>
          <w:highlight w:val="none"/>
          <w:lang w:val="en-GB"/>
        </w:rPr>
        <w:t>牛奶的车辆进入时经消毒池消毒。同时厂内设置消毒室，人员进出要进入更衣室洗手、更换外套、戴上防护帽及口罩并套上一次性鞋套。</w:t>
      </w:r>
      <w:r>
        <w:rPr>
          <w:rFonts w:hint="eastAsia" w:ascii="Times New Roman" w:hAnsi="Times New Roman" w:cs="Times New Roman"/>
          <w:color w:val="auto"/>
          <w:spacing w:val="0"/>
          <w:w w:val="100"/>
          <w:kern w:val="0"/>
          <w:position w:val="0"/>
          <w:sz w:val="24"/>
          <w:szCs w:val="22"/>
          <w:highlight w:val="none"/>
          <w:lang w:val="en-GB" w:eastAsia="zh-CN"/>
        </w:rPr>
        <w:t>牛舍</w:t>
      </w:r>
      <w:r>
        <w:rPr>
          <w:rFonts w:hint="default" w:ascii="Times New Roman" w:hAnsi="Times New Roman" w:eastAsia="宋体" w:cs="Times New Roman"/>
          <w:color w:val="auto"/>
          <w:spacing w:val="0"/>
          <w:w w:val="100"/>
          <w:kern w:val="0"/>
          <w:position w:val="0"/>
          <w:sz w:val="24"/>
          <w:szCs w:val="22"/>
          <w:highlight w:val="none"/>
          <w:lang w:val="en-GB"/>
        </w:rPr>
        <w:t>牛床及牛群运动场采用3%氢氧化钠消毒液喷雾消毒。</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eastAsia="zh-CN"/>
        </w:rPr>
      </w:pPr>
      <w:r>
        <w:rPr>
          <w:rFonts w:hint="default" w:ascii="Times New Roman" w:hAnsi="Times New Roman" w:eastAsia="宋体" w:cs="Times New Roman"/>
          <w:color w:val="auto"/>
          <w:spacing w:val="0"/>
          <w:w w:val="100"/>
          <w:kern w:val="0"/>
          <w:position w:val="0"/>
          <w:sz w:val="24"/>
          <w:szCs w:val="22"/>
          <w:highlight w:val="none"/>
          <w:lang w:val="en-GB"/>
        </w:rPr>
        <w:t>（2）奶牛体表消毒</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奶牛处于亚健康状况，体细胞升高并伴有隐性乳房炎发生，不仅造成奶损失，</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GB"/>
        </w:rPr>
      </w:pPr>
      <w:r>
        <w:rPr>
          <w:rFonts w:hint="default" w:ascii="Times New Roman" w:hAnsi="Times New Roman" w:eastAsia="宋体" w:cs="Times New Roman"/>
          <w:color w:val="auto"/>
          <w:spacing w:val="0"/>
          <w:w w:val="100"/>
          <w:kern w:val="0"/>
          <w:position w:val="0"/>
          <w:sz w:val="24"/>
          <w:szCs w:val="22"/>
          <w:highlight w:val="none"/>
          <w:lang w:val="en-GB"/>
        </w:rPr>
        <w:t>也造成生鲜乳品质下降。通过采取每月测定牛奶体细胞数（SCC），对母牛个体奶牛体细胞数（SCC）进行跟踪，对体细胞50～100万/毫升的奶牛投放蓝环清等提高免疫力、无残留的药物防控，高于100万/毫升的奶牛区别处理。</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zh-CN" w:eastAsia="zh-CN"/>
        </w:rPr>
      </w:pPr>
      <w:bookmarkStart w:id="547" w:name="_Toc25055"/>
      <w:bookmarkStart w:id="548" w:name="_Toc2854"/>
      <w:r>
        <w:rPr>
          <w:rFonts w:hint="default" w:ascii="Times New Roman" w:hAnsi="Times New Roman" w:eastAsia="宋体" w:cs="Times New Roman"/>
          <w:snapToGrid w:val="0"/>
          <w:color w:val="auto"/>
          <w:spacing w:val="0"/>
          <w:w w:val="100"/>
          <w:kern w:val="0"/>
          <w:position w:val="0"/>
          <w:sz w:val="28"/>
          <w:szCs w:val="28"/>
          <w:highlight w:val="none"/>
          <w:lang w:val="en-US" w:eastAsia="zh-CN"/>
        </w:rPr>
        <w:t>2.2.</w:t>
      </w:r>
      <w:bookmarkEnd w:id="547"/>
      <w:bookmarkEnd w:id="548"/>
      <w:bookmarkStart w:id="549" w:name="_Toc32363"/>
      <w:bookmarkStart w:id="550" w:name="_Toc10856"/>
      <w:r>
        <w:rPr>
          <w:rFonts w:hint="default" w:ascii="Times New Roman" w:hAnsi="Times New Roman" w:eastAsia="宋体" w:cs="Times New Roman"/>
          <w:snapToGrid w:val="0"/>
          <w:color w:val="auto"/>
          <w:spacing w:val="0"/>
          <w:w w:val="100"/>
          <w:kern w:val="0"/>
          <w:position w:val="0"/>
          <w:sz w:val="28"/>
          <w:szCs w:val="28"/>
          <w:highlight w:val="none"/>
          <w:lang w:val="en-US" w:eastAsia="zh-CN"/>
        </w:rPr>
        <w:t>2污水处理工艺</w:t>
      </w:r>
      <w:bookmarkEnd w:id="549"/>
      <w:bookmarkEnd w:id="550"/>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项目废水主要为生产废水和生活污水，其中生产废水为挤奶车间设备及地面冲洗废水，主要污染物为COD、BOD</w:t>
      </w:r>
      <w:r>
        <w:rPr>
          <w:rFonts w:hint="default" w:ascii="Times New Roman" w:hAnsi="Times New Roman" w:eastAsia="宋体" w:cs="Times New Roman"/>
          <w:color w:val="auto"/>
          <w:spacing w:val="0"/>
          <w:w w:val="100"/>
          <w:kern w:val="0"/>
          <w:position w:val="0"/>
          <w:sz w:val="24"/>
          <w:szCs w:val="22"/>
          <w:highlight w:val="none"/>
          <w:vertAlign w:val="subscript"/>
        </w:rPr>
        <w:t>5</w:t>
      </w:r>
      <w:r>
        <w:rPr>
          <w:rFonts w:hint="default" w:ascii="Times New Roman" w:hAnsi="Times New Roman" w:eastAsia="宋体" w:cs="Times New Roman"/>
          <w:color w:val="auto"/>
          <w:spacing w:val="0"/>
          <w:w w:val="100"/>
          <w:kern w:val="0"/>
          <w:position w:val="0"/>
          <w:sz w:val="24"/>
          <w:szCs w:val="22"/>
          <w:highlight w:val="none"/>
        </w:rPr>
        <w:t>、SS、氨氮、总磷</w:t>
      </w:r>
      <w:r>
        <w:rPr>
          <w:rFonts w:hint="default" w:ascii="Times New Roman" w:hAnsi="Times New Roman" w:eastAsia="宋体" w:cs="Times New Roman"/>
          <w:color w:val="auto"/>
          <w:spacing w:val="0"/>
          <w:w w:val="100"/>
          <w:kern w:val="0"/>
          <w:position w:val="0"/>
          <w:sz w:val="24"/>
          <w:szCs w:val="22"/>
          <w:highlight w:val="none"/>
          <w:lang w:eastAsia="zh-CN"/>
        </w:rPr>
        <w:t>、余氯、蛔虫卵</w:t>
      </w:r>
      <w:r>
        <w:rPr>
          <w:rFonts w:hint="default" w:ascii="Times New Roman" w:hAnsi="Times New Roman" w:eastAsia="宋体" w:cs="Times New Roman"/>
          <w:color w:val="auto"/>
          <w:spacing w:val="0"/>
          <w:w w:val="100"/>
          <w:kern w:val="0"/>
          <w:position w:val="0"/>
          <w:sz w:val="24"/>
          <w:szCs w:val="22"/>
          <w:highlight w:val="none"/>
        </w:rPr>
        <w:t>和粪大肠菌群。项目产生废水排入</w:t>
      </w:r>
      <w:r>
        <w:rPr>
          <w:rFonts w:hint="default" w:ascii="Times New Roman" w:hAnsi="Times New Roman" w:eastAsia="宋体" w:cs="Times New Roman"/>
          <w:color w:val="auto"/>
          <w:spacing w:val="0"/>
          <w:w w:val="100"/>
          <w:kern w:val="0"/>
          <w:position w:val="0"/>
          <w:sz w:val="24"/>
          <w:szCs w:val="22"/>
          <w:highlight w:val="none"/>
          <w:lang w:eastAsia="zh-CN"/>
        </w:rPr>
        <w:t>本项目一座</w:t>
      </w:r>
      <w:r>
        <w:rPr>
          <w:rFonts w:hint="default" w:ascii="Times New Roman" w:hAnsi="Times New Roman" w:eastAsia="宋体" w:cs="Times New Roman"/>
          <w:color w:val="auto"/>
          <w:spacing w:val="0"/>
          <w:w w:val="100"/>
          <w:kern w:val="0"/>
          <w:position w:val="0"/>
          <w:sz w:val="24"/>
          <w:szCs w:val="22"/>
          <w:highlight w:val="none"/>
        </w:rPr>
        <w:t>污水处理站进行处理，处理规模为</w:t>
      </w:r>
      <w:r>
        <w:rPr>
          <w:rFonts w:hint="default" w:ascii="Times New Roman" w:hAnsi="Times New Roman" w:cs="Times New Roman"/>
          <w:color w:val="auto"/>
          <w:spacing w:val="0"/>
          <w:w w:val="100"/>
          <w:kern w:val="0"/>
          <w:position w:val="0"/>
          <w:sz w:val="24"/>
          <w:szCs w:val="22"/>
          <w:highlight w:val="none"/>
          <w:lang w:val="en-US" w:eastAsia="zh-CN"/>
        </w:rPr>
        <w:t>10</w:t>
      </w:r>
      <w:r>
        <w:rPr>
          <w:rFonts w:hint="default" w:ascii="Times New Roman" w:hAnsi="Times New Roman" w:eastAsia="宋体" w:cs="Times New Roman"/>
          <w:color w:val="auto"/>
          <w:spacing w:val="0"/>
          <w:w w:val="100"/>
          <w:kern w:val="0"/>
          <w:position w:val="0"/>
          <w:sz w:val="24"/>
          <w:szCs w:val="22"/>
          <w:highlight w:val="none"/>
        </w:rPr>
        <w:t>0m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/d，处理工艺为</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初沉池+调节池+压滤机+中间水池+A/O/O反应池+二沉池+消毒池</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处理</w:t>
      </w:r>
      <w:r>
        <w:rPr>
          <w:rFonts w:hint="default" w:ascii="Times New Roman" w:hAnsi="Times New Roman" w:eastAsia="宋体" w:cs="Times New Roman"/>
          <w:color w:val="auto"/>
          <w:spacing w:val="0"/>
          <w:w w:val="100"/>
          <w:kern w:val="0"/>
          <w:position w:val="0"/>
          <w:sz w:val="24"/>
          <w:szCs w:val="22"/>
          <w:highlight w:val="none"/>
          <w:lang w:eastAsia="zh-CN"/>
        </w:rPr>
        <w:t>进入场区内氧化塘，</w:t>
      </w:r>
      <w:r>
        <w:rPr>
          <w:rFonts w:hint="default" w:ascii="Times New Roman" w:hAnsi="Times New Roman" w:eastAsia="宋体" w:cs="Times New Roman"/>
          <w:color w:val="auto"/>
          <w:spacing w:val="0"/>
          <w:w w:val="100"/>
          <w:kern w:val="0"/>
          <w:position w:val="0"/>
          <w:sz w:val="24"/>
          <w:szCs w:val="22"/>
          <w:highlight w:val="none"/>
        </w:rPr>
        <w:t>达标后用于</w:t>
      </w:r>
      <w:r>
        <w:rPr>
          <w:rFonts w:hint="eastAsia" w:ascii="Times New Roman" w:hAnsi="Times New Roman" w:cs="Times New Roman"/>
          <w:color w:val="auto"/>
          <w:spacing w:val="0"/>
          <w:w w:val="100"/>
          <w:kern w:val="0"/>
          <w:position w:val="0"/>
          <w:sz w:val="24"/>
          <w:szCs w:val="22"/>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污水处理工艺如图</w:t>
      </w:r>
      <w:r>
        <w:rPr>
          <w:rFonts w:hint="default" w:ascii="Times New Roman" w:hAnsi="Times New Roman" w:eastAsia="宋体" w:cs="Times New Roman"/>
          <w:color w:val="auto"/>
          <w:spacing w:val="0"/>
          <w:w w:val="100"/>
          <w:kern w:val="0"/>
          <w:position w:val="0"/>
          <w:sz w:val="24"/>
          <w:szCs w:val="22"/>
          <w:highlight w:val="none"/>
          <w:lang w:val="en-US" w:eastAsia="zh-CN"/>
        </w:rPr>
        <w:t>2.2-</w:t>
      </w:r>
      <w:r>
        <w:rPr>
          <w:rFonts w:hint="default" w:ascii="Times New Roman" w:hAnsi="Times New Roman"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rPr>
        <w:t>。</w:t>
      </w:r>
    </w:p>
    <w:p>
      <w:pPr>
        <w:pStyle w:val="12"/>
        <w:adjustRightInd w:val="0"/>
        <w:snapToGrid w:val="0"/>
        <w:spacing w:before="156" w:beforeLines="50" w:after="0" w:line="360" w:lineRule="auto"/>
        <w:ind w:firstLine="420" w:firstLineChars="200"/>
        <w:jc w:val="center"/>
        <w:rPr>
          <w:rFonts w:hint="default" w:ascii="Times New Roman" w:hAnsi="Times New Roman" w:eastAsia="宋体" w:cs="Times New Roman"/>
          <w:color w:val="auto"/>
          <w:spacing w:val="0"/>
          <w:w w:val="100"/>
          <w:kern w:val="0"/>
          <w:position w:val="0"/>
          <w:highlight w:val="none"/>
          <w:lang w:eastAsia="zh-CN"/>
        </w:rPr>
      </w:pPr>
      <w:r>
        <w:rPr>
          <w:rFonts w:hint="default" w:ascii="Times New Roman" w:hAnsi="Times New Roman" w:cs="Times New Roman"/>
          <w:color w:val="auto"/>
        </w:rPr>
        <mc:AlternateContent>
          <mc:Choice Requires="wpg">
            <w:drawing>
              <wp:inline distT="0" distB="0" distL="114300" distR="114300">
                <wp:extent cx="3872865" cy="5723890"/>
                <wp:effectExtent l="0" t="0" r="0" b="10160"/>
                <wp:docPr id="72" name="组合 72"/>
                <wp:cNvGraphicFramePr/>
                <a:graphic xmlns:a="http://schemas.openxmlformats.org/drawingml/2006/main">
                  <a:graphicData uri="http://schemas.microsoft.com/office/word/2010/wordprocessingGroup">
                    <wpg:wgp>
                      <wpg:cNvGrpSpPr/>
                      <wpg:grpSpPr>
                        <a:xfrm>
                          <a:off x="0" y="0"/>
                          <a:ext cx="3872896" cy="5724027"/>
                          <a:chOff x="2467" y="1702"/>
                          <a:chExt cx="6970" cy="12480"/>
                        </a:xfrm>
                      </wpg:grpSpPr>
                      <pic:pic xmlns:pic="http://schemas.openxmlformats.org/drawingml/2006/picture">
                        <pic:nvPicPr>
                          <pic:cNvPr id="69" name="图片 17"/>
                          <pic:cNvPicPr>
                            <a:picLocks noChangeAspect="1"/>
                          </pic:cNvPicPr>
                        </pic:nvPicPr>
                        <pic:blipFill>
                          <a:blip r:embed="rId25"/>
                          <a:stretch>
                            <a:fillRect/>
                          </a:stretch>
                        </pic:blipFill>
                        <pic:spPr>
                          <a:xfrm>
                            <a:off x="2467" y="1702"/>
                            <a:ext cx="6970" cy="12480"/>
                          </a:xfrm>
                          <a:prstGeom prst="rect">
                            <a:avLst/>
                          </a:prstGeom>
                          <a:noFill/>
                          <a:ln>
                            <a:noFill/>
                          </a:ln>
                        </pic:spPr>
                      </pic:pic>
                    </wpg:wgp>
                  </a:graphicData>
                </a:graphic>
              </wp:inline>
            </w:drawing>
          </mc:Choice>
          <mc:Fallback>
            <w:pict>
              <v:group id="_x0000_s1026" o:spid="_x0000_s1026" o:spt="203" style="height:450.7pt;width:304.95pt;" coordorigin="2467,1702" coordsize="6970,12480" o:gfxdata="UEsDBAoAAAAAAIdO4kAAAAAAAAAAAAAAAAAEAAAAZHJzL1BLAwQUAAAACACHTuJA+85np9YAAAAF&#10;AQAADwAAAGRycy9kb3ducmV2LnhtbE2PT0vDQBDF74LfYRnBm91d/xQTsylS1FMR2gribZqdJqHZ&#10;2ZDdJu23d/Wil4HHe7z3m2Jxcp0YaQitZwN6pkAQV962XBv42L7ePIIIEdli55kMnCnAory8KDC3&#10;fuI1jZtYi1TCIUcDTYx9LmWoGnIYZr4nTt7eDw5jkkMt7YBTKnedvFVqLh22nBYa7GnZUHXYHJ2B&#10;twmn5zv9Mq4O++X5a/vw/rnSZMz1lVZPICKd4l8YfvATOpSJaeePbIPoDKRH4u9N3lxlGYidgUzp&#10;e5BlIf/Tl99QSwMEFAAAAAgAh07iQP345cJSAgAAPQUAAA4AAABkcnMvZTJvRG9jLnhtbK1Uy47T&#10;MBTdI/EPlvc0aShNGzUdIcqMkEZQ8fgA13ESi/gh2206eySYHXs+BYm/Gc1vcO2k7bQzghFikcS+&#10;vo9zzr3O7GwrGrRhxnIlczwcxBgxSVXBZZXjTx/Pn00wso7IgjRKshxfMYvP5k+fzFqdsUTVqimY&#10;QZBE2qzVOa6d01kUWVozQexAaSbhsFRGEAdbU0WFIS1kF02UxPE4apUptFGUWQvWRXeI+4zmMQlV&#10;WXLKFoquBZOuy2pYQxxQsjXXFs8D2rJk1L0rS8scanIMTF14QxFYr/w7ms9IVhmia057COQxEE44&#10;CcIlFN2nWhBH0Nrwe6kEp0ZZVboBVSLqiARFgMUwPtHmwqi1DlyqrK30XnRo1Inq/5yWvt0sDeJF&#10;jtMEI0kEdPz255eb798QGECdVlcZOF0Y/UEvTW+oup0nvC2N8F+ggrZB16u9rmzrEAXj80maTKZj&#10;jCicvUiTUZyknfK0hvb4uGQ0TjGC42Eah7oko/XrPn48TaFfPniYjCahadGucuQB7vFoTjN4eqVg&#10;dU+pv88nRLm1YaC7zyY3S06Xptsc1BpPd2rd/Ph1e/0VDQMjH+GduhDisVwq+tkiqV7VRFbspdUw&#10;k0DE84+O3cP2qN6q4fqcN40X2K//7yVBJmNixaD35k0RAJHMOsMcrX3BEgq/B7Ae6J2DgPIAzFOw&#10;MBkPzMIDPd1NxJ86CqoZ6y6YEsgvAB2AgG6QjGwubQ9n5+LNUnmNACbJGnlkANzeEiB3IMMSMIPR&#10;Dw7cqsCu/wP4a3t3H7wOf735b1BLAwQKAAAAAACHTuJAAAAAAAAAAAAAAAAACgAAAGRycy9tZWRp&#10;YS9QSwMEFAAAAAgAh07iQDsYE9fGbwEAt28BABQAAABkcnMvbWVkaWEvaW1hZ2UxLnBuZwAAgP9/&#10;iVBORw0KGgoAAAANSUhEUgAAA6QAAAVhCAYAAACTSkPgAAAACXBIWXMAACHVAAAh1QEEnLSdAAAg&#10;AElEQVR4nOzde3BU933//9c5Z++634WEhAQGcw3GFwzYYJvEt9gmdpw48SVXZybtTNMm30y/k/kl&#10;6bSdttP5tbVzaZo2badJf0maOE3iNjbxHdsBjMEYIwPCIC5GCN2RENqVVnv2nN8f8jneFYLgxPIB&#10;6fmY0Wi1e/aczy4I9NL783l/JAAAAAAAAAAAAAAAAAAAAAAAAAAAAAAAAAAAAAAAAAAAAAAAAAAA&#10;AAAAAAAAAAAAAGASRtADADAjWOLfG+B34bz1AQDAtMQPiACmkiFpqaT/x7Ks1aFQKOS6btBjAi4K&#10;tm2nHcf5D0n/r6SxoMcDAMBUCAU9AADTmiVpXlFR0fsuv/zyOQsXLlQkEpFhGHIcij6AJLmuK8N4&#10;+/fDpmlqeHhYmzdv1qFDh1Zls9mQCKQAgGmKQApgylVUVOiOO+7QPffco8LCQpmmSSAFJnBdV67r&#10;yjRNdXR0qKenR0ePHlU2mw16aAAATBkCKYApFwqFFI1GVVBQoIKCApmmKUl5VSFgJstms3mV0qKi&#10;IkWjUb5HAADTnhn0AABMf67r+hVRy7Ko+AATGIYh0zRlmqYMwyCIAgBmDAIpgCnnVX68taOWZfED&#10;N5Aj9/vB+z7xqqYAAExnTNkFMOVyKz7ebapAwNuy2axfJSWEAgBmEgIpgPfExEAK4G253x+5nwEA&#10;mO6YsgsAAAAACASBFAAAAAAQCKbsAsAU+m3rAS/UqZlnG/eFOl4AAHBxokIKAFPMC3eu6+bdvpB5&#10;Y/W26/G+zn0NAAAAvy8CKQC8Ry6mMOeN0wukjuP4W5EAAAC8W5iyCwDvEW+6a24wvVCnwJqmKcdx&#10;ZBiGv4+sdOGOFwAAXJyokALAeyA31EkXfrDLDaITp+pe6GMHAAAXDwIpAEyxs4W5CznYedXR3Mro&#10;2NiYstnsRTPtGAAAXPiYsgsA74AXLnOn30rjU1y92319fRodHVVtba1CoZAMw5DjOH6ToP7+fvX0&#10;9Ki2tlbl5eV5wc9xHJnm5L8r9KqVuWOZLNS6rqtUKqWBgQEVFRWpuLg4b7xne07u/bnVUdu25TiO&#10;Ojo6NDg4qMbGRlVWVvqveeL5chs35QbaswXw3ONPnz6t06dPq7i4WIWFhf7zzva6J7v+hRz0AQBA&#10;PgIpAJyn3I6zXkjyKonZbNZ/vKOjQ7/4xS+0ePFirVu3TlVVVZKkTCYjSXrxxRf1gx/8QB//+Md1&#10;++23+8HLO58XSnOvY1nWGZ1uHceRZVlnhFjXddXW1qYf/OAHam5u1r333quysjLZtq1QKCTbtmVZ&#10;ln8N7zqTheFMJqNwOOw3M9q4caNGRkb0iU98QvPnz5frujJNU4ZhyDRNZTIZWZblvyfe+bxjJspm&#10;s3mBvbW1VT/5yU80e/Zs3X333WpsbPTXs+aOM3es3hjOdg0AAHDhYsouALxDXtiybXvSKuDChQu1&#10;YsUK/fM//7MefvhhDQ4O+o93dHTomWee0eLFi3XllVcqHo/Ltm0lk0mlUik/zHnHZzIZ9ff3q6ur&#10;S93d3ers7FRHR4d6enrU3d2t73znO/ra176mU6dO5W3Tkslk1NXVpdHRUcViMUmSZVkaHR3V2NiY&#10;JCmdTiubzSqdTvvh1Lsvt/Lrhc36+nqtW7dOu3bt0osvvqixsTE/HHrBNpPJ6IUXXlBfX1/eOtSz&#10;BcXcSqfjOBodHdWJEyfyXk/uOXLfGy+EEkQBALh4USEFgPPkVeck+dU5b21lJpPxK3WS/OD25ptv&#10;KplMKhaLKZ1Oa+vWrWpubtanPvUpFRUVaWRkRNu3b9fjjz+ua6+9VjfddJPi8bh/jd7eXv3mN79R&#10;e3u7ksmktm7dqqqqKl155ZUqLCxUNptVaWmpWlpatHLlSn+syWRSmUxGRUVFymazGhsbU09Pj556&#10;6inV19fruuuuUzwel2EYCoVCchxHbW1tevbZZ1VWVqbq6mq/+mpZlv9au7q6VFtbq66uLm3ZskWm&#10;aeYdt2PHDn3/+9/XunXr9OUvf1lNTU3nXHM6MWxaliXLslRdXa2KioozKrfe1jNegLZtW+FwOO/P&#10;CAAAXDwIpADwDngByZvCevLkST333HNqbW311z1mMhk/qFmWpYcffliRSESVlZU6evSo6uvr9b//&#10;+7+ybVvpdFpvvvmmDh06pFQqpUsuuURLly71p8rOmjVLd911l0KhkA4dOqRDhw5p2bJl+uQnP6my&#10;sjI5jqMXXnhBmzZt0s6dO/2Q2tbWpuPHj2vnzp3KZDIKhULq7OxUS0uL5s6dq6amJs2fP9+vMErj&#10;FdOXXnpJ9fX1uv322/1gLMkPgbNmzdKaNWtUWFioWCzmv0Yv1C5btkzf/va3FY1G/crsb+NN2/Vu&#10;ZzIZJZNJ2bbtH+P9ImBsbEwDAwNKJBIqLi5WKBTy/1wAAMDFh0AKAOfJdV0/mFmWpbGxMVVUVOi2&#10;227TzTffrHA47K/N9MJUT0+P/v7v/17Dw8P6gz/4A9XU1PjVvWw2q2QyKdd1VVBQoJGREZWWlso0&#10;TUUiET9kRSIRSVJbW5tOnz6tBQsWqKCgwK8qrlu3TldffbVfpcxkMnr00UfV09Oje++9V1dffbWk&#10;8TBnWZZs21YikcibHuyNx3EczZo1S8uWLVMikVBLS4uSyaSWL1+ukpISHTt2TD/+8Y81ODioL37x&#10;iyopKVFXV5dqamrU1NSkWCymTCaTF0YnNoDKZRiGP/U5HA7LNE2NjIzo0KFDOnnypMrKyiSNB9JU&#10;KqXHHntM//M//6O1a9fqox/9qEpLSxUKhfKqpoRTAAAuHgRSADhPuZ1wLcvyp4omEgkNDw+rr6/P&#10;D31eKO3o6NDx48c1Z84cDQ4O5oWyvr4+bd68WaFQSDfffLPmzZuX17zIu473dU9Pj1zXVUVFhbLZ&#10;rIaHh3XgwAEVFxf703br6+slSalUSrFYTLZtq7OzUyMjI9q9e7cqKyu1Zs0aRaNRv+oovb1W1Kt2&#10;hkIhjY6O6pvf/Kay2ay+/vWvq7S0VKlUSu3t7VqyZIkuvfRSDQ4OaufOndq3b5/WrVunO+64QxUV&#10;FZOGz4nrQT39/f3q6+vT3Llz5bquxsbG1NnZqb6+Ps2ZM0emaWp4eFhbt27Vo48+qkQiofr6+rzK&#10;LCEUAICLE4EUAN4BLyBKyptm2t3dra1btyqZTKq0tNSvlra1tam9vV1z5szRvn37FA6H/aZIqVRK&#10;w8PDikajGhoa8qeuetfwAqM3Rbijo0MnT57Uli1bdPToUaVSKf36179WbW2tvvjFL+q73/2uFixY&#10;oKVLl0qS5s6dq+PHj2t4eFi9vb365S9/qTlz5mjBggV+Z99cXqMgSbJtW6dOndKRI0f0sY99TM3N&#10;zX5YTKfTqqurU0lJiQoLC7VhwwZ1dHTokUce0eWXX66ioiKl02klEgn/nLZt69ChQzpy5IjS6XTe&#10;69y4caMOHTqkP/zDP1R5ebmi0agKCgp0/PhxLViwQIlEQs8++6yee+453XDDDbrppps0a9Ysvwqb&#10;O24AAHBxIZACwDvkbW+S24F2zpw5Ki8vVygUUkFBgb9VyTPPPKOXXnpJH/nIR7R69Wp/emlusyBJ&#10;On36tHbv3q3m5maVl5f71/Eqiu3t7Tp48KBWrVqlyy67TJFIREeOHFFvb69WrVrl7+F56aWX6uMf&#10;/7iktyu5pmnqwIEDeuaZZzRv3jzV1tZKGg/SoVDIr8CapqlwOKxQKKRUKqXvfe97CoVCWrp0qQ4f&#10;PizDMNTS0uJ35T1w4IA//jVr1qisrEwnT57UN77xDQ0NDekzn/mMmpubJcnvwOu6riKRiD9dOJlM&#10;6o033lAymVRJSYlM01RRUZEqKyvV1dWlXbt2aWBgQIODg/rUpz6lJUuW+EHUa3bEVF0AAC5eBFIA&#10;eAe86aHelizHjh3TwMCA31wntwvs2NiYNm/erEQioaGhIe3evVvhcDiv+ultjbJ582Y99thjuvHG&#10;G/XZz35WpaWleVOEjx49quHhYd1///1av369H/AKCwu1Zs0ahUIhfz2m9zwv9KXTab/5kDf2idf3&#10;bnuVy2QyqTfffFMNDQ1qaWlRPB5XMpnU5s2bNTQ0pN7eXm3atMl/TjqdViQS0YEDB9Te3i7TNHX8&#10;+HE1NjZKksLhsBYuXKiFCxf6U52z2axaWlrkuq7Wrl2rK6+8Unv27JEkVVZWynVdbdmyRStWrNBt&#10;t93mB/XR0VG/Q7CHMAoAwMWJQAoA74BXiTNNU+l0Wm+88YaOHj2quro6VVVV+U2DQqGQNm/erH37&#10;9unaa6/NW3/Z1dWlK664wp++a9u2amtrdc8996i0tFSnT59WaWmpbNuWaZoaHBzUvn37FI1GlUgk&#10;NDY2pnA4rIMHDyqbzaqyslKmaWp0dFTbtm1TOByWbdt+BdZ1XQ0MDKi/v9/fNzQ3mHqBNJvN+t2D&#10;a2tr9dWvflXRaFSFhYV+wNy2bZuWL1+uz33uc4rFYn4QzGQy/u0Pf/jDcl1XsVjMryK7rutP0fWu&#10;4bquXn75ZSWTSW3YsEGxWMwfT1lZmWpqanTy5Ek1NDSourrafz9yea/Fq5ICAICLC4EUAN4BL+R5&#10;1cnrrrtOq1evVjwe96ukrutq586deuONN/ShD31Id955p7+Fyvz58/X000+rv79fa9euVUlJyRl7&#10;ceZOP3VdV52dnTp+/LiWLFmixx9/XL29vXrf+96nAwcOaPHixf5WM/F4XAsXLtRNN92UF9JM01R7&#10;e7t+85vf+J1sPbkhzrZtZTIZP+Q1NzcrHo/LdV2l02mdPHlSyWRSK1euVCQS8af7ZrNZtba2KplM&#10;au3atf52NLnrRHOrwt4022PHjmnz5s1aunSp5s+f74/ZMAyFw2Fdeuml2rNnj1566SXV1dWpvLxc&#10;juP4XYe9sefuCQsAAC4uBFIAeIe8ap9hGCosLDzjse3bt+uHP/yhbrnlFt16660qKiqSNF6BrKqq&#10;0vLly/Xzn/9cbW1tuu2227RgwQJFIhGNjY3lhVrXdZVKpdTW1qZ58+bptttu0/e//3399Kc/VWdn&#10;p44cOaJ7771X5eXlOn78uNLptIqKilRVVeWHNC+0nTx50p8uPDH8eqHVMAzF43F/DazXidd1XY2M&#10;jGjr1q06efKk+vr69PjjjysajUqSksmknn32WXV0dKioqEg33HCDH0ZzpwZ7gdGrzLa2turNN9/U&#10;gw8+qNLS0rxqreM4amxs1LJly/Tzn/9cy5Yt0+rVq+W6rpLJpL/tjfcas9ls3jY2AADg4kAgBYDz&#10;5IU3T+5azJGRER07dkzPPvusDh8+rJKSEv3qV79SVVWVrr32Wj/8tbW16e/+7u+0YMECDQ4O6qtf&#10;/aqampq0Zs0aNTc3q6GhQbFYzG/c43XTvf3221VVVaUNGzaosrJSAwMDKi8v15w5cxSPxxWJRJTJ&#10;ZPTCCy9ocHDQr15mMhmFQiENDg7qxIkTfidfb+xeFdWrYBYXF6usrMyvVnqvb//+/Tpw4IBuu+02&#10;1dXV6aMf/agKCgrkOI62b9+u5557TnfddZcuv/xySeOV5NxreaHXC51dXV164okntGLFCt14443+&#10;dF3btv1rWpal6667Ttu2bdPXv/51/e3f/q3e9773KZFI+MflbleT+zUAALg4EEgB4Dx5gSp3DWQq&#10;lVJ3d7def/11HT9+XHV1dbrrrrv05JNP6rnnntPQ0JAcx/EDYiKRkGVZGhkZ0ec//3nt2bNHjz76&#10;qB566CGNjY1p8eLFuv3223XdddeprKxMJSUlWr9+vb+356JFi+S6rr73ve9p8eLFWrBggT8tNhqN&#10;av78+br11lvzwrPruuru7lZLS4u/b6fXeCm3QdPAwIAfSr3x2ratwcFBPf3006qqqtKNN96oPXv2&#10;aPv27brmmmuUTCa1fft2lZeX6/3vf78SiYR/7typwbnV0XQ6ra1bt6qjo0Of/vSnVV1d7Qdnr0Ls&#10;vd+VlZW6//779cYbb+h73/uevvSlL2n+/Pn+PrATf0EAAAAuLgRSADhPXsjzGhf19PRo79696ujo&#10;0KxZs3TXXXeprKxM4XBYfX19qq+v14oVKxQKhfyAZhiGSktLVV9fr9mzZ6uurk5XXHGFXnrpJW3c&#10;uFGNjY1au3atv4VMXV1d3nTXsbExHT16VJFIRNdee23eGlQvwC1YsCCvc67ruorH436gNk0zr+GR&#10;67oaHR1Vd3e3EomEampqFA6HlclkNDY2pk2bNqm9vV3333+/li9frmw2q9/85jeqrq5We3u7Xnnl&#10;Fa1fv94PirkdhyX51Uvv2keOHNEzzzyj1atXa9WqVX7XXdu2/TDrVWxd19X73vc+3XvvvfrGN76h&#10;b33rW/rCF76gBQsW+BXYcDjs32Y/UgAALi4EUgA4T7lTW72PhQsXavXq1f4UW6+q2NbWppqaGsXj&#10;8byuttLb+4N6wW3WrFnasGGDbrrpJiUSibyOtLlBznVdHTlyRK+++qouv/xyLVmyJG8bmUwmo8OH&#10;D+upp546Y9wDAwMaGRnJm6KbW7VMpVLq6+tTdXW1v72K67p6/vnn9eyzz+pjH/uYrr76aoXDYS1e&#10;vFivvPKK/uEf/kHDw8NasmSJ1q5dq0Qi4T9Pkl9l9YKpJPX19enpp5/2X3NJSUneOtPcBkW579nd&#10;d9+trq4u/eu//qs6Ojr04IMPauXKlaqqqsq7JgAAuLgQSAHgHfCqduFw2N/mJZdhGNq/f7/a29v1&#10;wAMPKJFInDGVNDcIesLhsL+XqHcdb2qwZ2hoSM8//7wKCgq0atUqv6GSF2BDoZCqqqq0ePFif82m&#10;93hnZ6fi8bhs2z6ji6/jOBoaGlI6ndbSpUtVUFCgbDarV199VU899ZRuuOEGXXvttX6Ajsfjqqqq&#10;0t69exUKhfTxj39cs2bNOuO9yJ027DiO0um0nn/+eSWTSX34wx/W7Nmz/eO89yO3K6/HNE3/OqdO&#10;ndKPfvQj/dVf/ZXWrVunD33oQ1qxYoWKioqojgIAcBEikALAecoNkF5n19x9Nm3b1okTJ/TDH/5Q&#10;CxYs0Pr16xWNRs+ojHpTZnNDo3d+LyB6U1C9Y0ZHR7VlyxaNjIzo9ttvV2NjY94YvH1Ha2trNW/e&#10;PP96ueP21ncODg6qtLRU0ngQHh0d1cGDB1VUVKRFixb503SPHj2q++67T1dccYVM09TIyIh6enq0&#10;efNmbdmyRevXr9fJkyf1y1/+Ut3d3Vq7dq3q6ury1qB671UqldKrr76qU6dOacOGDXlrX4eHh2VZ&#10;lr+2Nrcy6vFe2+c//3lVV1frv/7rv9Td3a3+/n6Njo6quLg4L9gCAICLA4EUAM5T7ppIryopyd8W&#10;5fDhw3ruuecUCoV03333qays7Iw9Ml3X1djYmIaHh2Xbtr+nZi6vUuhd89SpU3rttdeUTCZ1xx13&#10;qLa2Vp2dnf454vG4jhw5olQqpc7OTrW0tPjrMr1qY0dHh4aHh3XgwAE99NBDuuqqq3TLLbfIsiwN&#10;DAxocHBQixcvViQS0a5du+Q4jm699VbV19f7+5ju2LFDR48elSRt2LBBK1as0KlTp/TEE0/oySef&#10;1K9//WstW7ZMS5cuVWlpqRoaGtTU1KTCwkKNjIwoEonopptuUl1dnf++mKapffv2qbOzUx0dHTp4&#10;8KBOnDiheDzuh/fc11FTU6P77rtPy5YtU0VFhd9lOPfPBgAAXDwIpADwO8idWjo0NKRdu3bpjTfe&#10;UFNTk+644w41NDScsfemVyk8duyYKioqlEwmJw2k0tvhd3R0VG1tbUqn01q7dq2qq6uVTqd16NAh&#10;7d+/X7FYTLNnz5brurr77rtVVVWlvr6+vD09w+GwbNvWLbfcIklKp9P+2LPZrE6cOKGKigotX75c&#10;rutq3rx5Ki4ulmVZeuWVV9Ta2qpkMqm6ujqtX79es2fPVlFRkaLRqGpqalRVVaWVK1fqiSee0KZN&#10;m/Too4/qtttu00c/+lH/9ZeVlenyyy/Pa+7khfPm5mYZhqHdu3dr48aNuuyyy3TppZfmhWpJ/vrX&#10;kpISrVq1yn9fbdv2q85URwEAuLgQSAHgPHnVOm+/zFAopOHhYR06dEgFBQXasGGD32XXC6y503UN&#10;w1BJSYlf4SsqKpr0Ol5zH9d1FYvFtHDhQlmW5TcNikajuvrqq/2mRpZlKRqN6v3vf/8ZzX1y12NO&#10;3Fs0Go1qeHhY1dXVWrhwoeLxuCT5jYaeeuoplZSU6P3vf7+Ki4tVWFioSCTiv37vXBUVFVqzZo1W&#10;rFihz33uc+rq6lJFRYVmz56tWCwm13X9Kbze68qdqlxbW6vy8nLV1NRo1qxZuuqqq7R8+fK8ab/e&#10;+D3hcNh/T3OryblfAwCACx+BFADeAS/weOGoqKhIy5cvl6S8vTdzp+jmPreqqkp33323HyQnO39u&#10;kLUsK299pHdfYWGhCgsL89axTnae3DDqBbbc8RUVFamgoCCvq613zptvvtkfY+6epbkfuddOJBJq&#10;bGxUY2Oj//jEbr4Tq8be86PRqJqamvS5z30ur9o5MWDndgn2Qr93P0EUAICLD4EUAN6B3ODn3fam&#10;lp7reC8sec17zuc6E8PbZLzOt2e7bu7zznbd3PtzK4yTnXvi6zlXB+GJYXQyuZXSyd6byZ432fvC&#10;VF0AAC5OBFIAOE9nC0dTfZ3f9RpT9bzzPS8hEQAA/DZs2gYAAAAACASBFAAAAAAQCAIpAAAAACAQ&#10;BFIAAAAAQCAIpAAAAACAQBBIAQAAAACBIJACAAAAAAJBIAUAAAAABIJACgAAAAAIBIEUAAAAABAI&#10;AikAAAAAIBAEUgAAAABAIAikAAAAAIBAhIIeAIDpb3h4WDt27FA0GlVhYaGy2axMk9+HBc1xHI2O&#10;jsqyLIVCIVmWJcMw5LquXNeVYRhBD3FG8d5z13XV29urjo4OOY4T9LAAAJhS/LQBYCqZklYZhvF/&#10;otHowkQiYRiGQSC9QGSz2XA6na63LCsVDod7LMuSJAJpAFzX9W8bhiHHcZRKpTQ2Nva4pD+TNBrY&#10;4AAAmEL8tAFgqsUlNUgqEf/mXGjqJP25pNck/VOwQ8FZHJPULcn9bQcCAHAxYsougKk2Iulg0IPA&#10;pJokDUs6IWlHsEPBWRBEAQDTGoEUwHuBH6ovTO5ZbgMAALwnWMQFAAAAAAgEgRQAAAAAEAgCKQAA&#10;AAAgEARSAAAAAEAgCKQAAAAAgEAQSAEAAAAAgSCQAgAAAAACQSAFAAAAAASCQAoAAAAACASBFAAA&#10;AAAQCAIpAAAAACAQBFIAAAAAQCAIpAAAAACAQBBIAQAAAACBIJACAAAAAAJBIAUAAAAABIJACgAA&#10;AAAIBIEUAAAAABAIAikAAAAAIBAEUgAAAABAIAikAAAAAIBAEEgBAAAAAIEgkAIAAAAAAkEgBQAA&#10;AAAEgkAKAAAAAAgEgRQAAAAAEAgCKQAAAAAgEARSAAAAAEAgCKQAAAAAgEAQSAEAAAAAgSCQAgAA&#10;AAACQSAFAAAAAASCQAoAAAAACASBFAAAAAAQCAIpAAAAACAQBFIAAAAAQCAIpAAAAACAQBBIAQAA&#10;AACBIJACAAAAAAJBIAUAAAAABIJACgAAAAAIBIEUAAAAABAIAikAAAAAIBAEUgAAAABAIAikAAAA&#10;AIBAEEgBAAAAAIEgkAIAAAAAAkEgBQAAAAAEgkAKAAAAAAgEgRQAAAAAEAgCKQAAAAAgEARSAAAA&#10;AEAgCKQAAAAAgEAQSAEAAAAAgSCQAgAAAAACQSAFAAAAAASCQAoAAAAACASBFAAAAAAQCAIpAAAA&#10;ACAQBFIAAAAAQCAIpAAAAACAQBBIAQAAAACBIJACAAAAAAJBIAUAAAAABIJACgAAAAAIBIEUAAAA&#10;ABAIAikAAAAAIBAEUgAAAABAIAikAAAAAIBAhIIeAABgyhmSCiVZE+4v1vj/AzFJpZM8b0RSemqH&#10;BgAAZjICKQBMfzFJn5W0QPkzY4okzZEUkRSf5Hn/n6RtkpypHiAAAAAAYHqKSforSf2SMhM+HEnZ&#10;Se4/LumqIAYLAABmDtaQAsD0NybpN5IGNT5tN5TzYWj8/4LQhI+XJHUEMVgAADBzEEgBYPpzJL0h&#10;ab/Gq5+/zaikzZJOTuWgAAAACKQAMDP0SHpSUlKS+1uObZH0qmhoBAAAphiBFABmhhGNB81OnTuQ&#10;ZiXtknTktxwHAADweyOQAsDM4Eo6JGm7xkPn2ZzQeHWU6boAAGDKEUgBYObo1Pg2LqfP8rir8XWm&#10;u8V0XQAA8B4gkALAzGFLel1S21keT0raJ+mYzl1FBQAAeFcQSAFgZmmRtEPjW8HkciW1v/XYqfd6&#10;UAAAYGYikALAzDKs8TWifRPuz2h8jek+jTdAAgAAmHIEUgCYebYpv4uuq/Gq6G799i68AAAA7xoC&#10;KQDMPIclvSwp9dbXrqQuSa9I6g9qUAAAYOYhkALAzJOR9ILeXiua1nh33ba3HgMAAHhPEEgBYObJ&#10;arwauvet28Mab2Z0NMAxAQCAGYhACgAz06CkZzReET2m8e67w4GOCAAAzDgEUgCYmUY0Pm13UFKr&#10;xrvrAgAAvKdCQQ8AwLRnaPzfGivogeAMnZJ+KekNSb2SYsEOB5Ow3/oAAGBaMoIeAIBpzZA0R9LH&#10;JF2qt2ZlWJalbDYb5LgwLqLxP5+0xqftImCm+fbEJcdxHElPSfpvEUoBANMUFVIAU8mStLSwsPC+&#10;Sy65ZFlDQ4NhWZYMw5DrstUlkMsLo67rKp1Oa/fu3e6JEyfKXNf9XxFIAQDTFIEUwFQL1dbWhj77&#10;2c8a999/v4qLiyVJhsEEDSCX4zj+98Wbb76pL3/5y8YTTzwRTqfTAY8MAICpQyAFMOW8aqhhGDIM&#10;w//Bm1AKjH9/uK6b9/0QiUQUCvFfNABg+uN/OwDviYnhkzAKjJv4veAFVMdxmNoOAJj2CKQA3hO5&#10;P3RblnXGfcBM5gVP0zT9QEoYBQDMBOxDCgAAAAAIBIEUAAAAABAIAikAAAAAIMgZ1NoAACAASURB&#10;VBAEUgAAAABAIAikAAAAAIBAEEgBAAAAAIEgkAIAAAAAAkEgBQAAAAAEIhT0AABgJnJd9x0dbxjG&#10;7/3cic/LPedkzuc6hmHkHTfZOc/3PAAAYOYhkAJAQGzblmEYeYHRcRyFQm//0zwxiHrhzvvsBULv&#10;c+79ufdNPI9pmpNew5PNZuU4jizL8p/vOM4Z17EsS47jyHXdvHHn8o73Xp9lWcpms/7zc8cCAABm&#10;FgIpAATAdV2l02m5rqtYLOYHu9zHJx6fGwZN0/QD3sQKqPc5m836x+WexwuAE4PqRKZpKpPJ+Ldz&#10;z+2NNTdM5obhXIZhyLZtua4ry7Ly7qcyOn00qap2Zcmqa2apqrw8U6OoE5Oy3t8PR/mrhJyc2+Yk&#10;j+c+Z+KxEx+f6GzHTzznucYzmbON52znnHjusz32Tl/D+Y7nbM8513nfjdfwbozn3XwNv897+fuM&#10;5739s82EpZQlOWZGpqSwI1lZKWNJp2TJVFiJVErhxKjSyiiTiqXbs53792nna3u1d+wsAwHeEwRS&#10;AAiA67o6fvy4Nm7cqLq6Oq1fv14lJSVyHEemaU5aNcwNpd5x3ufcEGoYhpLJpPr6+hSLxVRZWalw&#10;OJwXXG3bliSFw+FJp9R6xzqO4x/jXc+75okTJ7R//37NmTNHTU1NeWEzVzabVXd3t1paWlRUVKTl&#10;y5ersLAw7zXh4re2buX1iyoW/PEcp7GspL9K0XSBTIc/W2CqZU0pbZkaCUtZc0yGHIUcU6bryDYN&#10;DUcLFHJjKo4My4qlJdcwi2MNhUNW8pV/HRj5v3vTe98I+jVgZiOQAkAATNPUrFmzVF5erp/+9KdK&#10;p9O64447VFBQ4Ae+cz3Xq5R60369wOhVHbPZrLZv367XX39dN954o1atWqVoNCrHcdTd3S3btlVW&#10;VnbWKqVXXR0bG9OePXsUDoe1aNEif4qt67oqLi5Wb2+vnnjiCd1yyy1at26dYrHYpOMNhUJ6/vnn&#10;dfz4cf3Zn/2Z5s+fT4V0mnnhxOtPtg/3HS3MFhfEsgWK2mf+XQDw7su+9dkOSdL4LxvHf8C3ZUsa&#10;VkwhRVVop6VToypyy0uXFay8p7SwrDgdGokpHcSogbcRSAFgip2tqU9BQYEWL16sX//612pra1Mq&#10;lVIikZBlWRodHT1jemxuhTObzcp1Xe3YsUOxWEyrV6/2p+8ahqGioiJdffXV2rJli/76r/9af/EX&#10;f6GVK1fKsixt27ZN+/fvV1VV1VnXfXprRru7u/X444+rublZX/nKV7Rw4UJ/HWhhYaF/jW9961uK&#10;x+NavXq1f04vWBuGoUgkItM0NXfuXFVVVeW9rlAodNb3iMB68TimYwPHho5tC3ocwIxln99hd+mu&#10;6r5Y19XhQi1SKjO1YwLOA4EUAKaQFx49yWRS6XTaD3wVFRW65557VFZWpr1796q2tlYNDQ3as2eP&#10;ent7ZVmWurq65DiO5syZk7dO8+TJk/rOd76j0tJS/exnP1MikfCrpqZpqqmpSR/5yEf0N3/zN+rr&#10;61M2m9XY2Jj2798vx3E0d+7cvDCYO33WMAylUint3btXJSUlWr58uRKJRF4V1jAMNTQ06IMf/KAe&#10;e+wxOY6j48ePq76+Xt3d3dq/f7+WLVumyspKSePBMxwO5wVW7/q5U49zq70AgHdf2LYUtSMSeRQX&#10;AAIpAEyh3LB1+vRpbdmyRfv27fPXenqhq7e3V88995xWrlypP//zP9fcuXNVXl6uZDKpzZs3a2xs&#10;TNdff70ikYh/7hMnTqi0tFRr167N63Zrmqay2axs29aKFSv0p3/6p2publZXV5cOHz6sXbt26YEH&#10;HvCfJ73drTe3o+7AwIA2bdqkL3zhC/503NxqrVcpveqqqzR//nzNmjVLTzzxhG666Sa1t7frH//x&#10;H3XXXXfp7rvvliS/Y69t236Ft6+vT7Ztq6KiQpFIJK8qTCgFgHdfoQoVy8QVHY0qrHDQwwEIpAAw&#10;lQzD8NeDFhUVac2aNbr66qv98OU4joaGhvQf//Efqqys1O23366SkhJFIhHV1taqo6NDmUxG0WhU&#10;jY2NfoXRdV319vYqmUzq0ksvlST/vu7ubpWXl6uiokIFBQW6/vrr1dfXp40bN+rYsWMqKipSc3Oz&#10;HypDoZAfNL3Q6DUt2rBhg66++mo/uDqOo/7+fh05ckSzZ89WVVWVSkpKVFZWpv7+fo2NjfnhOJvN&#10;KpFIKBaL5XXZTSaTsm1bg4OD+sUvfqHW1lb98R//sZYvX+5XT9/pXqsAgPNnyFXY4d9ZXBgIpAAw&#10;hXKrjoZhqLi4OK+DbSaT0ebNm3X06FF94hOf0A033KCRkRGFQiGZpql0Oq2BgQFVVlbKMAz/fsMw&#10;NDo6Ktu2/Uqld/+BAwd09OhRXXbZZVq1apUSiYT6+/tVW1urq666StFoVPX19RoeHpZlWSooKPDH&#10;lMlkdOLECSUSCTU3Nysej+cFVm89aGtrqx5//HHdeOONuvzyyxWPx7Vjxw41NTX5VVxv6rDrujp1&#10;6pROnTol27b12muvaWxsTKFQSJ2dnWpraztjj9OzdRoGAPz+TI3JkC3m7OJCQCAFgCk02R6gXuiS&#10;pMOHD2vTpk1asmSJVq1aJdu29f3vf1833HCDlixZIsMwZFmWYrFYXmCT5AfR6upq//6KigotXbpU&#10;L7/8sv793/9dpmnqmmuuUWtrq5YvX+5vz5JKpfTkk0/q6NGjWrx4sd9Vd3h4WFu2bFFjY6M++clP&#10;qqCgwJ9e612vrKxMa9as0bZt2/Qv//Iv+tKXvqRLL71UfX19mjdvnr9WNZ1Oq6WlxZ/qe/r0acXj&#10;cdXX16u2tlbxeFwHDx7UgQMHVFlZ6QfQ3PeIKbsA8G4bVki2LGWZsIsLAr9+BoAp5FX6Jq6HdF1X&#10;HR0d+vGPf6zW1lYtXrxYs2fP1o9+9CM98sgj2r17t18BHRsbUywWy9tyJZvNqrOzU7Ztq7Ky0q9K&#10;mqap5uZm3XzzzZKkjo4ODQwMqLOz06/OetXOtrY2PfXUU6qoqND8+fN1ySWXqKioSP39/ZLkbxNj&#10;WZZCoZBCoZA/pXfOnDm69dZbFYlENDw8rJaWFlmWpYMHD+qRRx7R888/L9u2VV5erksuuUSLFi1S&#10;bW2tamtrNW/ePFVXV6u4uDiv6ZP3/uQ2gQIAvPtsSY6oj+LCQIUUAKbQxL02vcrf6dOntWnTJm3f&#10;vt2vBB44cEA7d+7UV77yFa1du1axWEyu6yqRSKimpsZ/rlchzWQyfrjMvVY0GtWyZcv0mc98Ro2N&#10;jXrllVfU0NCggoICP1B6Y6moqNDixYtVWlrqVyhLS0u1aNEilZaWyrIsf/y5lctIJKI1a9aopKRE&#10;TU1N2rp1q6qqqtTU1KSSkhK9/vrr2rZtm+rr6zV//nwNDg76zZa8c3nV3/LycoXDYX+KL82MAGAq&#10;FSprRpQxwxI1UlwAqJACwBTyOt86juOHx1QqpWeeeUbHjx/XrbfeqoaGBrW2tuqRRx7Rpz/9ad18&#10;880qKyuT4zjq6OhQKpVSfX19XlBzHEejo6OKRCJ+wyHTNP1r1NTUaP369ZozZ452797tB1Lp7eAa&#10;CoVUU1OjwsLCvPWauWs4J27z4jFNUxUVFbrmmms0MjKiwcFB1dTUqLGxUbW1tSopKVEoFMpbmzo6&#10;OqpwOOy/J9lsVul0WrNnz/arr5NdCwDw7nJkyjGIAbgwUCEFgCmUu+2L4zgaHh7W448/rra2Nt15&#10;5506efKk2tradPToUXV2dmp4eFiRSERXXHGFbNtWd3e34vG4mpqa/HN6IXHi+tTcjr5eAG5tbVUs&#10;FlN5ebn/XO95kUjEb5KUe65zVSi9a3jB17ZtHTlyRKFQSLNmzVI8Hvfv9wKmV1FNJBKybds/t+u6&#10;CofDedfM3bqGUAoAwPRHIAWAKWQYhmzbliSl02lt3rxZqVRKn/nMZ1RXV6cXX3xRknTLLbcoEono&#10;a1/7mg4fPqxvf/vbKiwsVHt7u0pLS1VZWZk33darLkaj0bwtWSbu47ljxw7V1NSorKzMD8eGYWhs&#10;bEzt7e15HYBzpwOfr/7+fu3Zs0cNDQ0qKirKC7e51U7v2uFwWMPDw8pkMkqlUhoYGPDHOvF9AwAA&#10;0x+BFACmmDdNNZVKqbGxUR/4wAf8vTpDoZBisZgikYiuueYa/du//ZseeughpVIpjYyMqKurS5dd&#10;dpmKiory1oumUil1dnaqrq5O8XjcD3BeE6RMJqNXX31Vr7zyiu677z4VFxfnhcVMJqPe3l41NTWd&#10;0fk3N9hODKiu62p4eFgDAwMaHR3VSy+9pO7ubl133XWKxWLKZDKyLEuWZSmbzZ6xxjWdTuuFF17Q&#10;rl27tH37dvX39+srX/mKXz0Nh8N5VWUAADC9EUgBYAp5jXssy1JVVZVqa2vzwpbjOMpms34lceHC&#10;hfr617+u6upqPf3003IcR0uXLvXXWHpNgdLptEZGRpRIJPwKZDab1cDAgF577TXt2bNHL774osLh&#10;sGpqas7Y5zOTySidTmvu3Ll5YTQ3gHrPGRkZUTqd9rv0ZrNZtba26plnntGWLVu0bNky1dbWKhQK&#10;+dVg71re1FvvcyQS0Qc/+EGtXLlSVVVVsm1b119/vXp7exUKhVRbW+u/N2z7AgDA9EcgBYAplBuo&#10;ctdL5jY6yt36xDRNzZkzR8eOHdO+ffu0ZMkSzZ07V6Zp+mEvFAppeHhYp0+fVlNTk6LRqF+NLC0t&#10;1fLlyzU6OqoXXnhB8+bNU21trT+t15uuu3fvXmUyGa1duzavIukFXy8oS+Nbx7S3t2v16tWKRCIq&#10;KCjQVVddpUwmowMHDqi6ulqxWMx/jel0WpLy1pCmUilJUllZmSKRiObMmaPPf/7zcl1X0WhUW7du&#10;VTQaVV1dnR+KqZACADD98b89AATEq56GQm//bjCbzWpkZERbtmyRbdv6wAc+4O/X6XW9laRTp06p&#10;r69P9fX1/v6k3pYvNTU1WrBggRoaGjRnzhwVFxf74ddxHPX09Oipp57SunXr/Cm73hhs284LypI0&#10;MjKiN998U6dOnfLHUVBQoKamJjU3N6uhoUHRaNR/rjReXc39urCwUHfeeaduvPFGv5lSYWGhioqK&#10;5LquDh06pG3btp1zujAAAJh+CKQAEJCJDYik8UC6detWtba26pZbblFDQ4NM08yrcLquq97eXiWT&#10;SZWWlioejyubzeZ1v00mk+rp6fGrld7024GBAf3sZz/T6OiobrvtNkUikbyxeLzrSdLJkye1c+dO&#10;dXZ25jUq6uzs1LFjxzQyMpI3PXdiwM5ms0okElq+fLnmzp3rPz93am57e7s2b96svXv3TsVbDQAA&#10;LlBM2QWAgHiNjjKZjKTx8LZz5069+OKLuvPOO7VixQpJ41XL/fv364knntDJkyeVSqV08OBBpdNp&#10;lZWV+QHQC6tew6Kuri6Njo4qnU4rFoupra1Njz76qPr7+/Xggw9q7ty5eU2HJCkej8s0TW3cuFHt&#10;7e0Kh8Pas2ePnn32WTU2Nqq+vl6VlZXKZDI6ePCgurq6lE6n/UDqBdtEIqFEIqH//M//1LZt2/zG&#10;TrnrXcPhsAzD0OnTp7Vp0yZVVFTo9OnTrB0FAGAGIZACQEAymYz6+/t1+vRppdNpvfzyy+rp6dEn&#10;P/lJf92oV0mcO3euPvjBD2rTpk368Y9/rJMnT+qBBx7QokWL8rrkent7zp49W1deeaWKi4s1NDSk&#10;zZs3q6WlRQ0NDbrzzjv9tacT9zKtq6vThz/8YbW0tGhoaEjhcFjV1dV64IEHdP3116usrEyS/K7A&#10;IyMjfhVXkr/udMGCBfqTP/kT7dixQ7Zt51VvcyujjuOouLhYDz74oFasWKErr7wyrwoLAACmNwIp&#10;AATEsiwtWbJEZWVlWrRokUZHR3XVVVcpHo/nTXs1DEOFhYVasmSJ6urqtGjRIknS4sWLVV5eLunt&#10;jrReQ6IFCxboS1/6kgzDUFtbmyTpQx/6kBobGxWJRPxuublTcw3DUEFBgdavX69169b55/Q+h8Nh&#10;fy/UcDisJUuWqLm5WYZh+FvPeI2bwuGw1qxZo5UrV57XWlBvqu/E8QAAgOmNQAoAAQmHw1q2bJmW&#10;LFniB0Qv0J0tjJWWluqGG2444xhvyqy3hYxlWZo9e7Zc11VZWZnC4bAfcnOrlZNdKxwO++OYKDek&#10;Wpal4uJiSW/vXZpb2QyFQnnBGgAAYCKaGgFAQLwpq7khbuKazom8Y3P3DnUcx68sep14DcPwzx2P&#10;x/0tWLzpsrmVyN9l3LmdcCcGUQAAgPNFIAWAgHghznEcjY2NnVG5nEzuWlHvay+g5u5p6m3l4oVE&#10;79ze+X/fxkFe6PXGQRgFAAC/C+ZSAUCAvIrm+VYuvRDrHWfbth9qvftyQ6sXGr1rTGxi9E5NDJ65&#10;DYomexwAAOBcCKQAEJDc8OZVHCfef67neE2EcvcA9c6VGxC9RkSTVUXfrQBJEAUAAL8LAikABOB3&#10;CYZnO2ay9ZuTfU34BAAAFxrWkAIAAAAAAkEgBQAAAAAEgkAKAAAAAAgEgRQAAAAAEAgCKQAAAAAg&#10;EARSAAAAAEAgCKQAAAAAgEAQSAEAAAAAgSCQAgBwAXBd1/8wDEOGYQQ9JAAAplwo6AEAmBlc1/Vv&#10;Z7NZmaaZdx8w07muK9u2/a8JpACAmYBACmDKjYyMaM+ePXryySdVUFBAEAUmMAzD/75wXVc9PT3q&#10;6uoKeFQAAEw9AimAqeRKSvX09Iz95Cc/0aOPPirDMBQOhzU2Nhb02IALhhdIQ6GQXykdGhrS2NjY&#10;SNBjAwBgKhFIAUylrKQttm0/eOrUqepTp05ZkmRZlrLZbMBDg6QaSV+WtFfSDwIeC86UldQqiVAK&#10;AJi2CKQAplpS0i5J/oI4wugFo0nSZyUdkvTrYIeCs3CCHgAAAFOJQArgveC+9YELixd2XBF8AABA&#10;ANj2BQAAAAAQCAIpAAAAACAQBFIAAAAAQCAIpAAAAACAQBBIAQAAAACBIJACAAAAAAJBIAUAAAAA&#10;BIJACgAAAAAIBIEUAAAAABAIAikAAAAAIBAEUgAAAABAIAikAAAAAIBAEEgBAAAAAIEgkAIAAAAA&#10;AkEgBQAAAAAEgkAKAAAAAAgEgRQAAAAAEAgCKQAAAAAgEARSAAAAAEAgCKQAAAAAgEAQSAEAAAAA&#10;gSCQAgAAAAACQSAFAAAAAASCQAoAAAAACASBFAAAAAAQCAIpAAAAACAQBFIAAAAAQCAIpAAAAACA&#10;QBBIAQAAAACBIJACAAAAAAJBIAUAAAAABIJACgAAAAAIBIEUAAAAABAIAikAAAAAIBAEUgAAAABA&#10;IAikAAAAAIBAEEgBAAAAAIEgkAIAAAAAAkEgBQAAAAAEgkAKAAAAAAgEgRQAAAAAEAgCKQAAAAAg&#10;EARSAAAAAEAgCKQAAAAAgEAQSAEAAAAAgSCQAgAAAAACQSAFAAAAAAQiFPQAAADvGeMsXxuTPCZJ&#10;7tQOBwAAzHQEUgCY/sKSlkoqUn7wrJVULKlB0rpJntcm6YQIpgAAYIoQSAFg+gtL+qKkj0qKTfL4&#10;Ukn3TbgvJekeSZ0ikAIAgCnCGlIAmP7GJD0v6dRbXxvn8bFX0gFJzns8VgAAMIMQSAFg+rMlvSzp&#10;qM4vYNqSnpbUM4VjAgAAIJACwAzRJelFSaPncWy7xgPs8JSOCAAAzHgEUgCYGYYkbZc0oN++JnS3&#10;pEPncRwAAMDvhUAKADODLWmPpFclZc9x3ICkbZKOi0AKAACmGIEUAGaODkk7JWXOccwhSa/r/Kb2&#10;AgAA/F4IpAAwcwxrvEJ6turnmKT9kt7QuUMrAADAu4JACgAzy663PiYGUlfje45ul9Q3yeMAAADv&#10;OgIpAMwsnRoPpKcn3O9qvLvua6K7LgAAeI8QSAFgZnE0vv3LEeVXQU9rvLvuMZ276REAAMC7hkAK&#10;ADPPnrc+vHWirsan6b4iqTeoQQEAgJmHQAoAM09K0laN700qjQfTIxpvZjQS1KAAAMDMQyAFgJnH&#10;lvSspDc1PoU3qfFmRm2imREAAHgPEUgBYGbqlrRN4+G0V+N7j/YHOiIAADDjEEgBYGZKStr41udW&#10;SS0ar5YCAAC8ZwikADAz2RpvbLRF0k5JB4MdDgAAmIlCQQ8AwLSXkLREUrX4JdiFJqHxdaQxSbcE&#10;PBZMbo+ko2JtLwBgmiKQAphKlqTrwuHwX5SVlS0pKiqSYRiKRCLKZDJyXX7GvgB4vyRgum7ADMOQ&#10;JLmuK9u21dvbq2Qy+b+SHtR4Z2QAAKYdAimAqWRIilZVVRXcc889iVtuuUWJREKGYcg0Tf8HcGAm&#10;c11XjuPIMAy5rivXddXT06NvfvObeumll4ps2w56iAAATBkCKYApF4vFNG/ePK1cuVLFxcWSxqtB&#10;BFJgXDab9b8nXNdVe3u7KioqZJrMcgcATG8EUgBTbmL4JIgC+bzviYmfAQCY7vjVKwAAAAAgEARS&#10;AAAAAEAgCKQAAAAAgEAQSAEAAAAAgSCQAgAAAAACQSAFAAAAAASCQAoAAAAACASBFAAAAAAQiFDQ&#10;AwCA6c51Xf+zYRj+bdM0/ce8+xzHkWVZMgwj7zHDMOQ4Tt7Xuc8zDCPvvlyO40z6WO54znbfZM9z&#10;HEeu68qyLLmue17PmfhaJj7vbGMHAADTG4EUAKaQF7xyw2Y2m5XjOAqFQn4480JjNpv1g6r3YZqm&#10;f66J5zUMQ2NjY4pEIrIsa9IxeAFSkkzT9MfhXdM7j+M4/n3e2CY7VyaTyRuzF5Qty/LHOvE9yGaz&#10;/nW8MXjjIYwCADBzMWUXAKZYbrCcWCX1gqIX2CKRiB/0vI/c8Jf7XNu2lc1mz6imTpQbGidWM3Ov&#10;b9t23nFnY5qmH35zq7bnev25r9cLyN5tAAAwcxFIAeA9lDu91guAXlg1TfOMgOndnzvN1QunXsAN&#10;h8PKZDLnvG5uNdYLqBOn2eZe81xVy9wqp+M4eeM72/He+XIDr/dcAAAwc/GTAAC8h7xK5NDQkFKp&#10;lB/iQqGQP7XVm9Ir5U/NnRgopbfD49mm63rnkMbDYG9vrzo6Ovww7AXi0dFRnThxQj09Pcpms2c9&#10;lxcsbdtWOp1WT0+PTp8+7YfUsxkeHtaRI0fU19cn27b985zrWgAAYPojkALAFJvYxMdxHL355pva&#10;uHGjtm3bplQq5R87NjamjRs3qqenR7ZtSzpz+qwXWl9//XX96le/0sDAwG+dYuuFzscee0wPPfSQ&#10;WltbJckPsgMDA/rRj36khx9+WC0tLf61zyabzerUqVN66qmn9N///d86fPjwOcPl8PCwHn30UT38&#10;8MM6ceKE3xTpXEEaAABMfzQ1AoAp5FUCQ6GQ/3U4HFZTU5NeffVVfetb39KNN96oj3zkI0okEkqn&#10;0/rud7+rZ599VvPmzZNpmkqn0+ru7pZlWaqtrfUD5ksvvaRdu3bpL//yL3XXXXdNuh4zt6KZyWR0&#10;/Phxtbe3502z9aYK9/b2KpvNqrCw0H9saGhIyWRSJSUlisfj/jkjkYiqq6u1fPly/dM//ZNeeeUV&#10;/dEf/ZEWLVrkjy+3G280GtXAwIBs21YikcibEpzbyEl6uwPxuToHAwCA6YFACgBTLDdUeRXB8vJy&#10;XXvttXrhhRf06quv6tprr9XcuXNlWZYikYiuv/563XTTTZKk48eP6/9n786D46rvvN+/T++tXbIk&#10;S7ZlWd43vBuwjUMwwUDAISEJyczDMFlIMskkk3tvUqmhbj15pipTU6lbd+aZP2ZuPQkp8lRSqQES&#10;EgjLQFhizGZsA7Ylb5IXWbJsLbb2pbdzzv2j8zuclhdggtxI+ryqVLbV3ad/LZfOOZ/f8v099NBD&#10;RKNRPv3pT1NVVeVN6z179iwrV668KASOX2dqRlVTqRTBYJBQKJQzLdiMbsZiMWKxGI7jMDQ0xGOP&#10;PcZjjz3Gl770JW6//XYKCgq8qbmWZbFw4UKuu+46nnjiCdra2mhoaCAejzM4OMjw8DCVlZXeyHAo&#10;FKKiooJYLJZTRdhUHh7fXrP9jYiIiExdCqQiInkye/Zs7rnnHvr7+ykpKfEKD0WjUeLxOPF4HNd1&#10;iUajjI2NUV1dTU1NDel0mkgkQigU8kYXTRDt7Ozk+eefp6WlhcrKSgDvmP39/ezZs4ehoSF+/vOf&#10;U1VV5a0/HRwc5NChQ7iuyy9+8QsqKioYHh7mnXfeIZFI8Oyzz7JgwQJWr16dU3ipqKiIG2+8kYUL&#10;F7Jy5Up27drF5s2bOXHiBD/5yU/4whe+wA033OBNVTbB14yAmqBsjpfJZLwgqjAqIiIy9SmQiojk&#10;SUFBAdu3b/e2UfFX3B0cHKSxsZGzZ8/S29vL2bNnsSyL3/72tzQ1NXHrrbeSTCYpLCwknU57RZFm&#10;zZrFl7/8ZYCcvU0dx2F0dJREIsHJkyf5xje+wfz5871Ryvb2dvr6+giHw3zpS19izpw5AF5Y9FfJ&#10;HR4eZmBggJkzZ2JZFosXL2bx4sWMjo5y/Phxtm7dSiKRoKOjg56eHi84mxFQ27ZJp9MkEgneeOMN&#10;urq6uPXWW5k5cyaAgqiIiMg0okAqIpIHrut6wa6kpITCwkJvZDCVSgHZQkNnz54llUqRyWQYHh4m&#10;nU6zcOFCbzuYZDJJOBwGcrdX8e9xGggESKfTBAIBotEosVjMC7D+9oTDYUpKSggGg97rTZg04TYY&#10;DDIwMMDTTz9NdXU1GzduZNasWYRCIQ4fPszq1asJh8PYtk0oFPLaZkZxh4eHOXPmDCMjI5w5c4bn&#10;nnuO5uZmVq5cSWVlZc57v9f2MyIiIjL5KZCKiEwwM/I5NjbGsWPHOHfuHI7jcOLECY4cOcLtt9/O&#10;tm3bKCoqwrZtwuEwsViM66+/ng0bNtDe3k5zczPz58/n7rvvZnh4mFAoxP79+70pu+ZPfyA1U2T9&#10;03rXr1/P6tWrKSkpIZVKeetBi4uLue222ygoKCAej3PhwgXa2tpYvnw5ZtUj7wAAIABJREFU0Wg0&#10;p+BQTU0Ny5cv51e/+hWNjY3cd9991NXVcejQITZu3Og9z7ZtLly4QGNjI729vfT19TEyMsKxY8eY&#10;O3cu1113Ha2trZw6dYrS0tKckKwwKiIiMj0okIqITDDbtr1Rv3Q67e0BeubMGbq7u0mn0wDevqAA&#10;nZ2d7Nmzh3Q6TW9vL/39/XR0dLBz504OHDhAYWEh586d84KmGTE1gW54eJiDBw/S0dHhba9iRjkt&#10;y+Lxxx/HsixKS0tz2jo4OEhnZyf79+/n5Zdf5oEHHuCmm27K2Z4lFAqxYcMGmpqaePHFFzl16hTJ&#10;ZNJ736amJhobGxkcHKSnp4fh4WEvGC9YsIDt27dTUlLihWYzZVlERESmHwVSEZEJZCrMWpZFYWEh&#10;69evx7IsRkdH6e/vJxgMsnz5cgoKCrznmjWWZ86cIZlM4roua9euJRQK0d3dTUFBAdFolOHhYS/E&#10;mrBpmJAXjUYJh8M5gS+dTrNr1y6Gh4e57777vGm1fp2dnXR2dnqvNUWHjFgsxpYtW0gkEpSXl3P8&#10;+HGqq6vp7e2lqKiIWbNmUVRUxPz581m/fj3Dw8Ps3Lkz5+di2umfrmxodFRERGR6UCAVEZlAZsTT&#10;TI0NBoNkMhkymYwXVEOhkDe6GQqFSCaTBINB7rjjDgYHBykoKPD2MR0ZGQGgrKyMBx98kKNHj15y&#10;/9GCggI2bNjgrcX0j56OjY3xxz/+Edu2ufnmm4nFYhe9ft++fVRWVrJy5Uqvnf59Sx3HYcWKFdTX&#10;1zM0NMTBgwdZsmQJa9asAeDtt98mGAwSi8W8KsHm85uKu+azz5w5k2g0CpATfBVKRUREpj4FUhGR&#10;CeTfksUfDk0o84+gmqm7mUyG3t5ezpw5w6OPPkphYSHFxcUANDY2MnPmTK+SbiqV8sKqWbdp1mKa&#10;vUZNsDOh2B+ALzdd1gRE0z64OCCGQiFKS0u9UFxTU+OtN/VXDTav9YdN0xbbtonH496/zXte6v1E&#10;RERk6gm891NEROTPMX5KrT8EmiCWTqcJBoOk02kKCgqor68nnU5z7tw5gsEgK1euZPny5aTTaZLJ&#10;pBdqw+Fwzt6dJoyax836UX/wdRyHcDicEwIv1+7xlXv9n8F1XQYGBjh16hSRSISysjIvcAeDQa9C&#10;r59t26RSKWzbJpPJkEwmiUQi3vHNn/4qwSIiIjJ1aYRURGSCmRFM4KJQakYNg8Ego6OjQLaw0IwZ&#10;M6itrWXRokWsWLGCa6+9FsdxePHFFykuLiYej+eMXPqD46X4R0HNtGHXdb0CS/7AbLaeMaE1nU57&#10;60xNISIz7bixsZEDBw7wiU98goKCAm9E2Hz5R4PN1+7du+nt7eXkyZM888wz3H777d5WMaadCqMi&#10;IiLTgwKpiMgEulJINCOOruvS0dHBnj17WL58OUVFRcybN8+bxptOp71CR2YrFzMq6n+fy73X5cKd&#10;GUE1wdFMsTWjnCa0jt/b9MyZM7zwwgt0dHRw5MgRSktLqa+v96b5Xup9zGvD4TCLFi2isbGRN954&#10;g4KCAq+K79DQECUlJTiOo6q7IiIi04QCqYhIHo2NjXHw4EGOHj3KNddcQ3NzMyUlJSxatIiOjg5G&#10;RkY4fPgwBQUFAPT29lJRUeFNw/WvGf2vrrlMpVKcOXOGgYEBb4pvT09PTkD1j3jW1NRwxx138OST&#10;T/LCCy9QV1dHSUnJFQNxJpPxpu/OnDmT+vp6Nm7c6K09PXjwILFYjBUrVnifC1AwFRERmeIUSEVE&#10;8sB1XVKpFAcPHuT06dPcdtttbN68mX/+539m4cKFAPT39zMwMEBdXR3FxcW4rkt1dTXl5eUEg8Gc&#10;AkmZTMZbi/lB22HbNgMDAxw7dowjR45w8OBBmpubWbRoEYFAwJtKa6YeR6NRZsyYwbZt2zh06BBz&#10;5sy5ZKVew3EcUqkUy5YtY+7cucRiMQKBALNnzway60pbWlrIZDKsWLHiskWUREREZOpRIBURyYNM&#10;JkN3dzednZ2sXbuWbdu2AXDixAl+/OMfY1kWJSUl3HjjjaxZs4aGhgZvdDIajVJUVATwZ48kmv1R&#10;165dy7Jly7jmmmtIJBKEw2HuuusuiouLvdFYyF1D2tXVxfnz51m8ePEVw6NlWVRVVfGZz3yGcDiM&#10;ZVleQSUznbe9vZ2TJ0+yY8cOb7RVgVRERGTqUyAVEcmDeDzOddddRzweZ9u2bdTW1vLQQw+xceNG&#10;5s2bRzAYZN68edTV1XkFh/r6+rAsi9HRUYaGhujr6yMcDucUJLoS/5pVyIZZE/yCwSCFhYWsWrWK&#10;v//7v8dxHCorK3OCrnm9qbDb2NhIW1sba9euxbZtb2puMBgkHA7jui579+6lpKSEUCiEZVk572mc&#10;P3+el19+mfPnz7N//35uvPHGnEJQIiIiMnXpii8ikgfRaJQtW7awdu1aCgsLaW5uJplM8rnPfc7b&#10;P9Ss34RsGOzv7+fYsWO0tLRw8OBB9u7dy5IlS4jFYt76zktxHAfAC4u2bTMyMkIikfDCKLw7Rba6&#10;uvqSx/GH2Ugkwty5c6mtrfUKLZk2uK5LbW0t27dv5+jRozzzzDOXbZsJ2GVlZWzfvt0bbb3S5xER&#10;EZGpQ4FURCRPYrEY0WiU8+fPc+HCBe644w5qa2uBi9dPBgIB5s6dy8yZM1m9ejUzZszAsiy2b99O&#10;dXX1FbdJMWtATXEigOLiYmpraz/wVF9TLTcQCLBp0yZqamqIRCLeFGLT7pqaGv76r/+aoaEhMpmM&#10;99rLHTMYDFJWVkZhYWFOVV5N2xUREZnaFEhFRPLEhK2ysjI2btxIPB7PWatpApl/b85oNEpNTQ13&#10;3303t99+O/F4POd1l2Je7zgOoVCIcDjM9773PcLhsLe/6AdhRi9LSkpYvXq1995mz9JIJILruhQV&#10;FVFSUoJt217xpfH8n9NM6fX/W0RERKY2BVIRkTwwo4Bm9DIej3trQZPJZE5VW7M203Bdl3g8TkFB&#10;gTfieSWmUq6ZChsMBikuLr7svqHv1W54d9TVP7U2nU57bTbPM49fLmCaz2za5n+eRkhFRESmPgVS&#10;EZE8MCOD/vWbwWCQdDqdExRNoBs/kulfY5pKpd5zyxezv2gmk8GyLOLx+H857Pnb7A+PpoKuCav+&#10;NbCXey//lGH/SPCVXiMiIiJThwKpiEge+Kfi+o0ftbxcYR//96+0B6h5L+O/MkV3/LH8x7tUaPxz&#10;ixEpiIqIiEwfKmEoIiIiIiIieaFAKiIiIiIiInmhQCoiIiIiIiJ5oUAqIiIiIiIieaFAKiIiIiIi&#10;InmhQCoiIiIiIiJ5oUAqIiIiIiIieaFAKiIiIiIiInkRyncDRGT6cV0Xy7Ly3Qy5BNd1c/6t/6eJ&#10;5/+Zj//5i4iITHUKpCJy1Zhwo0D60XC58GO+r/+jq8N13Yv+LxzHIRAI6P9ARESmPAVSEbkqLMvy&#10;brx1k/3Rcqlgqv+j/PD/fmi0VEREpgMFUhG5KvyjQLZta/TnI878XykUXX22bed04IiIiExlCqQi&#10;MuEymQzd3d20trZSXl6Obdv5bpKQDZv+qaH+DgIFoavHsiwcx8F1XYLBIABnz55lZGQkzy0TERGZ&#10;eAqkIjLRMhcuXEg98cQTqbfffptoNEogECCdTue7XdOe67pWOp0OBgIBNxQK2cFg0BuVUyC9uizL&#10;IhTKXpJt22ZsbIxDhw6R1i+KiIhMcQqkIjKRbODA8PDw/3fgwIHZBw4cyHd7JFcpcDdwGngpz22Z&#10;9gKBAI7jjP/220AqD80RERG5KhRIRWQiuUAH8Ct0vvkomgtcD+wF/iXPbZn2LhFGAZJA5io3RURE&#10;5KrRDaKITDQHGM13I+SShsmOYieBwTy3RURERKahQL4bICIiIiIiItOTAqmIiIiIiIjkhQKpiIiI&#10;iIiI5IUCqYiIiIiIiOSFAqmIiIiIiIjkhQKpiIiIiIiI5IUCqYiIiIiIiOSFAqmIiIiIiIjkhQKp&#10;iIiIiIiI5IUCqYiIiIiIiOSFAqmIiIiIiIjkhQKpiIiIiIiI5IUCqYiIiIiIiOSFAqmIiIiIiIjk&#10;hQKpiIiIiIiI5IUCqYiIiIiIiOSFAqmIiIiIiIjkhQKpiIiIiIiI5IUCqYiIiIiIiOSFAqmIiIiI&#10;iIjkhQKpiIiIiIiI5IUCqYiIiIiIiOSFAqmIiIiIiIjkhQKpiIiIiIiI5IUCqYiIiIiIiOSFAqmI&#10;iIiIiIjkhQKpiIiIiIiI5IUCqYiIiIiIiOSFAqmIiIiIiIjkhQKpiIiIiIiI5IUCqYiIiIiIiOSF&#10;AqmIiIiIiIjkhQKpiIiIiIiI5IUCqYiIiIiIiOSFAqmIiIiIyDTj5rsBIn+iQCoiIiIiMk0MAxmi&#10;OMTy3RQRQIFURERERGQaKSTkRAhn4pAK57sxIgqkIiIiIiLTRREjFGYcCjM2iqPyUaBAKiIiIiIy&#10;TRQCgcAIWCNAOt/NEVEgFRERERGZLkYYZiQ0wlCsn3RkJN/NEVEgFRERERGZLoaBRBASYVfjo/KR&#10;EMp3A0RERERE5MM3m9lzri1eW1eTrgmRKSYExDOx8nlji+bMsMpnrEqtXb+YlSWEIEOGofgQx9xT&#10;vXuHXzsBJPLdfpkeFEhFRERERKagmQVla28u2/J/LRm7pjoyWkEwaBFK2qFZqbqKqB2NzrZq/u/R&#10;aCbhhiwSgRG6irvcSvb+2hlO/PtbvKVAKleFAqmIiIiIyBTUPzpwdGHZgpLrnA3LwokyKxh0ce0M&#10;QSeKZQepYEaxa4GbdkmExziabu4bjSbO9tM7/BZv5bv5Mk1oDamIiIiIyBR0kjMnWwZb9wTscCbi&#10;hAmmgwSdIC7g4hIAgq5F0AlgORZjYyOHjneebPrf/O9Uvtsu04cCqYiIiIjI1GS/OPzK7zut3nQm&#10;7JAO2oyFE4yFEmRCKdLWCGkrxVgwRW/4QioZTDRaEbsVcPLdcJk+FEhFRERERKaok5zetcc9cMyJ&#10;jJIIphmKuLjYWI6DawVIByARTdEV6WnfnznwRstoS3++2yzTiwKpiIiIiMgUdZCDY43Jd55MBoax&#10;scGNEHbChJwQlhMmQIB0IO2MBVMnxxhr/DW/Tua7zTK9KJCKiEwPBUDxuK9CIAhELvFYMRDOS0tF&#10;ROTD5BRb0WfaA53DdsAhYocJuhEsAgSwCAKJwNjQ8dSpA50jw2fRdF25ylRlV0Rk6isEfgRsJve8&#10;HwHmAfXAx8e9xgb+O/ACujkREZnUzo31nHw9sO+Pn4zM2lE+UkzQDQAuQYLYJNwko52DDO76X/y/&#10;mq4rV50CqYjI1JcGzgOLgPJLPF4E1Iz73mmgC4VREZFJr5HGoZWx1X8YdIdur6AslB0XBbBJB0fT&#10;7elTx9LOcDOg6rpy1WnKrojI1JcmO9J5DnAB6z2+XOA5oCMfjRURkQ/XTnYmu9zut047Jw/bgSTZ&#10;0zy4pNxEbGSkO9S169Hko535baVMVwqkIiJTnwu0AW/z/nq/+4HXgIGJbJSIiFw17uHe46eT7vDu&#10;sfCw7Vg2Lg6ZUIo2q6NjLDD0zlu8NZTvRsr0pEAqIjI9DJANmaOYrvFLc4FDQAuQuQrtEhGRq6CW&#10;0r4+Luw/G+roS4XT2LiMRVLuCbd1/+MDz7aiJRqSJwqkIiLTwxjwFnCMK990JIDXgRNcObiKiMgk&#10;8j/5n6kDqYNvX4j0NI1ERt1M2KEnNDCSDmV2Pc3TZ/LdPpm+FEhFRKaPNmAf2Qq6l9NBdoRUU7dE&#10;RKYWOxJwT/fbA4cGnIFEOpihO3Ph+CuD+5pQMSPJIwVSEZHp4zzwJtBzmccd4CjQiG5ORESmnFdH&#10;3hloHjv15kBo4Gx3pCczFB58+z8zTx7Nd7tkelMgFRGZPhzgANnQeSm9wDtkR0m1lkhEZIp5gzcS&#10;4ZLogfPlnaeaKvad+2P4hT1ttPXlu10yvWkfUhGR6eUE2RHQrUBk3GPnyAZWTdcVEZma3GPdx7oy&#10;s0cPlJeWpY6OtOzNd4NEgu/9FBERmUIyQBy4Hignu+8oZIsevQo8CnTlp2kiIjLR3ubtdHG0aGzQ&#10;GR4oy9gv7R09rCUaIiIiclXNBp4jW9zIJTs99wzwfbIhVUREprCZzCycw5zZaHBKRERE8iAC/A+y&#10;e5O6ZEdN9wDbUW0BERERuYp04yEiMv1kgOeBbrKBdIxsMaMWVMxIREREriIFUhGR6ccBjpPdb9QB&#10;BoGDZIsaiYiIiFw1CqQiItPTAPAk2dHRZrIjpIm8tkhERESmHQVSEZHpKQW8CZwEmrj83qQiIiIi&#10;E0b7kIrIRLPIdn5Z7/VEuerOA08Dp4BhdE34KHLQul6ZnnQ+EvmvcclW0Z80dIMoIhMpAKwHfmBZ&#10;1krAcl03z00SnwBQRPbCNZLntoiPZVn86XflN8CPgGR+WyRyVRUCvwXmWpal68b7ZhHAJUj2pO5Y&#10;vHun70AUCGDhYJHCxUU/16nEsiyApOu6O4H/B+jIa4M+APU+ichECgCzKioqlm3ZsmXJunXrrFgs&#10;huu65sQpIuO4rktfXx8vvPAChw4dWpVKpbRPoEw35fF4fO3mzZsrb7zxRiscDvs7aeSyLCxfyHR9&#10;l1nLzWZT8wzF0anBsiwcxyEQCDAyMsKuXbvSb775ZncikSjId9s+CAVSEZloVllZmfWJT3zC+su/&#10;/EuKi4txHIdgUPfYIn6u65JOpwmFQnR0dNDS0sLhw4dV60Gmo0AoFApcd9111g9+8AMAMpkMoVBI&#10;nZkif5JOpwkEAl5HzcjICGNjY+zZs2fSLZNSIBWRq8ayLILBIIFAQIFUxCeTyRAIBCgoKMB1XSKR&#10;SM6Nhsh04zgOyWSSYDCI67rEYjGFUZE/MdcGx3GIRCK4rsvY2BihUIhAYPL1YyqQishVY1kWlmVh&#10;2/akPGGKTBTz+5BOp4Hs70ogENANuExbgUDA+70wN9/qoBHJcl0357phprVPVgqkIjLhTBCF7ElU&#10;065E3uW/2TYhNJPJYNu2bsBl2vLPpDE33rpuiGSZzv1gMEgoFMK2bWzbxnEmZ1F2BVIRuSpMb7f/&#10;hkI3FyLvFqXw93jrd0OmO9Mh4+/QBP1uiBj+GQSWZU3a6bqgQCoiV5EZ7dENhcjFTKeNpieKZCmM&#10;ilye/3ox2X83JmeMFhERERERkUlPgVRERERERETyQoFURERERERE8kJrSEVE5H271LpG/xqWyb6O&#10;RUQk3/znWdd1cwqejec4jnfuvdz5178u3V8oyvwbuGjfY3OsD+Ocbo6byWQIBoPva12w67pexdjx&#10;lfona+EeuTwFUhGRaepyxRAudVMy/nFzUzP+OP7vi4jIBzM+PMK7lbgzmcwlt01zHMfbIudSTGj1&#10;v8f4sJdOp71jfNjncvN+5rimTe+1DZz53JZlkUqlAAiHw7rOTEEKpCIi8oH4e6v9Nzq6SRAR+fP5&#10;Ry39wTEcDl/0uH/bqMudf83o5/hgGgwGveBrvmzbBvDe68Ng3t/slQkQjUa9z3KlUVIzqmqCqPm6&#10;UgCXyUdj3iIi8oGMv4Hx9+SLiMifzwRI//nVH079j4/f4/tSxxr/b/+UXdd1c0YeJ2JKrGmDGRE1&#10;n+VKHMfJeb7C6NSlQCoiMk35RzlNz7X/JuG9bnAcxyEQCGDbNplMZsLbKyIyHfjDomVZZDIZbNsm&#10;kUh4U1dNaHw/+1D6A6lt216ANed8/whqMpkkmUx+qJ2MZmQ2GAxi2zZjY2PvGUgdx8FxHBKJBIlE&#10;wmvv+M8jU4Om7IqI5MGlRhVNL/CleqfHr9OEd3vLx/cW+4tWjJ+i5X/cHCedTtPZ2UkikaCmpoai&#10;oiJvqpj/eeOPYd6/p6eHjo4OSktLqa+v96ZivZ+fwfjpvpryKyLT2fhiQ+bcaNs2Bw4cIJVKMX/+&#10;fGbPnn3ROv7LCQQCJJNJTpw4gW3bLFiwgGg0etF7uK7L4cOHOXv2LMuWLWPhwoXetN50Ok0qlSIW&#10;i112Oq+ZYtvX10dJSQmRSOSicB0Oh3n44YeprKzk+uuvp7y8PKcd5mcAkEqleOaZZ+jt7eUzn/kM&#10;ZWVlF10n/W3XNWTyUiAVEcmDTCZDT08PkUiEkpISL1T6e4D9wdRMVzI9zOfOnWPv3r3MmzePZcuW&#10;EYvFvOeZXu9UKkU4HPZuPMZXVzSGh4f5/e9/T0dHB/feey+LFi0iFAp5bTDB0z81zPxpWRZtbW38&#10;9Kc/ZcmSJdxzzz3U1dXlBFr/DcKVAreKIolMWgGgFigETgPJ/DZn8vN3KJpz5syZM/n3f/93AoEA&#10;9913HytWrMCyLPr7+9m3bx+jo6NEIpGLKtmaUcnHHnuMmpoa7r//fhYsWIDjOITDYe+5wWCQ8vJy&#10;Hn/8cX73u99x//33c8MNN2DbNj09Pbz55pvE43Gqq6svW/Cuv7+f5557jptuuonrr7+ekpKSnAq+&#10;tm0za9YsHnzwQQ4dOsS9997LzJkzc6Yhm2NHIhFOnTrFW2+9xcc+9jGqqqq89/GPsJr1qVcqkCQf&#10;bQqkIiJ5MDQ0xKOPPsqFCxe45ppriEQihELZU7J/BNQEVbOWxvRS7969m7179zJ//nz+4R/+gTlz&#10;5gDZoGsu/u+88w67d+9mw4YNXH/99TnB1Ey1DQaDOI5Dd3c3HR0dJJNJ7z16enr4wx/+wI4dO6ip&#10;qckJl/6/p1Ipurq62Lp1K2VlZd7NQSKR4ODBgwwODjJv3jxisZjXvrNnz9LU1MTatWtZvXo1sVjs&#10;kqO5urkQmRSiwKeArwFHgDeAfWTD6Xkgnb+mTU7+jjvLsgiFQtTX13PLLbfwj//4jxQVFbF48WJC&#10;oRCBQMDrJCwuLqawsDCnM9Gc67/yla9QWFhIZWWl97jpBDVTahcsWMCtt97KD37wA37605+yZcsW&#10;b+rsW2+9RSQSYdOmTcTj8Yva7Louvb29PPvss0QiEW644Qbg3Q5V0+F4/fXX097ezoMPPsjixYvZ&#10;sWOH15ZMJkM0GvU+fzAYpKamhqqqqou2jfF3sprrnjo1JycFUhGRPMhkMpw9e5aenh4+/vGPM2vW&#10;rJyLqbk4W5ZFJBK5qDe4vr6eu+++m2AwSFlZWU6VRTMtqr6+nqeeeoof/ehHPPDAA2zZsoVYLOYF&#10;RhNGIXvz09nZyVNPPcWePXuwLIsDBw6wb98+bNvm3nvvpaio6IqfKRQKEY/HvZFcx3HYt28fu3fv&#10;Ztu2bVRWVno3P3v27OG1114jFouxdOlSotHoRT3671WoQ0Q+MiygDFgDrABuBTqBRmAP8A7QRDac&#10;yvtgzpWm89CcD1evXs3WrVupra0lmUzS3d1NVVUVmzdvxnVdIpHIRetLbdsmHA7ndFiaY/uDayqV&#10;IhgMcu2117J9+3ZmzZpFMpmkr6+Prq4ugsEglZWVrFmzhpKSkku2u7W1lRkzZlBaWkphYeFFhZiC&#10;wSDRaJQtW7Zw5swZqqur6e3txbIsenp6eOedd1izZg0NDQ0XjXiGw2Hv2mimEpvPOVHFmOTqUCAV&#10;EckT13UpKChgzpw51NXVeb3gkJ1Gu3PnTlpaWrjllltYsmSJN43WHzxNwYtAIEA6nc656aiqquKT&#10;n/wkb7/9Nm+++SZr164F8KZ0QfZGJZ1OY1kW5eXlLFu2jLlz5wKwYsUK7rnnHiorK3NK9pt1QeOZ&#10;G6dIJEImk8F1XUZHR7Esi2uvvZaFCxd6e+kNDQ15o8NFRUU5VRf9vf0iMqlYQASYAZQDi4BPkg2n&#10;p4DdwPPAUWAISOWnmR9d4/cINR2TZmZLWVkZ3/72twmFQrS2tpJOp6mqqiIUCnnXD8M/o2V0dJR4&#10;PO7NRDEh17+Mwjw/FArx1a9+ldLSUkZGRjh+/LhXuC4UChGNRi9bK8AExWg06o1omrWl/s7Q2bNn&#10;83d/93ek02kOHz5MXV0d/f39PPHEEziOQ319PYFAgGAw6I2KZjIZb4rywMAAlZWVlJSUXBRMZfJR&#10;IBURyRP/9Fn/KKgJiW1tbTzxxBPU1tbS0NBAJBK5qFpiMBjMmbJlvmdZFvF4nK1bt/L1r3+dxYsX&#10;c/78eQ4dOkRRURGVlZXeqOTg4CAXLlwAoKCggMLCQu99MpkMR48eZf/+/dx5550UFxd7723am8lk&#10;vBHadDrNm2++SVFREQsWLCAYDHo3FfF43NvYPRqNEovFmDFjhnfDohsJkSklQDacRoASsuF0G/B/&#10;kg2nLwKvkA2nZ4BR4L33ApkG/EsihoaG6OjoYMaMGVRXVxOLxaiurgbglVdeYfbs2RfVIBi/P6lt&#10;20SjUdLpNCMjI7S3t1NZWcnMmTMJBoMkk0mampoIh8MsXLiQeDzO3LlzGR0dpbu7m3PnzrFu3bqc&#10;45n38vMvBzEdpOb7HR0dNDY2MnfuXO96FgwGGR4eZnBwkHg8TlFRESUlJZSVlXmBN5PJkEqlvFlF&#10;J06c4JVXXqGpqYkvfOELbN++ncLCQl0/JjkFUhGRPBhfGMjcPJgNwE1YnDlzJtdccw0FBQUAOdOt&#10;zHSmdDqd8/1EIkE4HPZuUu655x76+/tpbGwkHA7zb//2b8ydO5cFCxZgWRaJRIK+vj7i8Tj79++n&#10;ubnZa8vw8DAvvfQS9fX1rFq1ihUrVjAwMMBLL73EwYMHCQQCtLW10dLSwm9+8xtOnjzJrl27qKur&#10;4ytf+Yp3k2ACcyQSIZFIeGuF/DdQfirrPymZAKJ5c1NLDAgCI1d4TgFw6dKr77L+9JwQsAq4Bvgy&#10;0AIcIBtO3wTO/en9pi3/tFTLsmhqamLfvn3cdNNN3HjjjRQWFtLR0UEwGCSdTtPU1EQ8Hiedzl2q&#10;a6bqmlHWdDrNzp07eeqpp9i8eTN/+7d/6xUUGhwc5PHHH2fp0qXceeedzJo1i1AoxLFjx6ioqCAc&#10;DjM2Nsbrr79OIpGgoKDAq2vgn9HS1dXFhQsXLtprtKqqiqGhIX784x9z7bXXct9991FQUEB7e7u3&#10;7rWzs9MLvclk0gujbW1tPPzwwzQ0NBCNRr3R4PLycuLxuHf9Uyh0XlveAAAgAElEQVSdvBRIRUTy&#10;wFw8zRQrUyHQX9HW9DID3mPpdDqnqIN53ExlOn/+PK+99hqZTIZ169YxZ84cIpEIg4ODnDp1irq6&#10;OhzHYdWqVXzxi18kFArR19fHz372M7q6urjpppuYP38+nZ2dVFRU0NbWRlVVFbfffrt341JUVMTN&#10;N9/M1q1bsSyL559/nubmZu644w62b9/Ot7/9bVzXJZVK8cYbb1xU8fFSVMxoStgAfJbsVE2ZOmYA&#10;ceAslx/BDAEr3+fxLN+f5cBGYD3w34BusgWR9vDeAXfK8q8BLS4u5uMf/ziHDx/mgQce4J/+6Z+4&#10;6aabaGlp8ZZnPPfcc96U2MbGRtra2rj22mupq6sjk8l4YdIcc+vWrRQXF9Pa2kpZWRmhUIj169dz&#10;9OhRfvWrX3l1A2zbZu/evXz/+9/3Oi3XrVvHZz/7WWKxGOl0mlgsltOpOjg4SGlpKTfddBPw7trR&#10;cDjMjh07OH36ND/72c9YtGgRW7ZsobW1ldmzZzMyMsKZM2cYHBykubmZZDLJ6OgoR48eZe7cudx5&#10;553U1dWRTCY5d+4czc3NlJWVXbTtmUxOCqQiInlgLuCm59q/dieZTHrre8x6TNNrHAqFyGQyJBIJ&#10;QqEQkUjE6wVPp9OUlZUxZ84cHnroIV599VXuv/9+Fi1axPHjx5k3bx4FBQXelKrh4WFCoRD9/f04&#10;jkNBQQEjIyO8/vrr7Ny5kzVr1rBu3TpuvfVW5syZ44VkgNLSUmzbZnBwkK6uLgYGBgCorKwkHo+T&#10;TGZ3fTCbm8u0EPzTl0ZIp444sBCYRXb0svMyzwvwbtD8oFyy28T0kx0dHSI7Kjute6XMLJpMJkNl&#10;ZSWf/OQn2bdvH62trQwODtLd3U1FRQWbNm3i+uuvJxgM0tfXx7/+67/iui733nsva9as8bYKM0s+&#10;/OtT/VutlJSUsHXrVvbs2eNtBfPWW29RVVVFSUmJN+pZUFBAcXExb7/9NmfPnmXLli3enqjBYJCC&#10;ggK+9a1vkU6nverwRjQa5S/+4i/Yt28fyWSSM2fOMDo6Sk9PD4ODg5w/f55MJkNFRQXbtm2jqKiI&#10;rq4uzp07R2lpKZFIhNHRUUZGRhgZGcmpqeCfJSSTjwKpiEgemCIPkLvf3PiNwf1bwEB2JPTw4cMc&#10;PHiQ9evXU19f71W2NetQly1bxsaNG3n00UfZv38/9fX13ghmd3c36XSa/v5+du7c6d3EHD9+HMdx&#10;aG1tpaKigttuu40ZM2ZgWRYtLS3U19d74dJU0LUsiwsXLrB//376+/s5fPgwu3bt4pprrqG6uvqi&#10;zc5lyttHdj2g7i2mjoXA35PdY/T3f/q6ePFgdsru18iOkr8X909fGbJVd48DB8mOjB4kG3qLge//&#10;mW2ftPznf3O+XbFiBV//+te55ppr6Ovro7Ozky1btnizawCSySTDw8NUVlZ602z9x/Mf3x/gzOPz&#10;58/nW9/6FhUVFQQCAX7729/yve99L2dphSlMt2/fPp588kmi0SgzZ870Okdd12VsbMwLteOrx8+e&#10;PZvvfOc7LF26lD179hCLxbjuuuuIRCK0t7fz6quvMnPmTG8LMX/HLeDNuPFXEzaPmQJNmmEz+eii&#10;ISKSJ+aGYGxsjD179nDy5EmKioq84kBHjx7l7NmzvPzyy5w4ccKrMnjkyBGOHTvGuXPn+PznP09D&#10;Q0POKGRxcTG33HIL8XicpUuXcvLkSWKxGJFIxHt88eLFrFy5kqqqKkZGRhgdHSWZTLJt2zZv0/N0&#10;Os1LL71ER0cHmzdvJhqNekWKIDvN+OzZs7S3t2PbNmVlZbz++uv84he/4Oabb2bbtm3va7quTBlp&#10;oC/fjZAPTRioBJaSnVq7CniKS4+SFnDlNaaQDaADQA9wiGwHxh7gGND1p8f9x5vW/Ft5Qbbg3F13&#10;3UUikeDpp5/GcRxqa2u9UVSAvXv3cvjwYTZt2oTrunR3d3vr9zOZDH19fZw8eZK6ujoWLlxILBbz&#10;3s+yLAoLC9mwIdun8OKLL5JOp1m4cCGZTIbe3l4uXLhAbW2tdx2IxWKsWLHCq7w+MDDA7373O9ra&#10;2vjmN7/JjBkzcraYMZ9ry5YtdHZ2curUKdasWeNte9bR0eF1fPqvaaZegimaZLYYG793t3+2kUwu&#10;CqQiIhPsSpt1BwIBwuEwDQ0NVFRUEIvFcByHZDJJS0sLJ0+eZPHixSxZssS76K5du9brOa+qqvKm&#10;4PqPP2vWLO666y7C4TA/+9nPWLp0KaWlpXR0dBCJRKisrGTp0qU5pf8PHz7Mww8/7O0dFwgEeOaZ&#10;Z1iyZAkDAwPMnDnTO77jOIyNjXHs2DEcx6G4uJj58+dzww038OCDD/Lzn/+caDTq9Zhf6Wdjjmdu&#10;Nszoq/aUE8mrUmAd2VAaILvWs47stNr3O+3BJRtUj5MNoW+T3ZO0lWwwHf5QWzxFjA9Y/pHGoaEh&#10;GhsbWb9+fc501UQiwYkTJxgaGsK2bY4dO+aFUXPM5uZmfvOb3/DpT3+aqqoqYrGYd871T+VNJBI8&#10;8cQTbNq0yXv/RCJBKpXyihmNH7Hs7+/nN7/5Db/4xS9oaGjg7NmzlJeX58yoMW21bZu2tjZ6e3tZ&#10;tGhRzvY05pj+ysH+fVLNz8HfXnP90HrSyUuBVERkAo2ftmounqY4kakSWFtbS01NjXexTiQSVFRU&#10;EI1Gqa2tpaSkhP7+fmpqanL27TTVav09xSZkRqNR2tvb6e7uZtu2bUSjUYaHh71y/KZNsViM2267&#10;jZqaGoaGhoB3A+Ldd9/NmjVrvO1ezHs4jsO5c+doa2tj/vz53lTe2tpavvGNb1BYWEhxcXFOtd9L&#10;MTcb/ulj/vWyCqUieWGRnaZ7HdnpsxbQAKwlGywvFyRdsnuLDgFtZNedvk52KvdpYJDsSLoWlr8P&#10;JnwZjuOwd+9eent7Wb16tRcGA4EA8XicHTt2sGbNGmpraykrK/OCrPlzeHgYy7KYPXu29zi8W3gI&#10;soXyXnnlFVpaWvjud78L4I2uAtTU1BAOh71rleM4nD59ml//+tc0NzfzpS99ia1bt1JXV+cd2wRj&#10;UwF+ZGSE1157jfLycq+j00y19Y+k+jsqm5qaqK6upqOjg6NHj3qh1f/5VGl38lIgFRG5Cvy91AD9&#10;/f0MDg6yYMECb4sXwx9ew+EwjuNQWFjIH/7wB9ra2rjzzjtZsGAB4XA4p2CEf4sV0yO9d+9eysrK&#10;qKysBODChQtkMpmcyoiRSIRZs2Zx/PhxbNtm06ZNzJ0712uzf6TT9HY7jsPBgwcpKChg8+bNdHV1&#10;XbRGyGyobm5eLsXcUJkbCVM10v95ROSqi5HdlmUh2XtFi2ww/Rjwn1wcSF2y025fJDsCuptscO0i&#10;O01XC8k/ALNOMxQKedue9PT0kEwmeeihh5g/f743HdZff6ChoYEFCxbk7HFtzqlmFk1FRQXz5s3L&#10;KXLkOA7t7e20t7fT2dnJL3/5S6qqqqiqqvI6Pru7uwkGg1RXV3vrQ81a0v7+fiorK/nUpz7F3Llz&#10;icViXjE+00Ha19dHa2srvb29tLS0sHPnTr7//ewy4Uud6831yYzGlpaW8tJLL/HYY4/R39/PX/3V&#10;X1FWVsbo6CiFhYWXPY5MDgqkIiJXiX+09Pz58wwPD1NeXu6t7TSPm15fs+1LKBQiGo2yfv16du3a&#10;xb/8y7/w9a9/nQ0bNngjk+ai75++dOrUKV555RU+/vGPe6OqqVSK4uJib1/T0dFRdu/eTSAQoLi4&#10;mKeeeoqWlhbuv/9+5s2bd1Gb/NvLnDlzhpUrV+aMtgYCAYLBIPF4nNHRUcbGxigvL/duGK70M/GH&#10;dt1YiORVIdnpujW8W+02SnY96Vygg9w1n0ngGWAX2RA6Nu5x+QD8W4Kl02kymQzHjx/nP/7jP2hq&#10;auLGG2/0Hvd36PlnmpjzqenUNMtACgoKvDoB5nphZqn09vbyxBNPsHv3bh544AGCwaC312hfXx+F&#10;hYVehfVUKkUikaC/v59NmzaxePFibwqwZVm0t7eTSqVYsmSJN702EAiwa9cuHnnkEVatWsXq1au9&#10;974cc30rLy/ni1/8IrNmzaKrq4vbbrsN27a9ZS3RaFTXjklMgVREZIKNn7ZrigFFo1GWLFlCUVFR&#10;TqA0F9VgMOiF1UAgwMKFC/nyl7/MD3/4Q370ox/xwx/+kI0bN3ojl67r0tfXx6FDh9izZw/PP/88&#10;vb29fPGLX6SgoIDBwUFaWlpYtGgRZWVlPPvss9TU1PDqq6/S2trKD37wA+6++25+/etfc+rUKaqq&#10;qvjP//xPamtrWbFiBYWFhYRCIWzbZt++fZSXl7Np0yaOHDly0cbkZkrv+fPn2bBhAxUVFZf82ZjX&#10;JZNJjh07xqpVq3RDIZJfQWAR2Yq5ReMeqyM7SnqQ7Min4XD5LWHkA/IHy6KiIhYvXkxDQwO9vb10&#10;dHSwYsUKr4KubdvesojxYdQ/Ujo6Osr+/ftpaGjw9pQ2145QKMTs2bOZPXs2Q0NDHDlyhIULF3pb&#10;eJ08eZL29nY2bdrkLS2JRqPMmDGDbdu2sWTJEi8Qm/B54cIFhoaGWLhwobc8pby8nHnz5rF7926K&#10;iopypg2PZ1kWyWSSQCDArFmzKCoqoqKigjvuuMN7j71799LV1eWtQx2/jZpMHlqcIyJyFZiwZlkW&#10;Y2NjdHV1UV1dzaxZsy4qXAHZmwzz5Z/2tGjRIrZt20YsFmN0dNTb680oKyvz9g8tLS2lurra69Hu&#10;7Ozk3LlzLFy4EMdxePbZZ0mlUgQCAZYtW8acOXNYt24d3/3ud1m7di3nzp2jvr6ehx9+mAcffJDe&#10;3l4CgQBtbW0MDw9z8803e1vDAN7G7JlMBtu2aW5uZnh4mCVLlhCLxS5aD2WY/UyfeeYZ7zmXe66I&#10;TLgIsBxYQO5eoBbZarvrgapxj8mHZPzyDbOe3r+tSkFBQc41xV/kZ3yVWvN4f38/HR0dzJ0715sh&#10;M34PbH/HYmVlpTeyatZsrlmzhnA47NUuGB0d9Y5vrldm1LWnp4euri6vIq/5LPF4HNu2mTFjxkWf&#10;c7xgMMgnP/lJvvrVr1JUVOSNpobDYRKJBB0dHZw5c4ZEIpEzvVcmH42QiohMIP8aH/PvkydPcvbs&#10;WW644QZqa2tzAql5jr/Agylz7zgOZWVlfPrTn2bZsmWsWLGCsbExbzTVXPSLiopYtWoV11xzDa2t&#10;rd4IbGtrK/F4nIaGBp5++mk6OzupqqrKCZHV1dVe7/kLL7zAkiVLuOWWW/jJT37CmjVrqKmpobi4&#10;mI0bN3ph2nxG/01Hd3c3jY2NzJ8/n4aGBuDdPeJMcDXfM/r7+3NuiHRjIZIXJnTWXuKxILAEWEm2&#10;aFHqKrZrWhlfzGhkZITW1lYAb12+/9pipNNpLly4QCqVIh6PEwwGSSQS/PKXvyQSibBu3brLFgLq&#10;7+/nxIkTjI6OEggESKVSNDU1cfjwYW655Rbq6+u92gbwbg0Acx7370Pa1dXF6dOn6enpobKy0nuf&#10;06dP097ezqpVq7w9VP3rYDOZDJ2dnXR1dREOh6moqPAKMvn19PTQ1NTEa6+9RkNDA3feeWdOVWGZ&#10;XBRIRUQmmD+Ujo6O0tjYyMyZM1m+fDm9vb3ec+Dd3uzR0VFGR0dJJBL09fVx7tw5IDsVq7y8nI0b&#10;N9Lc3Mzvf/97rrvuOnbs2OFN77Usi3PnztHU1MTMmTOJx+N0dXVx8OBBrr/+evr6+nj++edZunQp&#10;kUjEG4E1m5+bNrS3t1NaWsrSpUu58847KSsrw3EcKisrvWIX5gbChGaAsbEx9u7di23bfOELX/Bu&#10;KEzYNKF0bGyM8+fPU1payuHDhzlw4ABNTU2sWLHiav8XiUhWgOzI6PVkw+elzAOuBV5GgfRD5w+i&#10;5tphQqUpHlRVVQWQ0wkI7wbXU6dOceTIEU6ePElnZycDAwO0trbyta99jTVr1njH9lfKNdcn13Up&#10;LS0lEAhw6tQpXn31VdasWcPmzZtzCiHV1NTgui5PPvkkixYt8o7lui6Dg4M88sgjhEIhDh06xObN&#10;m73geebMGcLhMKOjo973THvMZ3v88cd55513vJHcS/2MBgYGOHLkCKWlpd7UYlMgUJ2Zk48CqYjI&#10;BDM9w47jcOLECbq7u7nxxhtpbW3l9OnTRKNRb2Nxfzi0bZuGhgZaWlro7OzMmY6USqVob2+nv7+f&#10;AwcOsGXLFm9zccdxGB0dpbe3l8rKSmzb5vDhw1RVVbFlyxb6+/v56le/yvLly4nH4xQWFvL666/z&#10;1FNPMX/+fC8wvvDCCxw7dowf/vCH3HPPPTmB14zKmulkZsqW67ocO3aMxsZG7rjjDubNm5fzszCj&#10;pBUVFbS1tfHQQw9RX1/PgQMHOHPmDE1NTSxfvjzn5yYiV00EWAYsvsJzCoA1wBygH1XQ/dCNP/eZ&#10;vZ537NjB/v37vYJ3ptqteQ5AeXk51157LXPmzOHxxx9n165d2LbN3XffzWc/+1mi0aj3Hv6OQsuy&#10;qKmp4a677qKqqspb179u3To2bNhwUSXba6+9lubmZjo6OhgYGPCuXea4CxcuZNWqVcydOzdne5ZV&#10;q1bxzW9+05t27J9dU1VVxd/8zd/Q3NzMyMjIZcOlmT101113UVdXR319vVdcT9eNyUmBVERkgpmp&#10;VcPDw7S3t/OJT3yCJUuWkEgkWLVqFZFIxAuk/jL8JqCO3wbF3xtuXmPWaJoLdXl5OatWrWLGjBmc&#10;Pn2aZDLJzTffTFVVFRUVFTk92rfffjuFhYX09vZ606ICgQA33HADK1euZMaMGd7xzfv7p2lBdmuY&#10;cDhMR0cHf/zjH9mxYwdr167Nqfxr1sGGQiE2btzId77zHQYHBwkGgzQ0NPC5z32Oj33sY95n1U2F&#10;yFVXAdxGNnReyTqywfUIqqY7Icz51owixmIxPvWpT3HHHXcQiURyqpub5/uXesyZM4fPfe5zrFu3&#10;jsrKSurr673tWEwn4qXea/Xq1Sxfvpz29nYaGhqorq72rhWmirpt29TX1/PAAw94ldfHB1zA24fa&#10;XKsCgQAlJSV87Wtf89ah+gOxuRY0NDRcsYaA/1rp34PbfH6ZfBRIRUQmmAmVhYWFrFu3jtraWq/H&#10;21RHhNypWuZC7V8PYy74Zg2mGbE0Nwj+59TV1fHtb38by7IYGhpi/vz5VFZW5hzTFIFYunQpixYt&#10;uujGwmw3439/f2+2UVVVxe23386iRYtwXZfPf/7z3j6m/gJF/n1STU+8f6qyeQ9/1UgRuarmAlt4&#10;74JFVcB1wAtA70Q3aroznZrjOwbh3euLv0q7OcfX1tYya9asnPWm5lxrOgrHf890ji5YsMA7rr9I&#10;kj/4mWJL5vv+44w/55vrgBktNXUP/MWX/J/3vZiquv5OW42OTl4KpCIiE8i/n1wkEvFK5puLsp//&#10;ImxeYy7Y5jHbtr2CEv6Lv/+1lmURjUa9AhT+cDu+J9u8VygUIh6PX9R2ICdQ+nujTWhcsGABdXV1&#10;Xng1ve+XusEYf5Niet3HrzH1v7+IXBVB4ONA5ft4bgC4EfgpCqQfuvFV1+Hdc6hZU+oPk/5rgf/P&#10;8QXixhfPGz8TxfzbjL769w8d30k4vqNx/HH9xzR/+h8z17VLPfeD/pz8wVYmJwVSEZEJNP6CPz44&#10;Xo7/4u//uwmEH4Tpwb7c+77XMd/rJiEajeaMpH4Qqogo8pFRAPw33v+WgKvITt09gabtfmjeK6CZ&#10;c+YHPXeOP89f6fX+oPd+2vlej1/pc/w5LnedlMlHdwIiIiIishZY+AGeHwbuBGIT0xwRmS40Qioi&#10;IiIiHcAXyF0/WgjcDiwFfgmcHveaASB5VVonIlOWAqmIiIiInPjTl18p2X1Hy4GXgKar3CYRmQY0&#10;ZVdERERERETyQoFURERERERE8kKBVERERERERPJCgVRERERERETyQoFURERERERE8kKBVERERERE&#10;RPJC276IiIiIyEeO67rYtk0goPETkctJJpOEw+F8N+PPokAqIiIiIh8plmV5X47jYFkWkA2p8sHo&#10;Zzd1ua5LJBLBcRwymYz3OzPZqMtJRERERD5SHMfBcZyc7ylQ/de4rut9ydTi/38NBALYto1t23lu&#10;1QenEVIRERER+ShxHcdxjx496j7yyCOWZVkEAoFJOfLzUWJ+fmY0zYyuyeRjOmscxyEWi5FOpxkb&#10;G6OlpSXPLfuvUSAVERERkY+S0bGxsbYXX3zR3rt3rxeeFEg/HK7rBmzbLnBdNxQOh4eBTL7bJB9M&#10;IBDwRkdDoZAXUEdHR9PJZPIckMpvCz8YBVIRmWjuwMCA+8orr7iJRMKKx+MAurEQ8TFTrizLwnVd&#10;+vr6OHXqFLZtO+/xUpGpqA/4P0ZGRmpHRkby3ZapqBTYAcwGHgFa89oa+TClgZPAuXw35INQIBWR&#10;ieQAZ86fP7/vkUceGXrkkUeUQkU+mLeBybcgSOTP4wCv5LsRU1g1sAiwgOeAA/ltjkx3CqQiMpEc&#10;4BDw34FYntsiMhkNMMmmXomIiHwQCqQiMtESQHu+GyEiIiIiHz3a9kVERERERETyQoFURGT6soA4&#10;EM13Q0RERGR6UiAVEZm+KoH/AfxlvhsiIiIi05PWkIqITF8FwBZUxVVERETyRCOkIiLTl+X7EhER&#10;EbnqFEhFREREREQkLxRIRUREREREJC8USEVERERERCQvFEhFREREREQkLxRIRUREREREJC8USEVE&#10;RERERCQvFEhFREREREQkLxRIRUREREREJC8USEVERERERCQvFEhFREREREQkLxRIRUREREREJC8U&#10;SEVERERERCQvFEhFREREREQkLxRIRUREREREJC8USEVERERERCQvFEhFREREREQkLxRIRURERERE&#10;JC8USEVERERERCQvFEhFREREREQkLxRIRUREREREJC8USEVERERERCQvFEhFREREREQkLxRIRURE&#10;REREJC8USEVERERERCQvFEhFREREREQkLxRIRUREREREJC8USEVERERERCQvFEhFREREREQkLxRI&#10;RUREREREJC8USEVERERERCQvFEhFREREREQkLxRIRUREREREJC8USEVERERERCQvFEhFREREREQk&#10;LxRIRUREREREJC8USEVERERERCQvQvlugIiIiIiITIhSoACwfN+rBIqAGFANzBr3mhTQD2SuRgNF&#10;FEhFRERERKam24C/BEp83wsDdUAh8E/A8LjXvAz8L6DzajRQRIFURERERGRqagMWA0vIHSU1Zoz7&#10;dwJ4hotDqsiE0RpSEREREZGpaT9wDHDe5/NPAI3A2IS1SGQcBVIRERERkalpjOyIZ/p9PNcGDgIt&#10;vP8AK/JnUyAVEREREZm6fg90vY/n9QC7ya4ddSe0RSI+CqQiIiIiIlPXeeCV93iOC5wmO0KanPAW&#10;ifgokIqIiIiITF0Z4FGuPG13jOza0eNouxe5yhRIRURERESmtv1kA+flXCA7Xbfv6jRH5F0KpCIi&#10;IiIiU1s/8MJlHnOAs6i6ruSJAqmIiIiIyNQ2AjwPnBn3fRcYBV4mu4ZU1XXlqlMgFRERERGZ2hyg&#10;DdjHxRV0+4A9QO/VbpQIKJCKiIiIiEwHZ8muEx31fc8lW1n3GO9vr1KRD50CqYiIiIjI1JcgW9yo&#10;2fe9DPAa2em6/z97dx4d13nf9/89d/bBDhArAYL7TnARRcq0lkiiaIlaIlubbamOXceJbLXOqe2e&#10;9rR125ykPSdNmvac6JfYtVPXVRw7FlVJthbLWiyRFPd9BTcQBAgCBIiVAAaz3t8f0HN1ZwSQ1EIO&#10;BXxe5+AQGMzyzECauZ/7fZ7vI5ITCqQiIiIiIhNfCjgBHOX9rV3aGA2pF3M1KBEFUhERERGRic8G&#10;OoHt7/2bBnYzOmVXJGd8uR6AiIiIiIhcE2ba7lkgDOwFOnI6Ipn0FEhFRERERCaHJHAaOPTe99sZ&#10;ncorkjMKpCIiE58F5PHB9/yi9y4LASVj3C7K6Nl0ERGZOLqBNxitjO7P8VhEFEhFRCaBIPAvgfmA&#10;x3V5PjCD0bBaPsbtfsLoZuk6ey4iMnFEgY3AKWAgx2MRUSAVEZkEbKAAuA8odF3uee9rCrAg6za9&#10;wN8y2vRCRORT4ZFHHgnMmDGjor6+PhQMBj/WfcViMWKxmPNzeXm587P5XWFhofNzYWFhxuUDA6NZ&#10;b7xxmPsyv3ffLvs2sVgs4zL3uC73PAcGBj4wtqGhIU8ikRgoLi6elj2O7NtcyWO4bxMMBsd8DmM9&#10;lw/zPD6q4eFhu6Wl5eJf/dVf9fB+d2G5jiiQiohMfHHgd8AXgWIyq6SM8TPAZqCF0TArIvKp8I1v&#10;fGNhIBD4//Ly8qp9Ph+p1Eeb4GFZFqlUinQ6jW3bDA4OkpeXh9frBcDj8WDbNpZlYds2qVQKr9eL&#10;1+vlwoULRCIRgsGgc52xpNOj5/t8Ph+WZTE8PIzf78+4jsfjoaOjg/7+fiorKykqKiKVSjn3GY1G&#10;CYfDeDwePJ6x3sohlUrh9/vp7Oykvb2dsrIypkyZQigUIpVKYdu285xt23Z+9vv9JJPJjOeb/b37&#10;NU4mk3i9XjweD+l02hmj1+t1Hsfr9ZJMJp3HMrdJp9N4vV5s28bn8zmvzSchlUrFy8rK3rr55pv/&#10;5+bNm49f/hZyrSmQiohMfGlGN0JvBGqAwGWuH2d0OlfPVR6XiMgn6pZbbinz+Xw3pdNpywSg8YLa&#10;eGzbdgKVZVn09vbyq1/9ilQqxfr16ykrK8OyLCeYDQ4OcvLkSYLBIHV1dTQ2NtLe3s5DDz3E1KlT&#10;x318E8jMfY2MjLBr1y4WLVpEaWmpMw6v18umTZuoqqrin/2zf0YkEsGyLPr6+ti4cSMAAID/fwsW&#10;LGDu3LlOWM4Wj8exLAu/38+LL75Ifn4+X/va15g1axbJZNIJrCZcxmIxQqEQw8PD5OfnO+EznU6T&#10;SqVIpVIEg0HneZlwGYvF8Hq9WJZFV1cX/f39VFVVUVBQkBGYzf21vJA4CgAAIABJREFUt7dz9uxZ&#10;SkpKqKmpwe/3Z7xWH/bvNp5UKpXweDxtc+bMmaJAen3SPqQiIpNDF/A6MMzlq54HGN2bTg2NRORT&#10;5b3qmuX1evH5Rusupup3pV+AE2RNKNy2bRs/+clPOHHihBOU0uk06XSa8+fP89//+3/ne9/7Hjt3&#10;7uT222+nqamJr371q2zZsuWSj2WqoybsHTp0iO9///u8/PLL9PX1OZXajo4OiouLnWro8PAwzz77&#10;LD/4wQ948cUXicVil32MWCxGV1cXgUCAkpLRPnatra38/Oc/5+233+bkyZOcOnWKH/7whzzzzDMk&#10;Eglef/113njjDZqamjh37hxbtmzh7/7u79i6dSvxeNx5fdPptDPl1rZtXnnlFb72ta/xT//0T/T0&#10;9DgVz0Qi4VRQm5qa+Mu//Et+9KMf0dPT44RzU5X+hL8+mXQrV4UCqYjI5DDM6H5z7Vw6kKbeu17z&#10;Za4nInJdyp5e+mG/DHel1O/3M23aNGbNmpURdGKxGMeOHaOnp4eFCxdSW1tLcXExX/ziFxkYGGD3&#10;7t2XfBz3dNmCggLuv/9+vF4vf/u3f8vBgwfxeDxO1bG4uJhAIOAE5EOHDvH5z3+ehx9+mFAoNO7j&#10;uKcUezwewuEwPp8P27bx+/1s3ryZN998k2PHjnHgwAF+85vf8Jvf/IahoSE2bdrE//k//4fDhw/T&#10;2NjIrl27eOGFFzh69KjzHLJft+HhYVpbW0kmk5SWlpKfn+9M33U/b4/HQzwep7S0lEgk4kzdNRXj&#10;T+rL/TrL9UlTdkVEJgeb0Y6KO4DZjH9C8jyjgbT7Go1LROQTY6adugPph+UOou4gY1mWEw7N9aLR&#10;KDt37iQUCrF27VrKy8tJJBLMmTOHJ554gtWrV9Pd3U1jYyPRaJQVK1ZQXFzshMNEIuEERsuymDJl&#10;Cg888AAvvvgiqVSKkZERYrEYqVSKZDLJ4OAg+/fv58iRI3zhC19g6dKlhMNh2tra2L9/P3PmzGHm&#10;zJl4PB4n2Hm9XuLxeMaaWPOYgUAAr9fLtGnTWLVqFYODgzz//PMUFhYSCoWoqamhubmZhoYGystH&#10;m7Fv2rTJaV6Uvf7U5/PR2dnJgQMHWLhwIYsWLXJCdDqdHjOIT5kyxZmum30i4ZNgXge5fimQiohM&#10;Hu3ANka77ZaN8fs0cATYh6brisinVHaY+TBhJLuS5p5Cau7L3fynsbGRY8eOUVZWxtmzZ53pqVu2&#10;bGHJkiWcOnWKAwcO0NraisfjobCwkGXLljm3P3fuHAcOHHAeKxAIMDw8zE033UR7ezs//vGPOXfu&#10;HOfOnePgwYOcP3+ejo4O6uvricfjbN++HcuyOHXqFJs3b+aWW27h85//PFOmTMG2bQYGBhgcHGRk&#10;ZITOzk5GRkbo7e1l48aNDA0NMW/ePADC4TDhcBiAQCBAMBjETHv2er1EIhHy8vIIBAIEAoEPrPc0&#10;UqkUvb29tLW18eijj1JeXs7g4CDpdJq2tjZaWlq44YYbKCoqymh8ZMKoqZy6q68y8SmQiohMHgng&#10;EHCasQPpEHCU0e662ntURCYls8bRNBSKRqNOBXN4eJiNGzcC0NDQwIEDBxgZGeGJJ55gxYoV+P1+&#10;Tp8+zV/+5V/y+OOPM3v2bGC0A63H4yEvL895HMuyKCwspL6+nlAo5ARdy7KIRqNs2bKFN954w1k3&#10;WllZSTweJy8vjzVr1jgVSYD6+npuvvlmQqEQ+fn5+Hw+PB4PPT09HD58GJ/Px5kzZxgeHqarq4sT&#10;J06QTqcpKipyxmKaLJlKajZ3YHS/VtnrNS9cuMDg4CAnTpzgpz/9qRPi9+7dy5EjR3jsscf41re+&#10;5dznyMgI8Xg8Yw2qqaYqkE4OCqQiIpPLAUan5C7jg58B54CdQN+1HpSIyPUimUxy7Ngxdu/eTX9/&#10;P8lkkpMnT9LX18cPfvADenp6KC4uprGxkWeffRaPx0NZWRnl5eV4vV4GBgZIpVKUl5dTWloKjAa3&#10;ZDJJIBBwut56PB6KioqckGrWUA4NDfHSSy/x1ltvsWrVKhYsWMCvfvUrqqurWbVqFRs2bOC1117j&#10;zjvvpL6+3umQ667kmlBXXV1Nfn4+eXl5bNmyhYGBAWbOnMnjjz9OXl4evb29bNiwgX379lFWVkY8&#10;Huf8+fNEIhEnlHZ1dbF9+3by8/M5fPiwU/F0V5NNMO3v7+f111/n1ltv5amnnnKmJvf09LBp0yYG&#10;BgZoaGhwAnMikWDr1q2k02lWrVrFzJkzKSkpURidZBRIRUQmlwFG15HeB1S7Lk8ATYxWUIdzMC4R&#10;keuC1+tlzpw5TJ8+Hdu26e7u5tixYwwODvKNb3yDkpISLly4wM9+9jMGBgYoKytzbmeqq6byZ7aN&#10;uXDhAlVVVQSDQacS6K7CejweZ7rr//2//5dDhw6xbt067r77bi5cuIDf78eyLCorK3nwwQf5+c9/&#10;zn/9r/+VhoYGVqxYwfLly5kyZYrTrdcExEgkQigUIplMEovF6O/vd6YV5+fnMzg4iG3bxONxZ0qv&#10;6Z7r8Xjw+/1Eo1HOnTtHOBymp6cnY42uuR6MhuCenh5Onz7NXXfdxaJFi5y1qkNDQ8RiMW677TZW&#10;rVrlXO7z+ViyZAn5+fn84Ac/oKCggIceeojly5eTn59/jf/ykisKpCIik88WRrvoVgEeRhse9XNl&#10;XXhFRCY0E8SCwSDJZNJp4DM0NEQkEsHv9zsdcO+//3527NhBc3Ozsz/o2bNnicVinD17lr6+Pt59&#10;91127NjB+vXreeyxxygsLCSVGl0VYdaoDg0N8bvf/Y7f/va3VFZW8uSTT1JXV0dhYSH9/f2UlJQQ&#10;DAZJJBIAfPnLX2bOnDk899xzvPDCC4RCIWpraykqKqK6uprf+73fY/ny5c5jDA0NsXXrVqfh0N/8&#10;zd+wfv16ZsyYQTAYZMWKFTz88MMMDw+zdetWJzTH43Hq6uqcdakbN27kwIEDztpPeH/dbTKZZOfO&#10;nXR2dlJVVeVM7/V6vbS2tnLx4kXuv/9+J2ia5z5lyhR+//d/n9mzZ/PXf/3XfPe73+Xhhx/mK1/5&#10;CpWVlR/ozGv+RjJxKJCKiEw+pxhtbtQA5DEaQNuB7cCFHI5LRCSnTGXRBB73fqRmT9AjR47Q1dXF&#10;448/zmuvvUYymaS7u5uOjg68Xi+dnZ1Ot1mv18sNN9zAsmXLKC4uBjIDXEtLC8eOHeP48eMEg0Ge&#10;euopZs6cyZYtW/jP//k/s3z5ch566CH+9E//FJ/Px4ULF/je977HDTfcwB/+4R9y1113sXnzZn73&#10;u99x+PBhSktLueOOO1i2bBmhUMhpHDQ0NMQ777xDfn6+s9b1f/yP/8FXv/rVjL1X3dVaw7Is58t0&#10;GU4mk86UXvP6dHd3s3PnTm699Vb6+vqIx+POFOXm5mZKS0upq6vD5/ORTCadx0yn0/j9fm666Sb+&#10;7M/+jL/+67/m5ZdfZu7cudx1113OGtp4PI7f73duJxOHAqmIyOSTBDYBjwIRIAY0MjplN5nDcYmI&#10;XLdM0x/btlm7di21tbWkUiny8/NZvXo1K1euBODUqVP4fD5uuukm5s6d66znNNNzzZTewcFBuru7&#10;KS8vd/Yw9fv9TlXWHdZMuAScjrmWZREOh7njjjtYtGgRZ86coby83FlXakI0QFNTE93d3cyaNYuC&#10;ggJuvvlmZzqvGZt5bu7na9Z6msc21zXB0PwulUqxe/duIpEIDzzwAPv376epqYl58+Zx9uxZjhw5&#10;wuLFi6mpqcmoDrubIVmWxaxZs/jqV7/KK6+8QiAQcMaSTqedBk7aU3TiUSAVEZl8UoxWQ48zuo70&#10;IrALOJPLQYmIXM88Hg+hUIhly5Y5VUSv1+ushzShzWzfYqqsiUSCaDRKMBh0mvX4fD6Ki4tZvny5&#10;s0/p6dOnnenCzc3NDA4O0tPTw759+/D5fM561KGhIYaHh53tYsz2L+fPn+fxxx+nvr7eqYym02kS&#10;iQQ///nP+dznPuesR120aBGLFi0ikUjwy1/+kjNnzrB9+3aGh4e5cOGC033X4/HQ1dXFzp07KSkp&#10;4ejRowwPDztdg43z58+zd+9ebr/9dpYsWcKZM2fYunUr06dP5+zZs/T29nLbbbdRUFDgvAbucGuq&#10;rF6vlxUrVjBz5kzy8/OdUGqqsqaKKxOLAqmIyOTUB/wW+AzQymj33Ys5HZGIyHXMPbU1Fos5Vb2R&#10;kRFaW1spLi7G4/Fw7tw5hoaGaG5uJpFIcOLECY4fP87KlSu56aabCIfDzn2ZfT57e3udzrymA69h&#10;tk0x02Uty3KaHJlwtmTJElasWPGBDrVer5d9+/ZhWRaf//zn+fGPf+wE5uLiYlpaWpxg7fP5MqqQ&#10;JtCaAG0e3/xrmEA8Z84cVq5cSTgcpq6ujnfeeYft27ezd+9eiouLmTNnDn6/H6/X60zZtSyLeDye&#10;8dq690Q11VQTVrV2dGJSIBURmZxGGJ222w0cY3T/URERGUcikaClpYX9+/cDMHv2bDweD0NDQ5w+&#10;fdqp3p07d45oNEpTUxODg4P09fURiUScEAaZTXnKy8tZt24dXq/XmbKbn5/Pvn37mD17NitXriQv&#10;Lw/Lsjh37hwFBQWUl5ezatWqjDWfyWTSCY5mGm0sFmPTpk3cf//9VFZWAjjVU9u26ejoIJlMsmbN&#10;Gm6++WYGBgZ47rnnnGnG8XicsrIyVq5cyZQpU4jFYrzxxhtOaE6n00SjUUpLS5kxYwZFRUWk02lm&#10;z57Nnj17ePHFF2lvb2fp0qVMmzYto7pp7sOEUTOl2Xxvgnh2NdqEU5k4FEhF5GqzgHwgzGhHV7l+&#10;XAR+B5xgdNuXqtwOR7KkGe1+HMv1QEQmC/eaxpGREbq7uzl79iwtLS309vby1ltvsWDBAubNm0dF&#10;RQUwGihvvfVWVq5cidfrpaWlhaeffpq1a9cya9asjC6x8H4YjcVidHd3O1Ng/X6/00W3ra2NgYEB&#10;2tvbOXPmDMFgkHQ6TXd3N4lEgoGBAU6dOuVUTNPpNAcOHKC5uZk77riDxYsX4/P5ePvtt1m4cCFr&#10;1qyhpaXFqXCaMHnu3Dni8TjFxcV4vV5n6rFZL9vW1kZdXR35+fkZwTGVSjkhMT8/nzVr1mQ0HCoo&#10;KGDu3Lm89NJLWJbFmjVrnKZO8Xg8Y6qzCdDuiqw7qJpOve4mSjKxKJCKyNXkAaYDjwHzAOeUpnu6&#10;j+SM37bteqDO4/HMyfVgJitzkDWGBPAG8Ox734vINWDbNk1NTbz66qts3LiReDzOjBkz+KM/+iOW&#10;Ll1KWVkZwWDQCW/utaOA0102Fos5wc8ELLP3JowG0j179nD8+HGncVEikcDn8zlBtbOzk7ffftsJ&#10;YalUivnz5xMKhXjjjTfw+XxONfPChQv09/dz+vRpZsyYQUFBAXV1dVRXVxOJRDLCNoy+97S0tFBd&#10;XU119ei21GatqmVZJBIJmpqaaGhocB5nvJAYCAQynp9t28RiMafq2dvbSzQaJRAIOMEznU6Tl5fn&#10;TBd2Nzcye6macQJOiJWJR4FURK4mC1gQDocfmTZt2qKpU6c6H1hy3TBnBsZNRXJtmANBs4n8e10x&#10;i2zbfgEFUpFrxjQvOnPmDPF4nKeeeoqGhgYKCgoIBAJOMHJPKTWB0zTpcQcz27bp7Ozk/Pnz1NbW&#10;UlpaCkB+fj633HILK1asIBgMOmFreHiYV155hYGBAdasWcPdd99Nfn4+sViMeDzO5s2biUajNDQ0&#10;UFFRQTAYdG5v2zZ+v9/ZE3X27NlOUHZ3ygU4ffo0zc3N3Hbbbc503ng87jRCSiQSdHd3s3TpUue5&#10;mi/3/ZiADe83H9qyZQsvvPACn/nMZ/D7/bz44oscOnSIBx54gPr6ekKhEDU1NXzlK19hzpw5zn26&#10;O/pmr6M1jZQ0XXfiUSAVkavJA/hramqCX//61wOPPPIIRUVFH2jYIDLZmSlwZjrd6dOn+Y//8T/y&#10;2muvBWMxzdgVuVZMqKupqeHf/bt/5zTZcQcxE0CTySTxeJzu7m52797N8PAwHo+Hnp4e/H4/e/bs&#10;ob29nWg0yqZNm9i1axd33nknf/AHf0BlZSVer5eSkhKKiorweDzEYjE6Ozt55plnePXVV5k5cybF&#10;xcVEIhGKi4udxy8rK2P//v288cYbnDlzhvr6ej772c+ycuVKCgoKnOdhwpsJumbdaDKZJBaL0djY&#10;SCQSYdWqVdi2TX9/v1PJzMvL4/Tp08yZM4c1a9Y4U3RjsZjT7dZd/TWi0Si//e1vefPNN1m7di33&#10;3HMPAFu3bmXDhg089dRTVFZWcuONNzJnzhyCwSCdnZ0MDAxkdNIFyMvLo7q6mkAg4DRDMn8fHUNM&#10;LAqkInJNmA/USCQC4OxtJjLZmfVaprpi2zYlJSUZe/CJyLVhKoGpVMrZC9RUO03lzpw8siwLn89H&#10;IBAgFAo501GnTp3KX/3VXxGJRJyK6b333sv69euJRCLOWkvTiMjr9TI0NMRvf/tbfv3rXxOJRPhX&#10;/+pfsXr1aiorK53qp5nGWlRUxGc/+1kWLVrEjh07+MUvfsH/+3//jwcffJCvfe1r1NXVOSd+k8kk&#10;yWTSmWIci8Xw+/20tbXR0tLCnXfeSU1NDS0tLbz22mts3ryZXbt28cd//Mc899xzrF+/ns7OTjZu&#10;3Eh/fz/79+/n/PnzTjg2ITEWi9HW1sbLL79MZ2cn3/zmN5kxYwahUAiAdevWsXz5cvbs2cOvfvUr&#10;NmzYwNDQEMlkknA47Gz9Yt4D6+rqePjhh7n77rud4wb330gmFgVSEbnq3AfammojkskcXJkDYVPN&#10;SKVSWi8lco2ZqbfuZkEmQMLo55mZoppMJgmFQsyYMYOVK1fS0NDg3IcJrSZEmvsy/4+n02lGRkZo&#10;a2vj+PHj7N+/n8LCQv7kT/6EJUuWZGytYgKxuW08Hsfn81FWVsY999xDQ0MDP/zhD9m8eTMrVqyg&#10;trY2oxutCY1er5fi4mI6Ojo4evQoCxYs4KabbsLj8VBXV8djjz1GYWGh07Bp9uzZ3HPPPaRSKdat&#10;W8evfvUrOjo6WL16NYsWLQJGT6iZoHr8+HGWLFnC6tWriUQixGIxUqmUEzarq6tZv349d955J9Fo&#10;lNbWVo4dO0ZTUxMDAwPOHqher5d77rmHdevWUVRUlLHu1t2JVyYOBVIRuerMh7H7ZxEZ5e4maQ44&#10;3c1DROTacn9emfBjQqr7/0+Px8ONN97IvHnzmD59esbtTIByX+b+Pp1O097eTktLC6FQiC9/+cvU&#10;1NQ4DX7GC11mfavbtGnT+M53vsOOHTuYPn16xkkuM3bbtikoKODee++lqKiI8vJyZs2a5VQfbdum&#10;qKiI9evX4/F4aG5uZt68eXg8HgKBADU1NXzxi1/kpptuoqSkhNraWud5pFIpqqqqWLlyJYWFhc64&#10;zF6i2eM3+4yWlJSwZMmSjPc603E4EokQCAQ+sGZUDREnJgVSEREREZHLcAdRM710zpw5+P3+jMY+&#10;V8KyLKqrq6mrq3MqiObk1Ec5GVVSUsKdd96ZcXLLvRzAsiwqKytZt26dM7XY3c/BBD0TKBsaGkgm&#10;kxnrZouKili2bJlT/TWvRXFxMWVlZR85LLqDfl5enk7ITUIKpCIiIiIil2Ga7rin9Jp+CB+20Y5l&#10;WeTn5zs/m0qjeyuVDyN7loV7P094f9pvIBBwAqV73CZgu8Ohe5qxuY7H43ECtNlP9OPMesrupJtd&#10;3ZXJQXVvEREREZHLcO/B6Q6AH5UJgdnbnHyUNZLubWfcoS5771B31dRwP/5YPR/GCrvw/rRkE6I/&#10;apDOfnx3SJbJQRVSEREREZHLcG+j4q4ymgD3YZkq5CfBXbU13FNrTbdg95pME/xMFTR7TNnjG+tn&#10;d4j+KAEy+zbun7W9y+ShQCoiIiIicgljTS11VyI/ThjLDmEfhXtabfY43XuSjjXO8S7PDqfZ1zG3&#10;c1eMPwxNzxVDgVRERERE5AqMFaI+icrgx7kvc7vxqo2XC35XcvlY1/m4r8F4FFAnH60hFRERERER&#10;kZxQIBUREREREZGc0JRdEZGr6HLrarKnJn2YdTiXWrcz1pqk8dYpjbd26KP6uPd3ufVIms4lIpPd&#10;5d5Tx1rzmf3e6t7eZTx6v5VrQYFUROQqMi3tTadDeP+gYLyDgPEONEyHRPf+cWNtQzDWQcdYIe9S&#10;HQzdWwdc6nrZvxsvjJoulO7N1LNb+2c/prm/VCoFZG6voIMkEZlsxtuqxXzGmPfKwcFBurq6yM/P&#10;JxQKOb8z+4qa9+P29nYGBwdZsmQJ+fn5zuXuzxmRa0GBVETkKuvt7SUej1NSUuJsSp5Op/H7/ePu&#10;N2cOPNzhLZVKMTIyQjAYJBAIONc1ByTZYS67MjpeMB2L+zbmKx6PMzIyQiQScfafc295MN4BjBm7&#10;CZdm8/fxGnCMty+duQ+zEb2IyGSTTqed90L3ic2enh4OHz5MRUUFw8PDvPDCC9TU1FBTU4Pf7+fC&#10;hQt0dnZSW1tLOBxmaGiILVu2EI1G+c53vsPcuXMzOuZqyxW5lhRIRUSusu3bt7NhwwbWrFnDY489&#10;RigUuuJQaA4IUqkUiUSCd999l8HBQT7zmc9QWVnpBLvxKqXZIS+RSGBZ1mVDnfssuW3bJJNJTp06&#10;xYYNG5g3bx733HMP+fn5GWMdr+JrxpFOp2lsbOTs2bMsWbIkY/zZAdiyLE6cOMGuXbuYP38+Cxcu&#10;xLIsZw9AEZHJ6OjRo+zatQuPx0NhYSFnz57F6/USi8XYs2cPq1evpra2lt7eXubPn8/SpUuxLIt3&#10;3nmH119/nf/yX/4LVVVVnD9/np07d1JUVMTUqVMzPjtUHZVrTYFUROQq6+vrY+vWrcyePTtjP7hL&#10;cR8cmApkIBAgHA6zYcMGmpubeeSRR6iqquLcuXNO5dHn8425ZhRGz6CfPHmSRYsWsWDBgowq61iP&#10;D5nTbfv7+9m2bRuxWIy1a9fi9XozpniN9Zju+7Asi4KCArZt28Zbb73FY4895hwsZZ+Nt22bc+fO&#10;OUF+5syZFBQUkE6nL/vaiYhMVOXl5SxevBiv10s8HufVV1+ltLSUhx9+mDvvvJNwOMzZs2fx+/0U&#10;FBRQUVGBz+ejrKwM27YpKyujoqKCVCpFXl4ehYWF5OXlfagZNCKfNAVSEZGryD2ddurUqU5l8ko+&#10;+N1hcGhoCI/Hw5IlS5g/fz6/+c1vmDZtGp/73OfYtGkTiUSC4uJi8vLynLPbJriZ+zh69Ci//OUv&#10;+epXv8qsWbMuG0jdZ8sTiQTpdJpgMEhdXV3GAYwZ63hB2P08a2trufPOO/nzP/9zUqkU06ZNo6Ki&#10;wqnCmoppKpXCtm38fj81NTVOVdn9OCIik01ZWRllZWWk02kGBgYoLi6mtLSUefPmEQ6HSafT9Pb2&#10;Ou+piUTC+Rwy76uJRIJEIkEymXQuM58b5npmWYbItaD/2kREPoTstY3utZvZ00ndAc3r9TpNJdxr&#10;f0yoGxwcxO/3O4E1mUw6wXVoaIjnn3+evXv38vWvf50777yT3t5epkyZQjgc5u6778bn82FZFsFg&#10;0LldduMjv9/Phg0byMvLIxKJOFVL93NwPzf3c7EsC8uyiMfjRKNRJ+wmEgnnsZPJJG1tbdTW1mYc&#10;zJh1n+bxlixZwvr1652fu7q68Pv9HDt2DIB58+ZRUFCQMbXYPL5ZO2VeXzP2S3WJFBGZKMx7nXl/&#10;TCQSzs/mMyWRSDA8PMz+/fudQHrw4EF6enp4++23KSgoYGBggDNnztDQ0JAxRVfvp5ILCqQiIlfI&#10;HdLMWeVoNMrhw4cZHh5myZIllJWVOeHTHfLMz+4vc/ng4CAbNmygo6ODJ598ktLS0oxKoWVZ9PX1&#10;cezYMWKxGPPnz+fJJ5+kqKgIy7IoLy/PCMgmLNq2nVElNYE3EAg4Bxzu5hiAE4bN/bg74KbTaS5e&#10;vMjJkyedn93PZcuWLTz99NM89thjPPTQQxkVVPdZ9/z8fJ544glGRkZIp9OcPHmS6dOnc+jQId58&#10;803+9b/+1yxbtgyPx+NUZgHi8Tgej4e+vj6SySSlpaXO8zTc4xERmYiym7yZ6bvu3gA+n49Zs2ax&#10;fPlygsEgAwMDFBQU0NDQwJQpU7hw4QJHjhzB6/VmnCjVkgjJBQVSEZErlN1N1nyQnzhxgg0bNjB/&#10;/nwqKio+0Bm2sbGR/v5+Xn/9dZqamiguLgZGA5bf76e7u5s33niDZDLJvffeS0FBAX6/HyAjOBYU&#10;FBCJRAiHw+Tn53Ps2DESiQR1dXUATlUyFovR3NxMMplk8eLFFBQUjPuczHRcd+MhdxC9ePEiFy9e&#10;pLKy0qmEDg0N0dHRwdSpU0mn0wwNDbFz506efvpp4vE4XV1dzvRbc6a+tbUVy7KYOnUq4XDYCZOv&#10;vvoqU6dOpaSkxGlaVFlZmTE+y7KIxWJEo1FOnjzJM888Q0FBAd/61reYNm2aAqiITBrpdJqRkRH8&#10;fj/RaNR5jx0cHGTv3r2UlpZiWZazhrSyspK8vDyqq6sJh8OUl5dTWVnpLIkYa4sw0NZacm0pkIqI&#10;XCEzHcq9r6jH46G4uJjZs2fz0EMPccMNNzhTS8001X/8x39k586drFu3ji996UtOsDNrfC5evMjA&#10;wADxeJyqqiqnMZH7bLVpWmSmU6XTabZt28Y//dM/8fDDD1NdXU0ikcDv99PR0cGrr75KRUUF3/3u&#10;d8nLy7vk87Jtm+bmZtra2jLOlieTSX73u9/R2NjI9773PZLJJKFQiEQiwZ49e5g2bRojIyO8++67&#10;PP/886xcuZJHH32U+vp6J0j7fD4KCgrw+Xz87//9vwmHwzzxxBNMmzaN4eFhZwsYM93YVEOHhoac&#10;g63Dhw8TCATw+XycOXOG9vZ2gsEgwWAQIGParg6iRGQiu3DhAps3b3Y+f1pbW+nr6+OZZ55h48aN&#10;3HzzzcyfPx/AeW9NpVLE43FnWYl5P82eWePeHxoUSuXaUSBEiHgkAAAgAElEQVQVEblC7i1JDPcH&#10;uJmq614f6l4HaX7nniJrQmsikXAOHrL3HoX3K6Xu7VhCoRA9PT3U19c7ByAmIG/fvp3y8nKKiorG&#10;fT6mIjoyMkJzczOHDh0iLy/POTDp7+/n1VdfJZFI0NraypQpUwiFQkQiEZqamjh58iRtbW0cOXKE&#10;++67jzVr1jjh00zpNc9nxowZrF27lv/23/4bsViMP/mTP6G1tRXbtqmqqqK/v59z587R29vL1q1b&#10;icViHD16lIGBAUpLS1m8eDEVFRX09PRw6NAhCgsLCYVCH+i6q73zRGQiCwaDzJ07l1QqRTKZpKSk&#10;hKKiItatW8fdd9+N3+/n/PnzxONxzp8/z9mzZwkEAvT39zMwMEBnZyfpdJqOjg76+/spLCzM6G/g&#10;pvdTuVYUSEVErpCpTLqDlgmMJqyaqba2bROLxQgGgx/Y283dcMhUPb1eLyMjIySTyYzHM7IPCtLp&#10;NBUVFVRVVTF16lSmTZvmTClOJBJEIhECgcAV7TVaWFjIXXfdxV133ZVx/aamJn72s59x3333sX79&#10;enbs2AHAjBkziMVi/OhHP2LVqlU8+uijzp6i5rmaMG4Co9fr5dZbb+Xw4cMcPXqUvr4+2tvbGRgY&#10;YN++fcTjcTo7OwkEAkyfPp0FCxZQU1NDY2MjU6dOpb6+HoBkMkl/fz/19fUfCKLZJwtERCaaoqIi&#10;CgoKsG3b6bJbXl7O/Pnznc+bWCyGz+fj7Nmz7Ny5k0gkwp49exgaGmLXrl2UlJTQ29tLPB4nEolk&#10;zFQRyQUFUhGRK+Tec9P8a9Ztupv3uIMnvB+W3Lcz06QMs1Yy+4DAfT/ZDZFMR91oNEp/f79z+dDQ&#10;kFONNQcZ7sfKvv/xtmzZuHEjtm2zevXqjPsqKyujuLiYffv20dDQQHV1tROqzfRZM+3YVFvT6TSB&#10;QIB7772XG2+8kUQiQW9vL3PnzqW0tJSioiK6urpobW2ltraW/Px857UzYzIBOy8vj/Ly8ozwLyIy&#10;GbhP+pl/zeeQ6XZeXl7OF7/4Rerr66mqqnK27Dpx4gT33XcfU6dOZXh4mNtvv91pigQ4lVJD1VG5&#10;VhRIRUSukLsKZ5r2uPfGjMfjxONx4P2gF41Gicfjzm1isZgT2kx1dHh42KmMmvvMDqbuwJi9vufA&#10;gQOcO3fOaVDR3d1Nd3c35eXlToi+FHfQda/h3LJlC/X19axevTpjjzrbtmloaODgwYPs2LGDyspK&#10;CgsLnfG77xfeD/K2bTNr1izq6+vZvn07sViMBQsWUFxcnNFYyd3t0Twnd9fhQCBAcXGxs+bUPUVa&#10;U8xEZCIznx/uHgPm/dP0JSgrK6OioiJjS65kMpnxWRAKhaitrXXuM5VKZZzk0/uoXEsKpCIiV8h8&#10;sJtpqO6qo5l62tvbm7GPm8fj4dSpU0SjUY4fP86mTZucaqIJWKZrbVlZmXO2e7wQaUKXu5HP1KlT&#10;mT17thPm2tranArjpbgruPD+1i4ej4ft27dz9OhRvvWtb5Gfn+/sQWrGV1tby6xZs3jnnXeYNm0a&#10;q1evJhQKZdyv+3VzN4MaHBzk4MGDTtfHsbjH4r4se9q0+3UZ67FFRCaS7MZDpndBZ2en0xXd7/dT&#10;XFzsnNAzJyqj0Sitra0kEgmnOVIwGOQLX/iC0/ncvUWZyLWiQCoicoVMhdC9FQlANBollUpRXV3N&#10;/Pnzne1OTGA8duwYfr+f0tJSZs2aRSAQyJja29PT42zN4l5DeqlxGIlEgurqaqZPnw7gBOW8vLwP&#10;VBzH4/6d2fP05ZdfpqamhjvuuAO/3+9MuTUdG/1+PzfeeCNbtmzhlVdeoaamhpkzZzpTx8a6f3Pg&#10;1NraSltbGzfffLNzRn6855hKpejp6eHMmTMUFBTQ3t5Od3e3c7/m61IhXkRkojAn6rxeL/39/QwO&#10;DtLc3EwkEqGmpoY5c+bg9XppbGx03huTySR9fX0MDQ1x+vRp+vr6uHjxIr29vRQUFDA0NERFRUVG&#10;f4Tsk34iV5MCqYjIFXJPHYXRKU8jIyNUVVXx+7//+6xZs4bCwkInsJoAW1ZWhmVZTnA0TX7MB39Z&#10;WRlf//rXKSoqoqyszJkOPN4Y3JXGdDqNz+cjHo8TCoWczovutaqXC6PuSmQ8Hue1117j+PHjfOc7&#10;33H2BzVVSVMVtiyLWbNmsW7dOn784x/zD//wD3zjG9+gtrb2A2fWzXpRs73NT3/6U/x+P1VVVeMe&#10;8Li3ccnLy6O5uZkXXniB7du3M2XKFCorK7l48SLhcNh5nXVGX0QmupaWFrZt28bu3btpaWkhGAyy&#10;du1abr/9dqqqqgiFQsTjcWpqaoD3t36JxWIUFhayevVqpkyZAsC6devweDxEIpGMRnTu6cAi14IC&#10;qYjIh+AOUJZlEQgEWLNmjbO3W3ZzI/Oh7p5mGggEMu6jsLCQW265ZcymRtncFc8LFy7Q0dHB22+/&#10;zeHDh50z4V1dXbS3t1NaWpoxtWu8NZYmZHq9Xs6cOcPmzZtZs2YNy5cvd7ascV/PnJ33+/383u/9&#10;Hk1NTTz//PN4vV6++c1vUlFRkVG9jMVitLe3s2PHDl566SVOnDhxyf1R3QHa7Oe6atUqSkpKqKio&#10;4MYbb2Tx4sUcOXKEuXPnUlJS4oxLRGSism2bLVu28PTTT7Nw4UK+9KUvsXLlSioqKpxmcl6vl3A4&#10;7CyHSCaTTjd1s12YmZGT/Z5pTgRqtolcawqkIiIfQvYH+HhTTt1nl8cKme7GRGMF0fEOCNxre0ZG&#10;RigoKGDevHnU1dUBowcf58+f59ChQ07Tn0Qi4QRLc1tzkGLCrc/no7e3l9dffx2/3899993nBEYz&#10;llAohN/vx+fzMTIyQigUoqysjEcffZSWlhZ+8pOfcObMGf7Df/gP1NXVOWfcvV4v8+bNY/r06Vy8&#10;eJFkMsmiRYsy1pya9bSmemzGnZeXR35+PuFwmPnz5zNr1ixCoRDRaJTDhw8zbdq0jGZTCqUiMlF5&#10;PB7uueceioqKWLp0KdXV1Rmd1JPJpLMG1DDvjwMDAwDEYjFnaUgqlWLnzp2cOHGCtWvXMnXq1Ix9&#10;tfV+KteKAqmIyBW6Wh/OY21GPh7TDdHj8bBgwQKeeuopVqxYQSQScdZvVlRUUFJSQlVVFcXFxc7a&#10;TbMVjPtgw+yd2t/fz8aNG+ns7OSRRx5h3rx5TkMMM6ZoNEoymSQejxMIBJxpXTNnzuTb3/42w8PD&#10;vPzyy2zZsoX/9J/+EzfeeCNTp051ztoHAgFKSkqckGlCqDkjbzpCmtdjzpw5fPvb32bWrFnAaCAO&#10;h8Ok02mi0SjNzc20tLQ43STH29xdRGSiKC0t5f77789YmpFOp+nu7mbXrl0kEglnP1Lzu3Q6TWdn&#10;JzNmzGD37t0cO3aMdDpNT08PmzZtorOzE4AvfOELFBcXA2OfSBW5WhRIRUQ+ZUyAu+GGG1i1apXT&#10;ZMgcgBQXF1NcXMzg4CAXLlwgEong9/tJJBIZZ73NFgHxeJz9+/dz/vx57r33XpYuXeo0XoLMKq57&#10;bZE7UM6ZM4d/+2//LYWFhTz77LP88Ic/ZHh4mPvuu4/S0lInRDc1NdHT0+NUTj0eD4lEwgmk0WiU&#10;3t5ewuEwJSUlzm3j8Tgej4dkMollWXR1dXH69Gl+/etfs2DBgivqKiwi8mnnblJnZpN4vV7y8vKY&#10;Pn06iUQiY/aJWV8/d+5cbr31VoLBIPB+5dTsMx0Oh4lEIhnv+zq5J9eKAqmIyKeIe69Qn8/nNDXK&#10;bl5k2zaDg4Ps37+fc+fO0dXVRWNjI16v12lUZCqm7e3tXLx4kbVr1zJ9+nRn+lc8Hmffvn0MDAww&#10;MDDA3r176e3tdaYpu6uRHo+HWbNm8Wd/9mcsXryYG264gblz5xIOh529VQcHB7l48SLDw8OMjIxk&#10;bF1j2zZ5eXm0t7fzN3/zN9TX12ds82LWR5lpacePH+fo0aMEg0GGh4cJhUIZ611FRCYq837oXqsf&#10;DAaZN2/euA2JsvfONu+95mSh+R7QdF255hRIRUSuIvPBX1RUREFBQcbWMWN94GdP17Vtm1QqRTgc&#10;pra2lkgk4tzOvfbUrKF0d9etrq4mLy+PPXv28Morr3D8+HEeeeQRFi1a5ByE+P1+ysrK+OxnP+tM&#10;1XKHzHQ6TV9fH8899xy7d++moaGBxYsXZ+xvZ86kBwIBvF4vf/iHf/iBcGyaadx7770UFRURCoU+&#10;cFC0Zs0avvvd79LR0eHczt0cyjyvdDrNypUrueeee1i4cCHl5eXONGQRmdzM+siJXOFzv++aE3Xm&#10;M8VdQXXPhnGHTPNZYdbtm+tmb5/1aXv91Izp00uBVETkKrJtmxkzZvDP//k/Z+XKlc4H/uVCafZB&#10;wcqVK/nsZz9LbW2tc5bbfVt3iDT/2rZNSUkJt9xyC/n5+TQ3N7NmzRqn+655fLMhulsqlSIYDHLj&#10;jTeyfPlySktLWbZsGQ0NDSxcuDAj/LrH4A6F2c8hGAxy6623snz5cgoKCjL2LPX7/VRUVPDAAw+M&#10;uRer+8DKMGtTRUQMM63f/R71aQtWlzLW88le7zlW91z3Z4P5fBjrvrI/SyYCBdXrnwKpiMhVtmLF&#10;Cm644YaMM9hwZR/4qVSK/Px8Vq1a5awVutIDLHMdn8/HypUrWbp0qROITVVyvGmu5rJAIIDP5+P2&#10;22/ntttuw7Is/H7/uGMYKyS7hUIhZ33TeGN1B1URkQ8jmUzaPp8vZVmWd6xtrj7NPsnnMtGC+hWw&#10;U6mUkul1Sp/6IiJXkXtK1ZUeHGVPs3KvtfwoBxBm6q2ZZmsqrJdiqrjuAGyCqIjI9eqdd97pDAaD&#10;r+bn51e4p6PKxDfe51o6nY6fPn1659mzZzuv8ZDkCimQiohcZaYJkWVZGZ1uTeDLZsIgvH8gZaaf&#10;fZSpR6YiCjhNK67k7Li7AYapqJr1nCIi16Of/vSnx71e778sLS0N53oscn2wbTt94cKF/rfeeutC&#10;rsciY1MgFRG5itx7wcHoWklT8RyPu/MsvB8Mxwuwl+O+L1OtvVwYNbdxP6a5rYjI9erZZ5+NA825&#10;HoeIXDkFUhGRqyy7qnipDcfdzSayL/s4rfjHanp0uVCcHYzNzyIiIiKfFAVSEZGr6KMEuLGaHn2c&#10;abLZwfNK7mu85kRaiyUiIiKfJJ3qFhERERERkZxQIBUREREREZGcUCAVERERERGRnFAgFRERERER&#10;kZxQIBUREREREZGcUCAVERERERGRnFAgFRERERERkZxQIBUREREREZGc8OV6ACIicn2wbfsDl3k8&#10;nhyMZHKybdv5Ar32IiIyOSiQisg1Yds26XSaVCqFx+PRwfZ1Ijv8uEOp/kbXhgmh6XQaj8dDOp0G&#10;wLIs/Q1ERGTCUyAVkasuGo1y4sQJtm3bRn5+fq6HI++xbZt4PI5lWU740cmCa2+skwKdnZ10d3eP&#10;WbUWERGZSBRIReRqsoHBrq6urueee677zTff9CjsXD9s27aSyWSex+NJer3eKKgqmiuWZTkVUoB4&#10;PE5nZyfJZPI8o/8fiYiITEgKpCJyNaWAnYlE4vttbW3lbW1tSjvXlwrg28AR4B9zPBbJ4vV6SafT&#10;R4FYrsciIiJytSiQisjV1g9syvUgZEzTgceBY8BzuR2KZEulUrkegoiIyFWnbV9EREREREQkJxRI&#10;RUREREREJCcUSEVERERERCQnFEhFREREREQkJxRIRUREREREJCcUSEVERERERCQnFEhFREREREQk&#10;JxRIRUREREREJCcUSEVERERERCQnFEhFREREREQkJxRIRUREREREJCcUSEVERERERCQnFEhFRERE&#10;REQkJxRIRUREREREJCcUSEVERERERCQnFEhFREREREQkJxRIRUREREREJCcUSEVERERERCQnFEhF&#10;REREREQkJxRIRUREREREJCcUSEVERERERCQnFEhFREREREQkJxRIRUREREREJCcUSEVERERERCQn&#10;FEhFREREREQkJxRIRUREREREJCcUSEVERERERCQnFEhFREREREQkJxRIRUREREREJCcUSEVERERE&#10;RCQnFEhFREREREQkJxRIRUREREREJCcUSEVERERERCQnFEhFREREREQkJxRIRUREREREJCcUSEVE&#10;RERERCQnFEhFREREREQkJxRIRUREREREJCcUSEVERERERCQnFEhFREREREQkJxRIRUREREREJCcU&#10;SEVERERERCQnFEhFREREREQkJ3y5HoCIiFwTEcCbdVnee5cFgIIxbjMCJK7yuERERGQSUyAVEZn4&#10;IsA3gYVkzozJB2YwGkzLsm5jA38PbAXS12CMIiIiMgkpkIqITHwpoBD4AlA8xu8rgSVZl50FnkZh&#10;VERERK4irSEVEZn4EsA7wAVGK59XYjPQftVGJCIiIoICqYjIZJAGTgAHgfgVXP8i8DbQcxXHJCIi&#10;IqJAKiIySXQzGjKHuXyV9AhwmCsLryIiIiIfmQKpiMjkEAX2AW1cOpCm3rte82WuJyIiIvKxKZCK&#10;iEwONnCS0a65qUtcrxXYwWhFVUREROSqUiAVEZk8zjMaNvsvcZ2TaLquiIiIXCMKpCIik0cK2A8c&#10;Y+zpuP2MTtc9w6WrqCIiIiKfCAVSEZHJ5Qiwh9GtYNxsRqfr7uTSFVQRERGRT4wCqYjI5DIE7Aa6&#10;si5PAKcZrZ6OXOtBiYiIyOSkQCoiMvlsZnRf0vR7P9tAL6PrS8+h7roiIiJyjSiQiohMPm2Mhs/h&#10;935OA+2Mrh/tzdWgREREZPJRIBURmXziwDtAH6PV0DjQCDQByRyOS0RERCYZBVIRkcknzWhjo4Pv&#10;fT8AbAeaczgmERERmYQUSEVEJqcB4E1Gq6NngEO8P4VXRERE5JpQIBURmZyiwO+ADkYrpQdzOxwR&#10;ERGZjHy5HoCITBqeXA9APqANeAE4zug2MPobXX/U8VhERCY0BVIRuZo8wFzLsv7Atu35tm17PJ7R&#10;zGPbOs6+DviBamAN8Lkcj2XS8ng8+P1+UqkUqVQq43Lbtn8NPMPoPrEiIiITjgKpiFxNXmB+JBJ5&#10;YMGCBQtnzJjh8Xq9CqMiWTweD+l0GnPCJhaLsWfPHs6ePetLpVK/QIFUREQmKAVSEbnaPBUVFZ7H&#10;H3/c88QTT1BQUIBlWXg8HufgW2QyS6VS2Lbt/D/h8XhoaWnhu9/9Lh0dHR531VRERGSiUSAVkavO&#10;4/Hg8/mwLEthVCSL1+t1qqPvTdPFsixs29ZsAhERmfAUSEXkmnKHUYVSkVH6f0JERCYrbfsiIiIi&#10;IiIiOaFAKiIiIiIiIjmhQCoiIiIiIiI5oUAqIiIiIiIiOaFAKiIiIiIiIjmhQCoiIiIiIiI5oUAq&#10;IiIiIiIiOaFAKiIiIiIiIjnhy/UAREQ+7WzbHvNnj8eDx+MhlUo5P9u27fzr9Xo/cFtzvfEeZ6zr&#10;J5NJ/H7/mNc3YwBIp9PYto1lWc7PlmWN+3gflRmneZ5AxvfmZ8OMw317c51PemwiIiJyfVEgFRH5&#10;BLjDovnXsixs2yaZTOLxePB6vaRSKSzLIp1OA5nBLDvAjcWESvfvzX2ay03Ac1/PfVkqlXIudwfB&#10;j8t9v+6Qacbsfp7mNUin0xm3Mb9XGBUREZkcNGVXROQTYMIUvB8sU6lURhUyuzp6qUroeExQM2Ev&#10;lUrh9/tJJpPObU3YM/efSqWcxzZjsSwLr9f7ST39D4w/u+Lp/jKvgfneVIrN2MYK3SIiIjIxKZCK&#10;iHxM2dU/E7Lc4cr8DmBoaIju7m4SiURGVTV7iu14j2V+736cwcFBZ2qwezzxeJxkMulUR4Fxpwp/&#10;XGONO51Ok0wmncBpgmp2FdS27YzrptNp5/mIiIjIxKVAKiLyMZmKowl56XSaRCIxZuhKpVJs2bKF&#10;73//+7z77rvEYrGM6iBwySBmrufxeIjH46TTaYaGhviLv/gLXnjhBc6fP++E1p6eHn75y1/yzDPP&#10;0N3d7YTjq7VG01SJzeOk02l6enrYtGkTu3fvZnh4mEQi4UzVNUHZVJFHRkbYsmULL730Eh0dHRlV&#10;ZxEREZmYFEhFRD4md+A0/1qWRVNTE6+88gpdXV0ZldPBwUGOHDnC4ODgmJXUy63rNGHO7/dj2zaN&#10;jY28+OKLbNmyhZGRkYyAu3//fl566SV6eno+UMkdr0nSR2Wei1lLats2fr+fRCLBL3/5S5599ll6&#10;e3udYO5eR2qcPHmSZ599ljNnzlyVKq6IiIhcXxRIRUQ+JlMNNN9blkUqlWLTpk38m3/zb/jTP/1T&#10;mpqanLWjMBreQqEQXq/XWe9pqofJZJJ4PE4qlSKVSpFMJkmlUs7vTWA1//785z8nEAjw5S9/mZqa&#10;Gnw+nzMO27YpKysjEong8XhIJpNOkyX3OtdEIuF8b8JxLBZzxmPGMTg4SCwWyxir+Z2ZZuvz+ZzA&#10;GQ6HWbp0KeXl5fz93/89u3btyqgku6fpBoNBCgsLKSoqoqSkBJ/P59yneQxzXREREZkYFEhFRD4B&#10;JhyacBqLxXj33XfJy8vj3nvvZfr06U5F0OfzOaHRXV11V0tNUAOcQOb+nQmTjY2NbN++nbvvvptl&#10;y5YRCoUAnEqlCcperxev14vf78eyrIxQae7bhFTzGKYCax6vs7OTX/ziFxw8eNB5/Oyxm2BtXg+f&#10;z0dVVRV33HEHixcvdiqmsViMM2fO8NZbb9HX1+d0I06lUs5YTfB0B1H31GgRERH59FMgFRGjEAgD&#10;am36IZnQ5l6Tef78eVpbW7nrrrtYvXp1xhRZExTH2q8zlUpx+vRp9u3b51RKTUBzd9c1we/555/H&#10;siyefPJJ/H5/RkddM7bsjreJRIIDBw7w+uuvE41Gncc3oS97z1Cv10s8Hmfnzp387Gc/4+WXX3ZC&#10;Z/Y6VFMZNfdr7mvhwoX8+3//71m5ciX79++np6eHrq4ufvSjH7FhwwaGh4eJx+POc3CvR43H43R3&#10;dzM4OPiBLWRERETk0037kIqI8SRQAxwCDgJngAEgCigBXIJ7v01TNXz55Ze5ePEic+fOpbGxkUAg&#10;gN/vdyqDsViMEydOUFJS4kyl9Xq99Pb28r/+1/8iFArxL/7Fv+CGG27ImA5spvzats22bdt46623&#10;ePDBB6moqMC2bafyasblrnqaCuvevXv5i7/4C1KpFCUlJSxfvpxIJJJxnexmRz09PbzzzjscOnQI&#10;27a57777WLZs2Qf2OjWBe2RkhL179zJlyhTq6uqIRCIEg0GGhoZoaWlh2rRp5OXlEQwGWbx4sVPZ&#10;Nc91eHiY7u5uLl68yFtvvcVrr73GN77xDW677Tb8fv9V/ouKiIjItaJAKiLGPOBLwCDQwmgw3QXs&#10;YTScngeSORvddczdHMiyLLq7uzl06BA33XQT06dPd0Kke4osjFYTY7GYsx1KMpkkFArx4IMPEggE&#10;yMvLc+7f3ck3nU7T39/Pxo0baW5u5uzZsxkNldzVWo/Hg8/nc3537Ngx/u7v/o6+vj7+6I/+iBkz&#10;ZjhrNd3dd81zMuM6duwYp0+fxuv1cuTIEd58803mz59POBzOmOZrqrkXL16kvb2dl19+mVWrVnHL&#10;LbdQXFxMU1MTpaWl5Ofn09XVlTEduaenh97eXgYGBjh8+DCtra0AdHV10d7eTl5enrPvqoiIiEwM&#10;CqQi4mYB5cAUoAF4EOgE9gO7gQPAUeACMAxoo0gXU+ncvHkzHo+Hr3zlK8ybN+8DTYja29sJh8PM&#10;mzeP1atXZ1QkE4kEa9ascQKiuyJqAqnH42Hv3r00Njbi9/vZvn07Q0NDRCIRZxzZXXTT6TSnTp3i&#10;Rz/6ER0dHfzxH/8x9913HwUFBRnjNyzLcqbl9vX1sW3bNmpra7n//vt5/vnn2bhxI/fccw8LFixw&#10;AqkZn9frpaysjDVr1nD8+HH+4R/+AZ/Pxx133MGxY8eYNWsWgLN36oEDB4hGo4TDYS5cuIBlWdTV&#10;1bF06VL8fj/Dw8NEIhGqqqoIhUKf6FY1IiIiklsKpCIyFg/gB4re+5oN3Ad0AE3APmAn0AicBvpz&#10;M8zrh5nq2trayp49e3jggQdYsGCBU53MDnvmMq/X61wnlUoRDAYB8Pv9GduhuKujHR0d7N69m1Wr&#10;VuHz+ZyAa6bLZofRRCLB6dOneeGFF2hubuZb3/oWd9xxB3l5eePuReoOmE1NTTQ3N/P5z3+egoIC&#10;Dh48yMGDB9mxYwczZ84kEAg4VV7TTMmyLEpLS7nllltobm6mq6uLM2fOEI/HaWtro729ndbWVoaG&#10;higqKqK+vp6ysjLOnTtHZ2cnU6dOpbS0FNu26e3tZWRkJGMNrYiIiEwMCqQiciU8QAiYDtQBq4DH&#10;gGZGK6d7gG2MhtVETkZ4HUilUhw5coSqqir+f/buPTjO8r7//ufes1ZHy5aE8Ql8Bp+F7RgM/iUY&#10;yAFwDjQEptA2SQlp86Qz5NdOZp60k8xvMumT/lLaX0jaPGlzmNA8bUiBnAgBEoxtMMHG2NjGtny2&#10;ZcuWLdmWtJJ29z49f6yvm3vXsoEgeXV4v2Z2JO3hvq+VWLOf/V7X91qyZEnQpVZS0XTYSCQSNCkK&#10;T/U101Hz+Xxw3/AaTcuygrWZiURC73//+3X48GG1t7cH3XNNMDbj8X1fbW1t+vd//3flcjn95V/+&#10;pVauXPmWlUZz7lwupzfeeCN4Tq7r6vrrr9cPf/hDvfDCC1q5cqVmzpwZPC+zpYyZKjx37lzde++9&#10;ampq0r59+5RKpdTc3KxUKqW6ujq9+OKLmjp1qubOnSvf95VKpYLqcLgxUzweL/o9AACA0YFAiuFq&#10;nAqB54pyD2QMWSIp+jbuF5VUJalShSZIKyT1qlA93SNpvaQXVZja2zckIx2GXNfV3r171dvbq/e9&#10;731qamoKQlU4WElvNj8ylUTbtoNAt3v3blVUVGjatGlFwctMn923b5/a2tp06623avr06Uqn08rn&#10;80Xbs5i9TfP5vLLZrN544w3dcssteuihh7Rw4cKiJsv/9zUAACAASURBVEQXqziaY7W2tuqll17S&#10;mjVr1NjYKNd1ddttt+nXv/61tm3bpt27d2vatGlKJBJFx7NtW7FYTOPGjdONN96ozs5OtbW16eqr&#10;r9aUKVPk+77q6uokvVkpNlu+mPObqcy+76uiooK1owAAjEIEUgxXyyV9QdI5SWfKPJaxokHvbMsX&#10;c9+oClvGVEkar0Il1VGhCVL/YA5wOLNtW/F4XNddd52uvPJKdXd369ChQ8pkMkH10nEcxWIxHTx4&#10;UJlMRi0tLaqpqZHv+8rn8zpz5oz+9V//Vel0Wl//+tc1Z86coOIYj8fV0dGhgwcPatmyZZo1a1bQ&#10;tbd0OrDneero6NAvfvELbdy4UfPmzdNDDz2kefPmSXqz+vlW019939fGjRtVXV2tpUuXBlXPBQsW&#10;6Oabb9aTTz6pp556SvPnz9f06dODcZjtW0zQjkaj2r9/v7q7uzV9+vTg2FJharJphGTbdtGWL2as&#10;juMwVRcAgFGKQIrhqlpSUtL/K+nZMo9lrPjfkj6qt66S+qGveRW68h6W9LSkFyQd0JtNj95OxXVU&#10;SCQSmj59elDlc11X27Ztk2VZuuKKK1RfXx9syeK6rmKxWLD2UpIqKio0btw4PfDAA6qoqChqhGQC&#10;ZE1Njd73vvcFW6iYoGamBptLa2urfvWrX+m1115TRUWFGhsbNX78+KByGo1Gi/YbDX8fDrfd3d36&#10;7//+by1evFitra06ePBgcIwrrrhClmVp06ZN2r17tyZNmhSsf43FYkH49n1fnZ2d2r59u1KplCZN&#10;miRJQSXUrFM11WLzfHt7e9XZ2SnP83T27NngPuGpzwAAYOQjkGK4Mu82OyS1lnMgY0ivLr7fqH/+&#10;YqsQNNsktUjaJGmtCk2O8pdhjMNSeGsVI5FI6IEHHpD0ZjVQKkxFbW9v129/+1vNmjVLN9xwQ9Hj&#10;zNRbUxk1wU0qVBPr6uqC0BaLxYqC2ZkzZ7Rt2za9+uqramxs1Be+8AV973vfU09PTzAluHQdZk9P&#10;jzKZzIBTjH/+858H02afffbZou1n8vm8Zs6cqT179mjt2rVqbm7WxIkTZdu2otFoUPHN5XLavn27&#10;du7cqVtvvVWJRKLoPGbKsnnurusqn89r165deuqpp7R+/XodPXpUn/zkJ1VVVaW+vr5gOxwAADDy&#10;EUgBvBVHhanTJ1TY/mXj+a/7JXWKrV8GnQlqpmNuOCSGp66aiqJt2zp9+rSef/55RaNR3X777br6&#10;6quVzWaLpr+WVhdd11Vra6v27t2rO+64o2gMp06d0vr16/XpT39aa9asuWCNZz6fV1NTk77xjW/o&#10;tdde0969e1VfXy/LspTL5WTbtvbv36/169dr/fr1amxs1IwZM4KGTkY2m72gE3EymdSyZcv0gQ98&#10;QA0NDWpra9M999wjSdq5c6eWLl16wQcAAABgZOL/6ABKOZKyKqzd3a9Cc6INKnTTbZOUEyF0SIVD&#10;aLghUun+ouFqajKZ1J133qnKyspgXWY+ny86TmkgjUQi6u7u1smTJ4PAaaqUzz33nFKplFatWnXB&#10;9FpzvJUrV+q5557T5s2btW7dOs2ZM0fjx49XRUWFksmk3vOe96iurk6HDx9WXV2dJk6cWNQFOFxZ&#10;Np2FPc9TTU2NksmkJkyYoE9/+tNyXVeJREJ79uzRzp07tXjxYgIpAACjBP9HB2D0qDAN96gK4XOb&#10;CmH0qMZQc6LhwHThlTTgNFvDTOlNpVKqra1VOp0OptiaKmu4ohrurmuCYU9Pj86ePat8Ph90yj10&#10;6JCeffZZrV69WrW1tRc8JhKJKBaLacqUKZo/f75effVVrV27Vu9973vV3NwcrI1NJpOqr69XbW2t&#10;UqlUMI7wmtXwc7QsS83NzVqwYIEaGxslKWgI5bquTp48qR07dsi27aLjAQCAkYu2hQCMn0v6n5L+&#10;L0n/KOkXKgRUwuhbCFcsw+tFS39+J7q6urR582YdPnw4OE64A60JdOHrzJYvhgl5/f39yuVyRcdx&#10;XVf9/f3au3evfv/732vbtm3q7+/XkSNH9Pjjj2vr1q2ybVtnzpwpqoqa4zuOo0wmE9y2bds2PfbY&#10;Y2ppaZHjOHIcR77vq6urS52dnXIcJxiXCcnmOfT39wfHmTp1qubMmaNEIiHXdYPjeJ6nlpYWvfrq&#10;q3rllVf+oN8pAAAYfqiQAjDWlnsAI1kul1NHR4cymUwwnbS0k61UWLdpQl57e7v2799/wbEymYx+&#10;9atf6de//rVWrlypBx54QFOmTAk63JqtXcw5zHWl02Grq6s1d+5cvfjii/ra176mOXPmBB12o9Go&#10;urq69NRTT6mnp0dbtmxRU1OTWlpaFI/H9eEPf1iZTEY7d+7UggULNGHChGDKru/76u7u1pEjR9TU&#10;1KQ//dM/lVToFLxnzx5NmDBBkydPVj6fV2trq06ePKn6+vpgvOZSU1Ojuro6ff/739czzzwTVGjN&#10;ljThLV88z9PatWtVUVGhTCYz5H9PAABweRBIAWAQ5HI5HT16VMeOHVNFRYWkwjRXU+mT3mwqlEql&#10;9MEPflDRaFR79uy54FiO46i+vl533HGHGhoalM/ng8eGp85ms1l1d3ertrY2CHnh0BiLxXTzzTer&#10;r69Phw8f1qFDh4JAaoLrsmXLtGTJEq1cuVKNjY2qra3V8uXLg2my0WhUlZWVwXGN2tpaLVmyRAsW&#10;LCiafuv7vtLptHzfVyKR0Ny5c/Xxj39cqVSqaPqtJE2cOFH33Xef3njjDXV3dwdrRS3LKmroZJ7P&#10;/fffr2uvvVYrV64cor8iAAC43AikADAIKisr1dzcrIULFwbrN33fD/bjlN6comqqfuZ+pcJ7g5rH&#10;RaPRC+7vOI5uvfVWjR8/PghypfuKXn311XrwwQfV398f7PXpeV6wH6kJnIlEQlIhLJvHmvBrQqwJ&#10;vKZTbjweD8Znxm1+NlNtp0yZovvuu0+e5ymdTktSsD9pJBLRddddp+bm5qJuwEa4qZOpApv1qwAA&#10;YHTg/+oA8C6Fp82aZjsmcCWTSUkqmmprwl+4YVEpExpLbzcNj2KxmNLptNasWVNUSTRB04TPSCSi&#10;ioqKIAyG14OGp8eGq5+mMhoOogN1/L3Y48JjDFc9zfjMOc1Yw9ONB3rO4XOaYA4AAEYHAikAvEsm&#10;nIWrfCaAhTvTDrQFy0DC1clw1dEEMhP4wtVL02yotEoaiUSCLVVisVjROlMzJhNeL9bNt3Ss4TAb&#10;Po+pXHqep1gsdkHzIhNgw0E2fK6LbXdjxhr+mVAKAMDoQCAFgEFQWlEMT60NT5M1YSzcDbdUeH/O&#10;0jDouq7i8XhRIAtP7zXrMxOJRBBsw/cPh2Nz31gsFuxnGg694a664XOVjr80JIan1Ib3LpUUnCMc&#10;Vs0xwtvUDPScBpreDAAARjYCKQC8S6VVvoFcKoC+3WNLbx3KzLrOi40lPI5wcDSB+q3OM9Ax36pa&#10;Gb49PL5LHSP8M2tGAQAYvfi4GQAAAABQFgRSAAAAAEBZEEgBAAAAAGVBIAUAAAAAlAWBFAAAAABQ&#10;FgRSAAAAAEBZEEgBAAAAAGVBIAUAAAAAlAW7jQO47Hzfl2VZ8n2/3EMBhhXf93ldAADGFAIpgLLg&#10;TTdQzPd9eZ4ny7LKPRQAAC4bAimAy8ZUfyzL4k03cJ55XZjXhiS5rsuHNgCAMYE1pACGnHmTbYKo&#10;4zi82QYG4LquPM8r9zAAALhsqJACGHJ9fX3avn27amtrlU6n5XmeIhE+DwOkNyukkUgkqJJ2dHTo&#10;5MmThFMAwKhHIAUwlHxJZ9vb2zt+8pOfnPvZz34mSYpGo3Icp7wjgyRFfN9PW5blSMqWezBjWXgq&#10;u2VZ8jxPmUxGjuO0q/A6AgBgVCKQAhhKrqRNrut+squrq8JcmUgklM/nyzgsnDdJ0v8jaYukfy7z&#10;WDCws+LDAgDAKEYgBTDU+iUdDF9BGB02eiX1STot6Y0yjwUAAIxBLOICAAAAAJQFgRQAAAAAUBYE&#10;UgAAAABAWRBIAQAAAABlQSAFAAAAAJQFgRQAAAAAUBYEUgAAAABAWRBIAQAAAABlQSAFAAAAAJQF&#10;gRQAAAAAUBYEUgAAAABAWRBIAQAAAABlQSAFAAAAAJQFgRQAAAAAUBYEUgAAAABAWRBIAQAAAABl&#10;QSAFAAAAAJQFgRQAAAAAUBYEUgAAAABAWRBIAQAAAABlQSAFAAAAAJQFgRQAAAAAUBYEUgAAAABA&#10;WRBIAQAAAABlQSAFAAAAAJQFgRQAAAAAUBYEUgAAAABAWRBIAQAAAABlQSAFAAAAAJQFgRQAAAAA&#10;UBYEUgAAAABAWRBIAQAAAABlQSAFAAAAAJQFgRQAAAAAUBYEUgAAAABAWRBIAQAAAABlQSAFAAAA&#10;AJQFgRQAAAAAUBYEUgAAAABAWRBIAQAAAABlQSAFAAAAAJQFgRQAAAAAUBYEUgAAAABAWRBIAQAA&#10;AABlQSAFAAAAAJQFgRQAAAAAUBYEUgAAAABAWRBIAQAAAABlQSAFAAAAAJRFrNwDAAAMuYSkxZLG&#10;SbJC1zdJqpM0XdIHSh7jS9otqfX89wAAAIOOQAoAo19U0mck3SspPcDt8yR9ouS6jKSPSTomAikA&#10;ABgiTNkFgNHPlvSCpC69/XD5uqQDkrwhGhMAAACBFADGAEfSJkn7Jblv4/62pN9IOjWUgwIAACCQ&#10;AsDYcFrSS5Jyb+O+RyVtldQ3pCMCAABjHoEUAMaGHhWqpGd06Wm7vqRtKkzXZe0oAAAYUgRSABgb&#10;HEk7Jb2qS0/bPSPpFUltIpACAIAhRiAFgLGjTdIWXXra7iEVgmv2sowIAACMaQRSABg7elWokB65&#10;yO05FcLoHkn5yzUoAAAwdhFIAWBs2S5phwaejtsu6TUVpu0CAAAMOQIpAIwt7SrsMdpdcr2nQnfd&#10;bZIyl3tQAABgbCKQAsDY4kn6rQp7koarpF0qrC89rLe3VykAAMC7RiAFgLGnRdJuSfb5n30Vpulu&#10;k9RZrkEBAICxh0AKAGNPn6TnJZ1TIYzaKlRMd52/DQAA4LIgkALA2ONIekmFNaO+3uy+e7CcgwIA&#10;AGMPgRQAxqZ2Sb9XIZyeVmG7F7rrAgCAy4pACgBjU0bSL1XotrtD0lYVGh4BAABcNgRSABibXBWa&#10;G21UoZnRofIOBwAAjEWxcg8AAFA2HZIeVWHLl3yZxwIAAMYgAikAjF29kn4hKVrugQAAgLGJQAoA&#10;YxuVUQAAUDasIQUAAAAAlAWBFAAAAABQFgRSAAAAAEBZEEgBAAAAAGVBIAUAAAAAlAWBFAAAAABQ&#10;FgRSAAAAAEBZEEgBAAAAAGURK/cAAIx64yUtk9QoySrzWICRZoekbZK8cg8EAIChQCAFMJSikt4T&#10;j8e/1tDQsKCmpkaWZSkajcr3/XKPDRgWLMsKXg+RSESe58lxHJ08eVJdXV2/knSvpL6yDhIAgCFC&#10;IAUwlCxJiaampvj9998fWbNmjaqrq2VZFEqBMBNKPa9QCG1ra9M3vvENrVu3LprP58s8OgAAhg6B&#10;FMCQS6VSmjp1qubOnauKigpFIhFFIixhByTJ8zz5vq9oNBoE0oqKClVVVfHhDQBg1COQAhhyvu/L&#10;tm25rlvuoQDDTiQSke/78n0/+F5ScB0AAKMZJQoAQ86yrKILb7KBgZlpu7FYjOooAGBMoEIKYMiF&#10;A2g4mAIoCFdIeY0AAMYSAimAy8K8wTZvuM11AArMayQajUoSMwkAAGMCU3YBACiz0qoo60cBAGMF&#10;gRQAAAAAUBZM2QUAAHhnLElxFT7YH2lrD3xJzvkLAJQdgRQAhtilpl6+k3W0pc2hLvXzuzkPgEtK&#10;SFos6RZJV2jkBVJX0l5Jv5J0tMxjAQACKQAMpdK1gGZbj0iksGLCNLB5uzzPK1pnKBWH0YFCKWEU&#10;GFTVkUjktnQ6/blx48ZdkUqlyj2et2Qayrmuq+7ubv/MmTMttm0flXRchYAKAGVDIAWAIWZCom3b&#10;isfjQRg1X9+JSCQShFzP8ySpqGtxafikMQ4w6CKxWCxx/fXXRx966CEtX75csdjwfDsV/jfC8zw5&#10;jqMf/ehH1j//8z9Hjx8/HlNhyjGBFEBZDc9/QQFglAhXM0011HXdPyiMmuOYkFlaXS2tkpZO6QUw&#10;OPL5vHzfV2VlpaqqqoZtIHXdQta0LEv5fF5VVVVKpVJ8UAVgWKHLLgAModIAad4ghiuc79TFtgcp&#10;nbpbuu8rgMHzh36odLmUhs5EIiHP8+R5HoEUwLAyPD/SA4BRIhxGzfddXV3K5/Nqamr6g45pgqcJ&#10;nY7jKJPJqKampmg/SzNFLxqNvuO1qgDemvnAZ7h+6BOezh+ulv6hH4YBwFAgkALAIAgHxIGYZkS+&#10;7+v111/Xxo0b9cEPflDz589XKpWSZVmybVvRaDR4g2uO6ft+0drR0uv7+/v16KOPat68eWpublZd&#10;XZ1831d/f79ee+019fT0aOXKlaqpqZFUXEkdqEGSYe7nuq6i0WjwHEoDcfgNueM4ikQi8jxP0WhU&#10;mUxG+/btU01NjaZNmxZUlcwxIpGIbNtWLBaTbdvav3+/ent7NWfOHNXU1ATnCE9zHs4BAGNH6eyE&#10;4ciETzNbwjRUG+7VXQBjC/8iAcC7FA6I4Slxp0+f1oYNG3T27NkgWMXjcXV3d2vt2rVqbW0Nwla4&#10;e65t23IcR7ZtB294XdctOo85ryQdPXpUjzzyiJ544gm1t7cHx8pms/rlL3+pf/mXf1Fra2tQITHj&#10;M2HTXG/O43lecL2ppJivA4Vic//SceXzedm2rQMHDujhhx/W448/rt7eXvm+r1wuVxSqzTk2b96s&#10;hx9+WK+++qqy2awcx5HrusHvxvx+gXIr7aA9HFmWpWg0qkgkUvRh13AN0ADGJgIpAAyCcMXQdV3l&#10;83m98MIL+pu/+Rt961vf0unTp4u2fEkkEkqn04rFYkWVi/CbRdMoxbypNMLVRd/39eijj6qiokJ3&#10;3nmnrrzyymCqriTlcjnV1dWpurq6KNSZMGrOaX4OVzp93w+OEw6x5vtwODT3jUQiyuVyikQiisVi&#10;qqmp0YoVKzRu3Dh95zvf0aZNm4LnVhpgI5GI0um06urqNG7cOMVisWBKcnhNLNUd4J0hgAIYzpiy&#10;CwCDwIQ6E9Js29bLL7+s/v5+NTQ0KJVKBYHP933Zth1UMsNNRsz01fCxTBgNh1Yz1fXIkSPauHGj&#10;rrvuOt10002qqKgIqpXmuKZCEg6kJvjm83nF4/HgeZjgF41GgyB48uRJPfvss9q/f7/6+/slSfX1&#10;9VqxYoUWLVqk+vr6YI9DE7bNcS3L0pVXXqn3vve9ev3119XZ2Rmsaz116pQcx1FjY2PR78LzvGBM&#10;pqpsjk91BwCA0YVACgCDIDzlNh6P69ixY3r99df1oQ99SJ/85CeVSCSKgqS5nxEOpgcPHlR3d7fm&#10;zp2rRCJRdB9JRVNdn3jiCfX29uqv/uqvVFFRUbS9jDmfCYbhCui2bdvkuq4WLFgQBGDTBdj3feXz&#10;eR05ckTf+ta3dPToUd1000267bbbNGnSJPX29mrLli36zne+I8uydM8992jlypVqaGgoCrSu6yoW&#10;i8nzPF1//fWaP3++0um0XnvtNY0bN06tra363ve+p5tvvlkf+chHVFtbK9/3lUgkgqqxqbxmMhnV&#10;1dUpHo9fcq0uLip6/uKKfScBAMMIgRQABkG4eYhlWVq7dq08z9PixYt15syZ4H6RSETd3d3yPE9n&#10;z55Ve3u7JAVTY3t7e/XII48ok8noL/7iL7R48eJguwZTRTXn2b17t9atW6f3v//9mjNnTjCO8JjM&#10;VFxJQWOiAwcO6Otf/7p6enr05S9/WUuXLi0av+d52rt3r/7+7/9eLS0t+ru/+zvdeuutSqfTwRTa&#10;a665RosXL9b3vvc9ffvb39apU6d09913q76+XpZlqbu7W8ePH1dDQ4PGjx+vdDqtVCql/v5+HT16&#10;VJMnT9aECRMUiUQ0adIk1dfXy7bt4Pyu6yqXy6m3t1ebNm3S2rVrdc899+i6666jY/DbZ0mqlDRB&#10;0ixJEyVtl/SGJLuM4wIAIEAgBYBB5DiOenp6tGHDBk2cOFHd3d1at25d0CAoEolo9+7d6urq0vbt&#10;24PmPuFq4BVXXCHpze1hzFpKEzZN99qnn35ae/fu1cqVK5XJZJRKpYJxhKup4S1gTpw4oR/84Ac6&#10;cuSI7r33Xl1zzTVBFdME3gMHDuib3/ym1q9fr7/+67/Whz70ISWTyeDYpqK6YMEC3X///frqV7+q&#10;73//+6qpqdHHPvaxYBx79uzR448/rhtvvFFLly5VOp3WkSNHVF9fr3Q6HVR5k8mkbNtWPp+X4zjq&#10;7OzUrl27dPr0aZ04cUJbtmzR2rVrtXr16qIpzLiApcL/1yskTZI0W9JySderEEhPSvrfkvaIQAoA&#10;GCYIpAAwCMJNhl5++WVZlqXPfe5zWrZsmWKxWLC+0vd9VVVVafv27brhhht02223SXpzem04nJZO&#10;ozVB0HEcbd68Wa+99posy9KTTz6pP/7jP1ZDQ8MFYzI8z9OpU6f0b//2b9q8ebM+//nP64/+6I9U&#10;UVERBGXf99XZ2an/+q//0tNPP62GhgZ95CMfCaYbSwqm/ZpmTDNmzNDSpUv1/e9/X//xH/+h5uZm&#10;zZo1S7W1tVq8eLE2b96sb3/723rwwQd14403avv27brqqqsUi8XU1dWl3t5eHT58WJWVlWpra9P+&#10;/fuVy+XkOI4mTZqk5uZmJRIJ7dy5U7Nnzy5qAIVAUlK9pMmSFkpaev7r3PPXG92imSEAYJghkALA&#10;IDCB7dy5c9q+fbve9773aeHChcE60XBToXBX2dL9RsPHMveNRqNBULUsS52dndq8ebNmzpypfD6v&#10;zs5OjR8//oK1laaqGolEdPbsWa1du1Y7d+7Uvffeqw9/+MPBmtNwcN23b582btyonp4e3XTTTcFx&#10;DTMWc6mrq9OSJUs0YcIEvf7669q2bZtmz54tz/M0depU3XrrrTp58qSOHTum9vZ29fT06NSpU8pm&#10;s9q3b5+y2azy+bxqa2tVV1enM2fOqKOjQwsXLtT06dOD55vJZILKKGFUUqEaOk7SHEmL9GYInSRp&#10;vKTE+fsAADCsEUgBYBCYtZVbt25VXV2dbrnllqDjrQmJ4a/h9aalAdSET7PtS1gul9Nrr70m3/f1&#10;iU98Qj/60Y907ty5IKSVhlqzH+p3v/tdnThxQvfdd59Wr16t6urq4JimOipJp0+f1smTJ2Xbtq6/&#10;/nqlUqmgKmnGGg7UyWRS48aNUyqVUldXlzZs2KCPfexjisViisfjam5uVjQaVWNjo3bs2KGamhpN&#10;nz496PxbX1+vmTNnaubMmfJ9X1u3bg2aIZnOun19fUokEsFjxmCF1FKhsmnWg85VYSpu8/nvJ6lQ&#10;JY2G7g8AwIhAIAWAd8mEv9bWVp0+fVorVqxQY2NjUdALV0JLH2cqm7Zt6+zZs8pms5oyZUpwm5kO&#10;7HmeDh06pCNHjmjVqlVBsDNBzTCPcRxHnudp69atkqTPfvazuuGGG5ROpy8Yv+msm8lklM/n5bqu&#10;mpqagopoODSb52WeSzQaVSKRkO/7amlpkW3bSiaT8jxP1dXVuv7669XT06OXX35ZV111la699lpJ&#10;hXDtum7R+Es7D5vQa8ZsfhdjSESF0DldhQB6naQZKgTTyvO3v90AWqVCFTUjKTfoIx076iRN9zwv&#10;8Zb3BAC8JQIpALxLvu+rr69PmUxGCxcu1LRp0yQVAlc+ny/ahsUET8/z1NfXp76+vmBa7tatW/WD&#10;H/xA6XRaX/ziF9XU1BTcZlmWstmsdu/erVmzZmnBggVBYyDTlMh0p7UsS/39/XrllVe0bds2zZgx&#10;Q5///OeDiqcZS3j8kpTP53Xu3LlgTOY2U7EsnQ4sFdamhp09ezaopvq+r3g8rng8ru3bt6unp0fT&#10;pk0LQqUJnGabmFwuV7TvaLghU3jK8lja8sX3/UZJf6tCkGxQoWFRVH9YFbRR0n2S1kjy3+K+uLio&#10;pPGu61aWeyAAMBoQSAHgXTLBa86cOUGAPHbsmH7yk58om82qrq4uCI2S1NLSorNnz2rjxo06fvy4&#10;XNdVIpFQT0+PqqurVV9frwMHDgTbopjHWZal1atXB9NozX6m/f39QbjzPE+tra165pln9OKLL6qr&#10;q0uLFy/WnDlzgseFhafgVlZWavLkyaqrq9OJEyfU2dkpz/OC6mfpPqjmZ8dxgq1lbrjhhmALGxMg&#10;M5mMdu3apVQqpSlTpgQBPVwZNs/RdV319vaqo6Mj2ELm1KlTqqysVDKZlOM4wd6qY4FlWacl/U9J&#10;iyX9D71ZIR2vN/8f/nbD6UlJP5S0QVRI3406SX8UjUY/cv57AMC7QCAFgHcpvLbSVPSmTJmiz33u&#10;c0G1z3GcYHrtL37xC+3du1erVq3SrbfeKsuyivYKNaErXCWUpFQqpWQyGVwXrh5KUl9fn3bs2KFn&#10;nnlGFRUV+sxnPqMnnnhC3d3dRZXF8DHz+bzy+bwqKipkWZZSqVQQXLdv3x5sO2Oep3m82X7FhOB8&#10;Pi/f93XttdcqlUrJtm3Zti3HcbRjxw5t2bJFK1asKAqjkUhE0WhUyWQyeK6mYtrW1qZNmzbp1Vdf&#10;1Y4dO3TTTTcpkUjIcZwxE0bPcyW1S/qZpKclXSHpWhWaGK2StEBSrQr/P7d06XDaL2mvpJclZYdu&#10;yKNeg6QVkUiErXMAYBAQSAFgEEQikWBaq6kMVlVVBdu9lDYosiwraNRjwp0JtbFYTPl8XvF4vKga&#10;Ga5mhhv7VFVV6ciRI2ppadHx48d15513atasWert7S06dulUV9/3tWfPHh06dEh33HGHbNvW7Nmz&#10;tXz5ch08eFA7duxQJpNRZWVl8LzM2M0WNOfOndOePXvU2dmpmTNnasWKFaqoqNDx48f1zDPPaN++&#10;fXrppZc0efJkLV68uCiQSgrWuZrKshnvnDlz7IxhnwAAIABJREFUtGTJEmUyGUUiEX36059WLBbT&#10;vn37NH/+/CH9Ww5DviRPhUB56PzlOUnflHS1pNWSblKhcnqFCmtFBwqofskFfxh+fwAwiAikADBI&#10;TEAMN/0Jd78NB8uLXWzbVjweVzKZlG3bQRXSrOUMVyZNSOzv71c+n9eUKVN0++23B7dns9mLrrc0&#10;U3zz+bxOnz4dTDueOnWqbr/9dm3ZskWHDh3S2rVrdffddwdTjsN7pZrptJs2bVIkEtGf/MmfaMaM&#10;GfI8T5MmTdL999+vl19+Wbt27VJdXZ3Gjx8f/C7CvytTITZTd2tra1VRUaGrr75aDz74oKLRqGpr&#10;a7V7927t3LlT8+bNuwx/zWEvf/5yVtJrkv5V0jUqND5aqsIU38kqTClNis67AIBhikAKAIPAhEMT&#10;2ko77JY2ETJTdE0wNPdNJBJB2AtXXE2AM11vzWNN5XXWrFlF+4qaimNp991wBVeSstmsurq65DhO&#10;MB34hhtu0F133aXvfve7+vGPf6zly5drxowZF2y50tXVpZdeekl79+7V6tWr9eEPf1i1tbXBuWKx&#10;mKZNm6aZM2cG03JLq7ymQmqOefXVV2vq1KmaMmWKIpGIJkyYINd15fu+Ojo6dPjw4aJOxQhkJG1W&#10;IZw+LmmiCqH0vSpM650qySnX4AAAuBgCKQAMgnDH2IHWeIaDZ+k2KqWB1bIs9fT06MiRI6qurtak&#10;SZOKOvWGGwBJb4bU0i1iTCjt7+8Ppu9KbzYbyuVy2r17tzZv3qxdu3ZpwYIFikQiqqys1IMPPqjx&#10;48frpz/9qb72ta/pox/9qObNm6dEIiHLstTa2qrnn39eO3bs0B133KG7775bV199ddFzdBxHZ8+e&#10;VXt7uyZNmnRBUySpUCHt7u5Wf3+/otGoFi1aFIyxr68v+J3m83m1tLRow4YNuvnmm3XDDTcM8V90&#10;xHIldZy/7JD0/6kQTheo0GV39/n7AAAwLBBIAWAQ5PN5dXR0qLu7+4JpreHwZdu22tvb5TiOWltb&#10;1dLScsGxbNvW5s2b9eSTT2rp0qX65Cc/qYkTJxaFXLPe0gS/0sZKkUhEqVRK48aN04svvqjHHntM&#10;ixcvDposSVJHR4cef/xxHThwQJs3b9bMmTNVWVnYySKdTuuuu+7S3LlztX79ev3+97/X1q1bZdu2&#10;YrFYsC71/vvvV3NzsyZMmBCsKzXjy+VyOnXqlDo6OtTQ0HBBxbiqqkqxWEw//elPdfjwYaXT6Qt+&#10;d+bn/v5+/fznP9e5c+d09OhRAunb50o6Jum4pLgKax9pxgMAGDYIpAAwCPL5vFpbW3Xs2DFVVlYG&#10;VctkMqlcLifP84ImRU1NTbr99ttVVVWl1tbWC45lKpmLFy/WlVdeqVyusEOHOaYJdI7jyLZt1dTU&#10;BNNew1XIRCKh22+/XR0dHXr55Ze1efPmounE+XxekvTZz35WN954o9LpdFETpFQqpaVLl+qaa65R&#10;d3e3Ojo6lMlkFI/H1dTUpOrqatXU1CgejxeFYVPNTSQSmjx5spYtW6aampqi5kqmE/FnPvMZvfTS&#10;S8pms8E+pOEpvCbk2ratD3zgA5ozZ46WL18+5H/PUchXYc0pAADDCoEUAAZBKpXSvHnzNGfOnGB7&#10;F7MfpwlVkooaA4XXg4aZCqEJeMlkMrivqVB6nqdsNqtly5bppptuCvboDG/RYlmW5s+fry996Uvq&#10;7u4u2iIm3NG3sbFRqVQquN6MIVxpramp0eTJk4PbzNfwNOXwsSUF3XIfeugh+b6v6urqCzr1Ll26&#10;VIsXLw6OYSq/htkyJ5/Pq7KyUvF4PAi8AABg5COQAsAgiEajwXTXcGALVzSNcAUw3HQo/BjbtoN9&#10;OiUVddgNbyuzZs2aIKSFp++G16nW1tYGHW7NOUqnEoePbx5nvpp1o+F1quHmSOHjhM9hfi/19fVF&#10;jzfHNdvhmGnE4eOFx+A4TrBP6sW6BgMAgJGJQAoAg6C0KZFR2sBIujCElh7H7FEaPpapqpYGtng8&#10;XvT4ge4z0BhKmSpu+H6l4xzoeVzsHG817oHOcbHKp+k2DAAARh8CKQC8S5cKS39okBrocaWVy0s9&#10;7mIB+Z2e8+3e/52O6Q89DwAAGF0u/jE9AAAAAABDiEAKAAAAACgLAikAAAAAoCwIpAAAAACAsiCQ&#10;AgAAAADKgkAKAAAAACgLAikAAAAAoCwIpAAAAACAsoiVewAAxh7f92VZVrmHMeb5vv+W9+HvNPTC&#10;fwfP88o4EgAALj8CKYDLwrzptixLnufJsqy3FYgwtMIBqDR88je6PHzfl+d5ikQiwWsDAICxgkAK&#10;YMj5vh+86fZ9X5EIqwWGC8JP+ZnXh6TgtUGlFAAwVhBIAQw5y7IUiUQUjUZlWZZc1yWUDjOllVCq&#10;o5ePeX2YEMqHBACAsYRACmDImQpQOOCwjnR4MH+H8EWiQlcu5vfPhwEAgLGCQApgyDmOozNnzujw&#10;4cOqrq5WNBqV67rlHhYkua4bBNFIJFIUiAhFl1f4d3/ixAlls9kyjwgAgKFHIAUwlHxJ/adOner6&#10;0Y9+1PXUU09ZZtouys/3fct13QpJbjQazZnr+ftcXgNNl7ZtWwcPHpTjOGdVeB0BADAqEUgBDCVP&#10;0o5sNvvtAwcOTDxw4ABJZ3gZJ+keSYclPV3eoeAitkrKl3sQAAAMFQIpgKHkSzoh6SeS6GI0/EyT&#10;9D8kbZb0f8o8FgzMPX8BAGBUIpACGGq+JKfcg8CAbBX+Pq6owgEAgDKgYgEAAAAAKAsCKQAAAACg&#10;LAikAAAAAICyIJACAAAAAMqCQAoAAAAAKAsCKQAAAACgLAikAAAAAICyIJACAAAAAMqCQAoAAAAA&#10;KAsCKQAAAACgLAikAAAAAICyIJACAAAAAMqCQAoAAAAAKAsCKQAAAACgLAikAAAAAICyIJACAAAA&#10;AMqCQAoAAAAAKAsCKQAAAACgLAikAAAAAICyIJACAAAAAMqCQAoAAAAAKAsCKQAAAACgLAikAAAA&#10;AICyIJACAAAAAMqCQAoAAAAAKAsCKQAAAACgLAikAAAAAICyIJACAAAAAMqCQAoAAAAAKAsCKQAA&#10;AACgLAikAAAAAICyIJACAAAAAMqCQAoAAAAAKAsCKQAAAACgLAikAAAAAICyIJACAAAAAMqCQAoA&#10;AAAAKAsCKQAAAACgLAikAAAAAICyiJV7AAAAAGOF53mybVue5ykWiykSicjzPEWjUfm+L8/zFIlE&#10;5Pu+LMsKfu7o6FAikVBtbW1wvSRFo9EyPyMAeHcIpAAAAJfRP/3TP0mSrr32WqXTaTmOI9/3FYlE&#10;ZFmWXNeVZVmSJMuy5DiOfvaznymbzeorX/mKrrrqKvm+L0lBcAWAkYpACgAAcJlYliXf9/XrX/9a&#10;48ePV0NDg/L5vBKJRFHlMxxM+/v7deLECfX39yubzaq/v1/JZDIIo1RJAYxkBFIAAIDLxPO8IHTe&#10;dtttuuKKK4LKaLjS6TiO8vm84vG4MpmMXnnlFfX29qq2tlbJZDKYykt1FMBIRyAFAAC4TMJTc833&#10;Zg2pqYg6jqO2tjb99re/1fz584MputFoVPl8PlhjynRdAKMBXXYBAAAuExNA8/m8ksmkOjo6dOzY&#10;seA2qdCoaMOGDfrBD36g9evXq7e3V5Jk27ZisTdrCfF4/PI/AQAYZARSAACAy8Q0IzJhMpfL6dVX&#10;X9XmzZvV398vSTp9+rQ2bdqkGTNm6I477lBdXV0w1TcWiwXrRk2VFABGMgIpAADAZWKm244bN06R&#10;SEQNDQ2aPXu2tmzZog0bNujcuXPaunWrjh49qo997GOaOXNm0frScAAtXXcKACMRa0gBAAAuI8uy&#10;NHPmTEWjUSUSCc2ZM0e2beu3v/2ttm3bpqNHj2rJkiVatmyZYrGYKisr1djYeMF2MKwhBTAaUCEF&#10;AAC4TEyHXc/z5DhOEErnzZunG264QS+//LJ27NihVatWaeLEiZKkVCql2tpaJRKJ4DgDVUwBYCQi&#10;kAIAAAwis7ZzoEtfX586Ojpk27YSiUTQaTcej6uiokIVFRWSpPb2duVyuaDRkamISoUwa6qjVEgB&#10;jHQEUgAAgCFSGkh7e3t15swZxePx4DrP83TkyBH97ne/U3Nzsz7+8Y/rxz/+sZ5++mn19vbK8zxZ&#10;lqWWlhZ1dXUFVVaaGgEYDVhDCgAAMMjC6zs9zwsqnX19fbJtW9OnT1cymZTv++rs7NS6desUiUT0&#10;0Y9+VDU1NTpy5Ii++c1vKplM6uabb1YqlVI2mw2qpq7rBscEgJGMf8kAAAAGWbh6GY1Gg+va29vl&#10;uq6uueYaRaNRZTIZbdiwQSdOnNAtt9yiqVOnqrGxUZ/4xCeUTCb15JNP6vTp02poaJAkZTIZ5fN5&#10;eZ6nTCajbDZbtucIAIOBQAoAADCILMsKtncx6z3NpbW1VdXV1Ro/frxs29bzzz+vY8eO6ROf+ISW&#10;LFkSrCtdtGiR7rjjDnV2durUqVNasmSJGhsb9cQTT8i2bdm2rS1btuiNN94o99MFgHeFKbsAAACD&#10;yIRP04jIfN/b26tTp05p1qxZqqys1Lp16+Q4jj7ykY9o0qRJwWMty1IsFtMtt9yiVCqliRMnqrGx&#10;UUuXLtXTTz+tlpYWzZ49W2fOnGENKYARjwopAADAIDPVUcuy5LquXNfV0aNHdfbsWS1cuFDHjx9X&#10;VVWVPvCBD2jSpElBx1xziUajmjNnju65555g+5c1a9Zo/Pjx+sd//Edt3bpVJ06ckOu6FzRO8jwv&#10;aHwEAMMdFVIAAIAh4HlesH60t7dXhw8f1syZM7Vo0SLFYjFVVVUpmUwG4bG0SVEkElFdXV0w7ffq&#10;q6/Wn/3Zn+nhhx/WV77yFU2ZMkUzZswYsErKdjAARgoCKQAAwCAzlU5Tsdy3b5/OnTunZcuWqb6+&#10;XtFoVK7rButNpeLOvKUikYhs29ZNN92kXC6nL3/5yzp37pxyuVxwPhNMzTGYzgtgJCCQAgAADDKz&#10;1YtlWerv71cul9PKlSs1adIkRSIROY6jeDweVFFNFfRigdSyLCUSCVmWpVtuuUXXXHONtm7dqgkT&#10;Jqivr0/JZDI4HwCMJARSABj94pKWShpXcn3j+etmSPrQAI/bLemIJBajAe+Q6bLr+76SyaSWLFmi&#10;WCwWXB+LxYI1pqWVzVLhtaHJZFKJRELTp08PpuvG4/EgjIY7+7JPKYCRgEAKAKNfXNL9KoTOZOj6&#10;qKRaSVMlrSp5jC3pARUCKYA/gAmIyWQyaG5kqqCu6wYB1dz3rY4TixXetvm+r0QiEdxmWVbQyCgS&#10;iQShFwBGAgIpAIx+tqTXJH1UUpOk0ne+CUlVJddtkXRQVEeBd8yExFLhiqUJl2+HCZmGaZQUNtB1&#10;hFIAIwFzOQBg9HMkbZbUprcXMF1JL0g6PYRjAgAAIJACwBjgSzou6UVJubdx/xOSNkrqGcpBAQAA&#10;EEgBYGzokrRB0jkVAuqlvCZpr5iuCwAAhhhrSAFgbLBVCJm7VVhHeuGCs4KMpK0qVFRZgAYMkYHW&#10;d4Y77r4TbPUCYCSjQgoAY8chvfW03b2SXpXUe1lGBIwx4W1ZHMeR7/tyXVe2bcvzvOB713XlOI4c&#10;xwk66JrHmW69nsckBgAjH4EUAMaOjKTXJZ28yO2mirr3/PcABpkJkmaLFtd1JRU66Zp9Sc33kUgk&#10;6J5rqqe5XK5ov1HzeAAYqQikADB2+JK2SdqpC6fj+pJOqbB+9PQAtwMYBK7rKpfL6fDhw2pvb5fv&#10;+/J9X5FIJAiaJoh6nifbtoP7OI4TBFTbtoPwCgAjGf+KAcDYcljSJhWqpWH++ds2i+66wJCJRCJq&#10;b2/XF77wBf3t3/6tbNtWNBqV67rBNN1sNivXdYP9R8O3ua4ry7IUjUaDoAoAIxlNjQBgbPEl/V5S&#10;q6RrQ9f3Stpz/nqnDOMCxgRT1ezq6tKcOXOUTqeDqmg2m9WOHTvU2dmpuXPnqqKiIqiSHjt2TJs2&#10;bdItt9yi+fPnByE1lUqV+ykBwLtCIAWAsWebpF2SZkmKqxBSO1WonLaXcVzAqGCqlqYJkZlWa9aF&#10;WpYl13XV0NAQVDl935dt29q6daueeOIJrVy5UldddVXw2LVr12rdunXyPE8zZsxQLBZTIpEo23ME&#10;gMFCIAWAsadb0npJ75M0XoWK6BEVtoShuy7wLplOuOHtWEw49X1fsVhMkUhE+Xw+WBtqwmo8Hldl&#10;ZaVWr16tG2+8MThePp9Xa2urbrvtNlVUVLB2FMCoQSAFgLHHkbRBhW679ZL6JW1XYVsYFqQBg8BU&#10;Rj3PK9q+xbIs9fb2KpFIKJPJqKOjQ9u3b5dt21qwYEFwH8uygu+lwlTfiooKpVKp4DZCKYDRgEAK&#10;AGOPrzf3JJ2tQnfdTZJOlHNQwGhhQqRpWJTNZrVlyxbt2rVLnufp5MmTOnr0qGpra/XDH/5QbW1t&#10;SiaTqq6uDvYgNRVVE04lXdDEyHwfrsQCwEhDIAWAsalP0rOS7pW0X4U1pWxoCAwCExRjsZh831cy&#10;mdT8+fM1bdo0+b6v9evXy/d9TZ8+XXfddZckKZlMKh6Pa9euXUEINetNpTf3IQ2HVPM9AIxkBFIA&#10;GJtsSa+HLrvLOxxg9DDbskiFcBqPx1VfX6+6ujpZlqWzZ88qk8koGo1q6tSpQcDM5XLB48J83y+q&#10;mFIZBTCaEEgBDLVKSfMkNYq9j4ebahX2Hk1IurW8Q0GpaDTqua67W9JBsbZ3RPJ9v2i/UMuy1NHR&#10;of3796u/v19Hjx7VT3/6Uy1atEjTp0+/oBlSeD2p+Zl9RwGMNgRSAEMpKuk6y7L+73Q6vcCyLMt1&#10;Xd5QDR+WCmHUl3RPmccy5pmqmmVZchxH+Xzel/QLSQ9JypZ5ePgDmEDpum7QgOjQoUPau3ev+vv7&#10;NXnyZLW3t+uLX/yi1qxZo9tuuy1ohmQqoTQuAjDaEUgBDCVLUv3kyZOn3H///VfecccdqqmpoTsk&#10;MIBwcDl27JgefvhhrVu3bkoul+PFMgJZlqVYLFYURvv7+7Vp0yZVVVWpsbFR6XRan/rUp5RMJvWf&#10;//mfikQicl1X5oO7aDQqx3EGnMYLAKMFgRTAkEskErryyis1d+7cokDK+ifgws6pZnuPysrKMo4K&#10;g8FUSM3f99ixYzp8+LCam5vV1tamWCymdDqt22+/XalUShMnTtSxY8cUi8UumOoLAKMVgRTAkDMN&#10;OczFvDlj6i5QYParlFS0hpDXyMhk/s0L/x1zuZz27Nmjuro6rVixQmvXrg2qoJMnT9Y999yj7u5u&#10;7dmzR/X19ZowYUJw+6XOUxpW+W8GwEjDNCAAl4VZHxeJRJh+BoSEt+8wrw9eIyPbQB8onDp1SidO&#10;nNDy5cs1depUScUV1GQyqWw2q7a2NjU1NWncuHHBY8MB16wxNo83H/KFv7ouOzgBGDmokAIYcuE9&#10;88zP4a/AWFf62iidxouRp7Q6unv3blVWVmrevHmSpHCDN/MBRH9/v3p7ezVt2jSlUqngOOFGR8aZ&#10;M2fU29urpqYmxePxoqUQlmUVVWgBYDijQgoAADAEzAcLbW1t6uvr0/Lly9XY2BhUMyORSHCfvr4+&#10;7d27V1VVVVqxYoVSqVQQLk313NzfsiydOHFC27dvV29vb9HUXpZEABhpCKQAAACDzIRIy7KUTCa1&#10;fPlyXXXVVUFwLJ05cvz4cb3yyiu68sorNW3atKLqplljbIKs7/tyHEdnzpxRX1/fgGtW6WQOYKRg&#10;yi4AAMAgMyExEolo4sSJwTp6ExzNljCe56mnp0fbt29XVVWVbrrpJtXU1ARbwJgwaiqkmUxG2WxW&#10;R44c0YsvvqgrrrhCDQ0NwbGj0ahs21Ysxls8ACMD/1oBAAAMonDF0vd9xWKxoHppKqSmm7Lrutqx&#10;Y4daWlq0evVqLVy4MLhPuJpaXV2tEydO6O///u911VVXqaWlRa2trZo3b56am5tVW1sbnJ+1owBG&#10;EgIpAADAIDIV0NLrpEIQdV1X0WhUlmXp1KlT2rlzp26++WY1NzcrHo8PeMxVq1apvr5e3d3dikQi&#10;WrVqlaqrq3XNNddo/PjxRSHUnJt1pABGAgIpAADAILpUhdKyLFVVVenuu+/WqlWrlE6ndd999ymZ&#10;TCoejw/4WNd1NX78eL33ve8N1pCGtwYaaL0oYRTASEEgBQAAuEx839e4ceP0qU99So7jKJFIBGtE&#10;L8asDzX7i4Y76jI9F8BIRws2AACAyyQSichxHHmep0QiEYTKS+0bGq6KWpYlx3HYqxbAqEGFFADe&#10;pbf7ptC88Qxv9RAWvn6gN6YXO09pleRix7/YbZd6E/x2jjnQ7W9VuRnoeAM9D2C08X1fyWRSkoJg&#10;aYLmpV6L4T1JzeuH1wiA0YBACgCDwFQrwm8UPc+TpGA6nuu6isfjwX6C0Wi0KICGN7QPrw8LM8c0&#10;TJdOc6yL7T/oOE6w7cRbBd/w8wk/p9Lzhis0pcc0HUTDt4XfcDuOE4zTdV3FYrGiaYvmefCGG6NN&#10;+L/paDSqSCTylh9qhV8X4f1NLxViAWCkIJACwCAJBywzLS+89isWi8lxHO3du1ctLS1avHixJk+e&#10;rHg8HrwhfasQFt743mwt4bqunn/+eS1atEjV1dVB9SWXy+nAgQNKJBLBecyehpIuGnrN8cPnKxUO&#10;nOEgbYK4eZOdzWZ17tw5pdNpVVdXF22FYY7veV7wXLq7u5XNZlVXV6dUKsWbbYw6pYG09Lq3eiyv&#10;CQCjDWtIAWCQmGBlqpWO4+jEiROKRCJBGPR9Xy0tLXrkkUf0yiuvKJfLDVg9vNQ5TAg1wbezs1Nf&#10;/vKX9fWvf13Hjx8PxpHJZPTYY4/pq1/9qg4ePBgEUXMu0yBlICYghh8TZoJz6To2c1zbtuX7vvr7&#10;+7Vx40b9+Mc/1q5du4Lnat6I27YdbFHR29ur5557Tt/4xje0e/du1scBADAGEEgBYJCYMOa6rjzP&#10;0+7du/W//tf/0uOPP67u7u4gQJpKanV1tdLptKRCxTFcJb2Y0rVmnufp2Wef1fHjx3XVVVepsbEx&#10;CHuxWEy9vb1yHEdVVVXBtGETeC9VafF9P3ge5mcThMNr18zzcRwnCLie5ykej8txHKXTaU2fPl3b&#10;t2/Xww8/rB07dhRNNTRVY9/3VVFRIdu21dHRcckGLwAAYPRgyi4ADILSKmc+n9cvf/lLrV27VlOm&#10;TNHNN98cBEXHcRSLxYIpqeGKYXj660BMIDRBsLu7W0899ZTe85736M///M+DIGiCnm3bqqysDNaq&#10;hYNsuMtnKcuygmOdPn1abW1t6ujoUH9/vyzLUnV1tSZPnqympiZVVFQEVU5JwZThRCIhSVq4cKHW&#10;rFmjhx9+WIcOHdKCBQskSZlMRr7vq7a2NhhDKpVSbW2tKioqLmiSVDo+AAAw8hFIAWAQhBv4WJal&#10;3t5ebdu2TcuXL9e9996rhoaGYN1luIlJOGiZqmA2m5VlWUqlUkXHNmE0PJX2mWee0a5du/QP//AP&#10;wf3DDVDCjY7M+lHP85TJZJTP59XQ0FD0mHBFNJPJ6Pnnn9cLL7wgy7I0depU1dTUyHVdtbS0qK2t&#10;TQsXLtSdd96p2bNnB0HUTBkOn3fRokV66KGHNHfuXJ04cUIVFRXav3+/nnvuOS1ZskSrV69WIpGQ&#10;bdtB6DVTgj3Pk23bisfjwXWXWv+KIWFJYg41AGDQEUgBYJA5jqOXX35ZZ8+e1Uc/+lFNmDBBfX19&#10;QdjLZrOSpP7+fvX19RV15O3p6dHPf/5znTt3Tg888IDq6uokXbjtQzQa1enTp/Xss8/q+uuv16pV&#10;qy6Y6huPx4PKaHjfwjNnzug73/mOTp06pS996UtqbGy8oAJ55swZPfLII/rNb36ju+66S/fee6+a&#10;mpokFaYNd3Z26oUXXtCjjz6qbdu26VOf+pRuvPFGSVJFRYWy2ax6e3uDJktXXnmlJk6cqGw2q9/9&#10;7ndatGiRotGoWlpaNHv27KD7sO/7SqfTikajwZThnTt3ateuXVq6dKmmT5+ueDw+dH88GJakqKRK&#10;SeMl1Uk6IKmrnIMCAIw+BFIAGCRmjWUul9Pvfvc7NTQ0KJFIaOPGjUXNfPbv36/e3l7t2rVLsVgs&#10;CIOe56mzs1Nbt26V7/v6/e9/r9WrVysSiRStHY3FYrJtW7/5zW/0yiuv6P7777/kutN8Ph+sH+3u&#10;7tajjz6qxx57TMuXL9f/z96dxsZ1nnf//51zZuO+iqRIat9s7ZFlWbZkyascyY7hOK6SNk6apFna&#10;pkmTtihaJH1ePAgKFE3Rf4sESZH8kaYF6hRJUQexFe+OpUiKLWuxForad1HcRIr7zJzleTG+j2eo&#10;xU4s6sjk9wMQooZnztxDwTJ/uq77uo8fP67KysqwuhkEgS5cuKB/+Id/0M9//nNt3LhRX/ziF1VR&#10;UVEwxKiurk4f+chHFI/H9S//8i/6zne+o1gsptWrVysIAvX39+u5555TIpHQihUrNGXKlDDI+r6v&#10;VCoVvmZDQ4Mcx9HIyIh831dvb6/OnDmjvr4+dXd3a8uWLdq0aZP++q//Wg0NDWFIx3VnSSpSLnzO&#10;krRY0jJJKyV1S/qapN2iUgoAuI4IpABwHfi+H56teeTIEZ04cUIf/ehHtXz58rD6Z1pmT548qaKi&#10;IjU2NmrevHlhUDUTZ1evXi3LssK9n/lnh5r23RMnTmj79u26dOmSNm3apMcff1xz5sy54trMsTJD&#10;Q0N6/vnn9ctf/lL33HOPvvrVr2rGjBkF+0gHBgb00ksv6ZVXXlFRUZE++clPqqKiAbdvSJDisoFM&#10;QRAolUpp2bJlWrhwoX7+85/rf/7nfzRnzhw1NzerqqpK8+fP149//GPt3LlTf/RHf6R58+Zp//79&#10;qq6uVnl5uS5cuCBJ6uzs1KFDh5TJZHThwgX19PTozJkzKi8vV2Njo5qamlRZWakPfehDKi0tLfg+&#10;4LpISqqTNF3ShyTdKWmhpCZJ5cpVSndEtTgAwHP8DawAACAASURBVPhGIAWA98lMpLUsS0NDQ9qy&#10;ZYvWrFmjDRs2qLa2tmB/pmVZmjRpkmKxmCZNmqTp06eHey1N0MrfN2nbtrLZbBhKPc/T0NCQtm3b&#10;ppKSEi1cuFAjIyPhXtAryWazGhwc1ObNm/Uf//EfWrVqlT7/+c9rypQpkt45N1WSjh8/rk2bNuns&#10;2bO6//77NWPGDEkKq7T578O8l1WrVunVV1/Vpk2b9Nhjj6m5uVmO4+jWW2/VqlWr9JOf/ERbt25V&#10;dXW12tvbVVRUpAMHDmjXrl3q6+vTmTNnlEqlFIvFZFmWmpqatHz5cs2fP1+WZWnHjh1yXbfg6By8&#10;L3HlWnEblAuet0laKmm+pFrlAiqbdAEANwSBFADeJzOoyBz10tvbqyeeeEK1tbUF03M9zyuYRmva&#10;dfNDqGmtNdeZabcmtJqBQqdPn9a6deuUTqd18ODBcF9l/rAksycznU7r+eef165du3TffffpU5/6&#10;lCZPnnzZFFvbttXW1qbjx48rnU5r0aJFYVut9M6wovz24OLiYtXV1amkpEQnT57U5s2btWbNGsXj&#10;cZWUlOjOO+9Ub2+vpk6dqgMHDigejyuZTCqdTquqqkrxeFzz58/XunXr5HmeBgcHdfTo0TCAS1I6&#10;nQ5DsOu6DDT63TiSqiU1S1ogably7bjTlQumbMwFAESCQAoA14FlWert7dWpU6e0YsUKzZgxo2DK&#10;rbnGyA+MZqCRGW6UP0XXPG5C2MWLF/Xmm2/q1ltv1bJly/Tiiy+GzzOvkz/NNxaLad++ferr69Oa&#10;NWv0+7//+2EYza/KWpalbDarixcvhsexTJs2TbFYrCCA5u93dRwnPHM0mUwqCALt379fQ0NDqqys&#10;DKudn/jEJ+T7vjZt2qSqqiotW7ZMlmXp4MGDKioqUiqVKjgj1azdvJ5t2yorKytoX8Z7YksqljRX&#10;0u3KBdCFkqYpt0+0SO/9PPKkcmH2ksbnHlJfuffWq/H5/gDgpkUgBYDrwHVdnT9/XnV1dVq6dKli&#10;sZiGh4clvRM0pVzAMntNBwcHNTQ0FIbWjo4O/ed//qdSqZS+/OUvq6ysLHx+EAQaGRnRm2++qaam&#10;Jq1atUoVFRWSFFZW88NvNpvVgQMH1NLSIknauHGjHn74YVVWVobHppg1mfCXyWTU09MTTgTOPws0&#10;P7iOrpKagBgEgdra2sJAaVqBKysrtW/fPnV0dGj+/PlKJBJhsDT3yWazYTV49BE6w8PDSiaTchyH&#10;I1/euzJJ90n6feWqofXKhdP3GkBHmyPpXyWNXJfV3Zz2Svp7SXuiXggATCQEUgC4TqZMmaLZs2er&#10;uLhYfX19+t///V8NDQ2poqJCiUQi3CO5f/9+9fb2av/+/WErryS1t7fr4MGDKi0t1Z49e7R69eqC&#10;4Od5niZPnqzJkyerpqZGvu+Hlcn880ld19Ubb7yhH//4xzp06JBWrVqltWvXqrq6uiBMmsBn2mET&#10;iYQqKyvD80zN1Fvp8mNnTFA1Qdjco7GxsaDF2LQMHz16VLZta8aMGVecCGzCZn7l2HxfzLE1piqL&#10;92RI0j5JFZK6JN0haZ6kUuWm6f62eiS9IKlN47eCeFpSR9SLAICJhkAKANdBPB5XRUWFMpmMstms&#10;EomE1q5dG1YaTTjzPE/d3d0qLS3VvHnzdNddd0nKhcN0Oq1HH31UjuOEbaySwqBWXFysBQsWhHsp&#10;bdvW0NBQGHSz2awuXLig1157TS0tLVq5cmUY6ka33poAaUKsae+tqKhQcXGxLMvS4cOHlc1mlUql&#10;rtkm63leWA297bbbFIvFwvt7nqfTp09r9+7dmjFjRlj1Na9pmLU4jqPe3l796le/0o4dO9TW1qbn&#10;nntODQ0NBeGZYPquPEknlAtZTys3rGiOclXTe5XbO1qu3N5R84d7raB6XtL/r/F97Iv/9gcA4AYi&#10;kALAdWACWyKRCAOTmTZrgpfneXIcRzU1NZKkiooK1dXVhRVBx3Hkuq4SiUQYFE1F0gxNyq9SZrNZ&#10;SbkK4sDAgPbu3avW1laVlpbqS1/6ksrKynTw4EH19/dfVmmVckH33LlzunDhgpYvXy7LstTc3KxZ&#10;s2bp6NGj2rVrl4aHh1VWVnZZODbvd2RkRG1tbert7VVDQ4PuueceJRIJ9ff3a9++fTp16pR27Nih&#10;CxcuaP369QUDnMz7zt/76rqu6urqdPvtt6uzs1MvvviiMpmMNm7cqPLycp07d07Nzc034E90XAgk&#10;uZL63v44Lul55Vp3b5O0Vrm9pfMlTZaUUO7ngisF00BS9u2P8RpIAQARIJACwHVi23YYuEyLqZmk&#10;mx+88vdu5u+jNEH2Ss8f/fUgCJRIJJRIJDQyMqLDhw8rnU5r/fr1amxsVCqVUm9v72VB0gRBU8Xs&#10;6urS0aNHdfvtt8uyLM2ePVsPPvig9u/fr4MHD+r48eOqra0NA2j+AKYgCNTV1aU9e/aov79f9957&#10;r6ZOnSopVzGurKxUS0uLdu/erblz52rq1KkFZ7JKuRBq3p85i3VkZETl5eVavHixpk+frnQ6rVmz&#10;Zqmvr0+7d+9WY2MjFdL3Z0jSFknblDt/dKZywfQeSYuVq6YWi6NfAAA3AIEUAN4nEyCldyqljuMo&#10;Ho+Hx5Tkh0Hz9fxqp2GuNed+mkqoCa7ZbDZsvzWtssXFxVq0aJFKSkrCkCvljksx6zLXmvuY6wYH&#10;B9Xe3h6uq7i4WB/5yEd07Ngx/eQnP9H3vvc9TZkyRZMnT1YmkwnPAvV9X8PDw9qxY4d27typVatW&#10;6c///M/V3NysdDqtoqIizZ8/XyUlJTp8+LASiUS4N9U8X1J4/qg5d7W0tFTLly8Pj4SZM2dO+L3Z&#10;u3evWlpatH79+rH845xIPOX2hLYpF06/p9wk3dWS7lTueJjpyk3k9aJZIgBgvCOQAsD7ZCqX5siS&#10;/KE/JmCaz00gHF01Hc3zPF26dElFRUUqLi4OH8+vkJpjUDKZTPh5PrO31Ow3lVTw2ul0Wl1dXWHb&#10;bn19vSSpvr5ef/Znf6aRkRHt2LFDP/rRj7Rx40Y1NTUplUrJdV11dHTo9ddf189+9jNNnTpVTz75&#10;pObPny/btlVUVBTuH81ms+rv71dFRUW4hzZ/DZlMJmwhTqVSevDBB8PPzXs0rbwdHR06evSozp49&#10;q1mzZl3HP0Eo14ablnTs7Y+nlQujtyrX3huXNBjV4gAA4xeBFACuAxO2TDUzf6+k9E57rrnGtm2l&#10;02mNjFx+iobrutq7d682bdqkhQsXav369SorKyuYXJs/NMjcPz/cmiNUysrKtG/fPu3YsUMLFy5U&#10;MpkMn3vp0iW9+OKL2rZtm5YsWaJHH300POqlublZ3/jGN/TTn/5Uu3bt0ve//30tXLhQpaWlcl1X&#10;Z86c0fHjx7VgwQKtW7dOt9xyi4qKiiQpDJ2u6+rcuXM6e/asSkpKCirBZoiSZVnauXOnYrGYEolE&#10;OETJvC9jZGREzz//vN544w1t376dQDr2Lkl6S9IBSZuUO4d0vJ5BCgCIEIEUAK6DwcFB7dmzR0eP&#10;Hg3bU02LrNkzaVpVT506pYaGBh0+fDg8qzRfNptVS0uLDh06JN/3NWfOHC1evDisgJpqp+u6YQuv&#10;67oFR7FIufbbu+66S7t27dL3vvc91dTUKB6PS1IYjE+cOKFbbrlFdXV1SiaT4RqDIFBdXZ2+8IUv&#10;6Ny5czp//ry6urrCdty7775bH/vYxzR58mSlUqmC42HyzziNx+OqqakJg25+hXfatGlat26dtm7d&#10;qhMnTqi4uDgMs+ZeZr9rNptVX1+fHn/8cS1ZsmQM/yQxihmKBADAmCCQAsB1UFRUpLlz56qpqUnJ&#10;ZLLg6BPpnXM8gyDQXXfdJdd1FY/HrzicJwgCrV69Wp7nKR6Pq7y8vGDfqJSrgPb29qqoqEjr1q0L&#10;p/ua8GuOUFmzZo0mT56sEydOaGRkJJz6a9qLS0tLdcstt2jy5MnhmaamtTgIAiWTSc2cOVOzZs1S&#10;NpsN72vOGh19Pql5ffO+Fi5cqK997WuSpPLy8nDtlmWprKxMjz/+uO6///6CIU753zfzeuax8vLy&#10;8D4AAOCDj0AKAO+TaY9taGj4nZ57JVfbW2rCpm3bKi8v12c+8xk1NjaG1c3RVdTS0lItXbpUixcv&#10;vurr5x8Jc621JRKJy76eP8Qp/3Wl3B7W6upqVVVVhe3Go/0uAfNaZ6ICAIAPFgIpAFwH1zskXel+&#10;+Ue32LYdTqE1R6dcbQ3XCp03AgESAABcDYEUAD5gTAtrftUxysAJAADwu+InGAD4AMk/z9RM7s0f&#10;IgQAAPBBQiAFgA8QE0LNkCPpnXNQAQAAPmho2QWAD4jRA4TyH2OfJgAA+CAikALABwjBEwAAjCe0&#10;7AIAAAAAIkEgBQAAAABEgkAKAAAAAIgEgRQAAAAAEAkCKQAAAAAgEgRSAAAAAEAkCKQAAAAAgEgQ&#10;SAEAAAAAkYhFvQAA418QBAqCIPzc9305jhM+BiDH930FQSDLsmRZVtTLAQBgzBFIAYw513XV1dWl&#10;s2fPqrS0VEEQKBbjr5+omX8csO13mmUIQdGwLEue54W/b2tr09DQUIQrAgDgxuAnQgBjzb148aL/&#10;zDPPaM+ePYrH43JdV/F4POp1TXi+7yuTychxHNm2HQZTKnQ3nmVZcl1Xtm3LsiwNDQ3pwIEDymaz&#10;ftRrAwBgLBFIAYwlT9KhoaGh/9mXY5tWXd/n5+ybQInneXdYltVl2/Ze86BppSaQ3ljmHwIMz/P8&#10;IAhekJSNblUAAIwtAimAsRRIOu77/j9nMpmkJBLOzWWqpO9I+o2kv494LbiySyKQAgDGMQIpgLHm&#10;KfdDNW4+RcqFnUFJ7RGvBQAATEAc+wIAAAAAiASBFAAAAAAQCQIpAAAAACASBFIAAAAAQCQIpAAA&#10;AACASBBIAQAAAACRIJACAAAAACJBIAUAAAAARIJACgAAAACIBIEUAAAAABAJAikAAAAAIBIEUgAA&#10;AABAJAikAAAAAIBIEEgBAAAAAJEgkAIAAAAAIkEgBQAAAABEgkAKAAAAAIgEgRQAAAAAEAkCKQAA&#10;AAAgEgRSAAAAAEAkCKQAAAAAgEgQSAEAAAAAkSCQAgAAAAAiQSAFAAAAAESCQAoAAAAAiASBFAAA&#10;AAAQCQIpAAAAACASBFIAAAAAQCQIpAAAAACASBBIAQAAAACRIJACAAAAACJBIAUAAAAARIJACgAA&#10;AACIBIEUAAAAABAJAikAAAAAIBIEUgAAAABAJAikAAAAAIBIEEgBAAB+S77vKwiCqJdxTflrDIJA&#10;vu/LsixZlhXxygDgHQRSAACA31I8HlcsFot6GddkgqfneeFjruvKdd2olgQAl7m5/yYFAAC4ydi2&#10;rYsXL+rAgQM3fTC1LEvZbFbxeFzZbFbt7e2BbVOPAHDzuHn/BgUAALj5eJIGWlpaBr/1rW+VxuPx&#10;qNdzVaZCalmWbNuW67rq7+8Purq6BiWNSPIjXSAAiEAKAADw27jk+/5/Dw4OvjU4OFga9WJ+B76k&#10;bkn7lQvXABApAikAAMB750k69fYHAOB9YhMBAAAAACASBFIAAAAAQCQIpAAAAACASBBIAQAAAACR&#10;IJACAAAAACJBIAUAAAAARIJACgAAAACIBIEUAAAAABAJAikAAAAAIBIEUgAAAABAJAikAAAAAIBI&#10;xKJeAABgzCUkPSypUZKV93iNpAZJt0n6s1HPCSRtlnRAkn8D1ggAACYgAikAjH8xSRsk/b6kkit8&#10;fZakdaMeG5D0e8oFUgAAgDFByy4AjH8ZSb+S1P9bPGefpGOiOgoAAMYQgRQAxj9X0puSjr79+Xu5&#10;/peS2sZyUQAAAARSAJgYOiRtlZR+D9eelrRb0vCYrggAAEx4BFIAmBj6JG2TdEm5gUVXEygXRmnX&#10;BQAAY45ACgATg6fcgKJtb39+NT3KVVJP69rBFQAA4H0jkALAxNEmaaekkat8PZB0RFKLcoOQAAAA&#10;xhSBFAAmjiFJuySdusrXRyTtl3RIUvZGLQoAAExcBFIAmFj2vf1xpf2h7coF1os3dEUAAGDCIpAC&#10;wMTSLmmPckOO8nmSzihXIR280YsCAAATE4EUACYWX9Iryk3RzR9a1Kfc/tITuvbQIwAAgOuGQAoA&#10;E89hSQf1zj7RQLk23T2SuqJaFAAAmHgIpAAw8QxK+pVyZ5JKuWBqpusOR7QmAAAwARFIAWDicSW9&#10;JumsctXRQb3TrgsAAHDDEEgBYGLqkPRr5aqjHcpN3mW6LgAAuKEIpAAwMQ1K+rmkXuUm6+7RlY+C&#10;AQAAGDOxqBcAYEJw3v6wol4ICpyS9KZyA47OS0pGuxyMEihXwQ7e7UIAAD6oCKQAxlqVpBWSpioX&#10;SnHzKJY0JGmypE9GvJYJzbZt+f5lBeqspF2S3hLVawDAOEUgBTCWHEm3x+Pxf6ipqVlSVlYmy7IU&#10;BBR8bkJ/FPUCJjLHceT7fhhKgyBQZ2en+vv7fxYEwR8q9w8HAACMOwRSAGPJklQ8adKk+MaNG7V+&#10;/XoVFxfLttm+DhjmH2iCIJBlWbIsS+3t7frXf/1Xbdu2rSiTyUS8QgAAxg6BFMCYKyoq0uzZs3X7&#10;7bertLRUlmURSoG3+b4fhlLLym2zPnv2rCorK6NcFgAANwSBFMANZdt2+EO3+RWAaGUHAExIlCgA&#10;ALgJ5P8DTRAEisVichzmgAEAxjcqpAAARMiyLPm+r4GBAf3kJz/RD37wA124cEF9fX0aHh6+T9Jh&#10;cfQLomFJKpX0G0luxGsBME4RSAEAiJAZZJRMJnXbbbcpCAKdPXtWzzzzjFpaWk76vv+fkphshCgd&#10;Ue6sYgC47gikAABEyAw1SiaTWr58uZYvX64zZ86otbVVhw8fPp7JZP5FHPsCABinCKQAAETIcZxw&#10;/6ht2+HxLwAATAQMNQIAAAAARIJACgAAAACIBIEUAAAAABAJ9pACwDgQBJefCmJZ1hUfv9J11+ue&#10;v8293svzAADA+EYgBYBxIAgCua4r2841vpijRHzfDz/3PE+O4xSEQ3P9aL7vy/O8K97HdV1ZliXb&#10;tsPHzGteaSBPEATyfV++78u27fDX/HUCAICJiZZdABhHTHA0gVJSQQj0PK8gXF6NCZYmyJqw6bpu&#10;eF/ze/PY1aqgQRCE9zP3utb1AABg4qBCCgDjhOM4kt5pjw2CIAx+JlzmVzVNML0Sc425lzmOxLZt&#10;xWKx8HFzn1js6v87Ma+b/3vHceR5njzPUyKRuC7vHwAAfPAQSAFgHDDB0vM8ZbNZDQ8PK5PJqLS0&#10;NDznMr+lV7p6u67h+76kdyqh5nPz68WLF9XT06NJkyapqqrqqvcJgkDd3d06duyYqqqq1NzcLMdx&#10;FI/H33UNAABgfCOQAsA4YVpjHcdRJpPRiy++qJ6eHq1bt04zZsyQ7/tKJBIaGBiQZVkqLS29aiC0&#10;bVsjIyOKxWLq7e2VJFVXV4fh1vd9BUGgLVu26NKlS3rwwQe1YMGCq1Y7h4aG9PTTT6u7u1tf/epX&#10;NXv27IJWXgAAMDERSAFgDI0OXfm/H90W+17C2bvtuzQBs6amRnfccYf+8R//Udu2bdPf/d3fae7c&#10;ufJ9X1u3btWxY8fU3NyseDx+xXWYX3t6evSzn/1Mc+fO1de//nVNnjxZruvK933V1dXp3nvv1be/&#10;/W3t3btXf/EXf6ElS5aEa8jfq1pWVibbtlVZWan6+nolEonwe5F/bT4GHgEAMP7RKwUAN4CZMmuY&#10;/ZNmj2d+CLzWRzabVXt7u06ePKmBgQFls1lJkuu6BfexLEvTp0/Xhz/8YZ0/f14nTpyQ7/tyXVet&#10;ra06f/68BgYGNDw8rL6+PvX396u/vz98bGRkRAMDA9q3b5/OnTuneDyuoaEhZTKZgj2hdXV1uvvu&#10;u+U4jrq7u9Xd3a2RkRFdunRJLS0t6uvrUzabDd9nWVmZ4vF4uMbR7898DwAAwMRAhRQAxtDoCqnZ&#10;y9nT06P29naNjIwUHMXyblXBgYEBvfzyyzpz5ow++tGPauXKleH+zfxWWnOflStXqr+/X9OnT1c2&#10;m9WRI0e0Y8cOPfzww3rssccUj8cLgrK5jyT19/frzTff1B//8R/rox/9qMrKysIQadp/y8rKtGbN&#10;Gs2dO1dTp07Vb37zG61Zs0aHDh3Sd7/7XT355JO6++67Zdt2OOXXBNogCJROp5XNZlVUVBQOOjKD&#10;lwAAwPhHIAWAG8AcdSIpDFxtbW3q7e1VdXW1ioqKJCm85mqBzHVdLVy4UHPmzFFJSUlB5dX3fQ0M&#10;DKivr09lZWUqLy9XfX29/uAP/kB9fX166aWXtHfvXgVBoNmzZyuVSoWVzvxAbHR1dWn58uXasGGD&#10;ksmkHMeR7/vq7e1Ve3u7pk2bppKSEk2dOlXNzc26dOmS+vv7FYvF5Pu+enp61NnZGYZR27bD0JlO&#10;p9XV1aVXXnlFR44c0cc//nHdcssthFEAACYYAikAjKGr7YusqqrSypUrFQSBEonEZcewXCuUua4b&#10;VlUTiYTS6bSKi4vleZ4GBwe1detWDQwMaOXKlZo7d64cx9GlS5c0PDystWvX6t5779XcuXMva5M1&#10;VcuBgQHZtq3m5mY1NjaG1UtT2cxms9qyZUtYDZ02bZpisZj27Nmjpqamgpbc/CDr+77OnDmj1157&#10;TclkUsPDw9q8ebP27t2rBx54oOB9m3NTAQDA+EYgBYAbYHQraiwWU1lZ2RUHGfm+H54pOloQBEom&#10;k2FrriQlk8kwUNbV1Wn+/Pn64Q9/qK1bt+pLX/qSFi9erH379mnRokWaPXu24vG4RkZG9Itf/ELZ&#10;bFZLly4NQ3FXV5eeffZZNTY26oknnggn8ea3HtfX12v16tX6p3/6J23fvl1/+Zd/qRkzZujYsWNa&#10;s2aNHMfR0NCQ0um0Ojo69NZbb+nw4cM6ePBgWLWtr69XWVmZ2tradPbsWdXW1oavwzAjAAAmDgIp&#10;AIwhE6xMwLxSxXS0q4XRK93PCIJAnucpFotp5syZWrFihX70ox/pwIEDmjNnjtra2rR8+fJwqq7v&#10;+9q7d69efvllfepTn1JlZaUsy9LZs2e1efNmLVq0SB/+8IfDtmBTrTRhcdasWVq1apWeffZZnTp1&#10;SiMjI0qlUtq3b58OHz6s06dPa2hoSJ2dnZKkJUuWaOfOnUomk7r11ltVUVEh3/eVTqfleV44ddfs&#10;USWQAgAwMRBIAWCMXS1cXc/QZSqknueptLRUK1asUG9vr+bMmaODBw+qrq5OJSUlBZNt4/G4ysrK&#10;9NBDD6murk6S1Nraqr1792rFihWaNGlSeK6p9E4brWnFXbt2reLxuKZMmaKDBw+qtrZWlZWVKi0t&#10;lSSVlJRo4cKFWrRokQYGBsI9q+YepiJaUlISBuXr/X0BAAA3NwIpAIwDJmjGYjF5nqeZM2fqy1/+&#10;snzf17e//W098MADKi8vD6+VclXWmTNnqqmpKbyP4zhKJpMqKiqSbdvh/czXgiCQ67qSpFmzZmn2&#10;7Nk6ceKEuru7NWXKFH3oQx9SLBbTpUuXlEwmw3tIubbleDxesHc1Ho9r8uTJSiaTl70fgikAAOMf&#10;EyMAYBwxE3dNFfLEiROSVHA0jPnI3685+qzT/HuZ55njXsy0XFORPXbsmIIgUFNTU1hNNcOPPM9T&#10;NpsN98WOHlSUyWTCoUlmqFN+YAUAAOMbFVIAuMHGImyZEOd5XhgK0+m0tm7dqurq6nCPaP51nZ2d&#10;BcfMmIBqQmP+maYmfJrHTfXy4sWLOnLkiMrKylRaWhoe62JZVhgyY7FYeE/XdTUwMCBJGhkZUXt7&#10;+2VHvRBGAQCYOAikAHCDmDBoAt1v25aaH9TM57ZtX1ZZTKfT8n1fR44c0e7du/XQQw+poqJCnueF&#10;ATGbzer8+fNqbm4O12CebyqgptXWBFgTTNPptHp6ehQEgfbs2aPTp09rw4YN4VmqJmCaUJr/Hl3X&#10;1dGjR9XS0qLW1la98cYb2rhxY8Fr5a+Htl0AAMY3AikAjKH8KqP5fTabVSwWu+Y03avxPC8MjSaM&#10;5gfVwcFBHT9+XIcOHdLWrVvV1dWl2tragnbb/ODZ1NRUUAU19zQftm3LdV2l02mVlpYqCAL19/dr&#10;z5492rVrl9544w3NmDFDTU1NYajMNzp0FxcXa+rUqfJ9X3v27NEtt9yie+65Jzz/1LzGlZ4LAADG&#10;HwIpbnblkiZFvQj8TrKSRqJexM3ABKz8qubor71XJjC6rqtz587JcRw1NjaGYbK4uFg1NTXyfV8H&#10;Dx7UwoULNW3atILBQkEQaP/+/RoYGNDatWvDdeRP0XVdN1znuXPn1NXVpeXLl0vK7UddsWKFuru7&#10;9cILLyiZTKqkpCSshubvPc3fl+r7vpLJpKqrqzV16lTNnz9flmWpoqJCu3btUhAEuvPOO8OwTBgF&#10;AGD8I5DiZpWR5Ej6pKTVEa8Fv5tuSf8b9SKiln+8iWl7vVJ76m/DhM0f/OAH6uvr05/+6Z9q+fLl&#10;chxH8Xhczc3NWr58ubZu3app06YVTNcNgkB9fX3avn275syZo9mzZ19xLWairud5Gh4e1pkzZzRv&#10;3jyVl5crCAKVl5frtttu0+bNm9XY2BhOzzWvk38v8/kdd9yh5uZmlZSUyLZtVVVVybZtZTIZHT16&#10;VJlMRitXrgzXAwAAxj8CKW5WuyX9t3IVUnwwWcr9o8KEZ4YBeZ6nHTt26LXXXlNxcbGqqqp+p+CV&#10;zWZ19OhRHTt2TMPDw3rhhRc0b948VVdXh681NDSkgYEBJZPJ8OgWU7l89dVXderUKX3uc59TcXHx&#10;Faft5k/r7enp0Z49e7RgwQKVlpaGVdozZ86ou7tbUuFEXumdfaeu6yoIAtXW1uqBBx4IBx2Z6801&#10;bW1tOnjwoO677z5Nmzbtsmm8AABgfCKQ4mZ1WtL/EUcTfZD5kjxJH456IVEavT9z6dKlmj17tmKx&#10;2BX3XL6X++VPxs1ms0qlUiovLy/YT9rVph5bkwAAIABJREFU1aUzZ87oQx/6kDzPUzKZ1MDAgJ5+&#10;+mlt27ZNTzzxhJYsWRIGv9F7TFtbW8M23Ndff11PP/20Ghoa1NjYqLKyMmWzWZ08eVIXLlxQJpMJ&#10;n2dadk0I3rZtm1KpVMF5pvmvadu2ent79dOf/lS+7+utt97StGnTGGgEAMAEQSDFzWww6gXgfZvw&#10;f8eYSbPm8/Ly8oIW2t9WfkXVVDTN4yasep6nRCKhWCymrq4uDQ0Nqbe3V0899ZSy2aw++9nPavHi&#10;xUokEgVttpJUV1en22+/XS+99JJeffXVcC/plClTVFdXF7byWpal6dOna/r06cpkMkqn03JdV/F4&#10;XK7ravr06frkJz+pXbt26dVXXw0roqODpgmld955p+644w6tXbs2vJahRgAAjH8T/odFABhL1ztQ&#10;jb5f/vReEwgdx9Fdd92lp556Sr7v68CBA9q5c6eWL1+upUuXqqioKKymmmqluU9lZaWefPJJbdy4&#10;sWAKsGVZSiQSsiwrPOv03nvv1erVq8N9sWYQkeM4qqqq0saNG/Wxj33smkfcuK4bPicWi4UVVsIo&#10;AAATA4EUAMYBE+ryj2upqqqS53maP3++7rjjDjmOI9u2w0BpKqz5LbRBECiZTCqRSIRHvpiqqLnW&#10;tOSOfm5+u24QBGFbchAEl51HaiSTSbmuK0kFbb/59wQAAOMXgRQAxoH8EJffVmtZliorKwu+nn/e&#10;qHnM3MOEQhNqzT7X/Eps/l7Q/LZhc52ZJpwfMK8WLK8UOs3zAADA+EcgBYBxwIRIEyQN87mpippr&#10;R0/WNaEwv702/1zS/CCbH1pHX+84TkGrb/76rjQ5N//M0fyhSmYtAABgfCOQAsA4YFmW4vF4wWP5&#10;QTO/Wjk6jJrn5zMh0XxtdGuubdsFldhrreta14y+L3tHAQCYWAikADAOXCnEXW0AUv7j1wqAV6po&#10;jr7+vYTH93oNQRQAgImHMx4BAAAAAJEgkAIAAAAAIkEgBQAAAABEgkAKAAAAAIgEgRQAAAAAEAkC&#10;KQAAAAAgEgRSAAAAAEAkCKQAAAAAgEjEol4AgInDsixJUhAEEa8EuPkEQSDf96NeBgAANxSBFMAN&#10;4/u+giAgmAJXEARB+N8HwRQAMFEQSAHcMJZlhT9sO44T9XKAm4b5xxrDhFMAAMY79pACGHOO48jz&#10;PHmeJ+nyH76Bicz892Dbuf8lm9Zd/hsBAEwEVtQLADCuxSR9OJlMfmvy5MmLqqqq+CH75mP+P8Af&#10;TETy29glybZteZ6nM2fOqKen5+kgCD4laSi6FQIAMHYIpADGkiVpiqQNkqZLsmzbViwWUyaTiXRh&#10;kCRVSHpY0llJmyNeCyTFYrmdNK7ryrZt+b6/RdJzktxIFwYAAAAA19l0Sb+W9PcRrwMAAExQ7CEF&#10;AAAAAESCQAoAAAAAiASBFAAAAAAQCQIpAAAAACASBFIAAAAAQCQIpAAAAACASBBIAQAAAACRIJAC&#10;AAAAACJBIAUAAAAARIJACgAAAACIBIEUAAAAABAJAikAAAAAIBIEUgAAAABAJAikAAAAAIBIEEgB&#10;AAAAAJEgkAIAAAAAIkEgBQAAAABEgkAKAAAAAIgEgRQAAAAAEAkCKQAAAAAgEgRSAAAAAEAkCKQA&#10;AAAAgEgQSAEAAAAAkSCQAgAAAAAiQSAFAAAAAESCQAoAAAAAiASBFAAAAAAQCQIpAAAAACASBFIA&#10;AAAAQCQIpAAAAACASBBIAQAAAACRIJACAAAAACJBIAUAAAAARIJACgAAAACIBIEUAAAAABAJAikA&#10;AAAAIBIEUgAAAABAJAikAAAAAIBIEEgBAAAAAJEgkAIAAAAAIkEgBQAAAABEgkAKAAAAAIgEgRQA&#10;AAAAEAkCKQAAAAAgEgRSAAAAAEAkCKQAAAAAgEgQSAEAAAAAkSCQAgAAAAAiQSAFAAAAAESCQAoA&#10;AAAAiASBFAAAAAAQCQIpAAAAACASBFIAAAAAQCQIpAAAAACASMSiXgAA4IaIS7Ku8pgjKXGF53hv&#10;fwAAAIyJ0T+cAADGn5SkxyVNV+Hf+1WSnpB0UtKLV3jeM5L2SfLHdnkAAAAAgPEqJen/k9QlaTjv&#10;Y0S5Cmh21OPDkjokrRL/cAkAAAAAeB9sSRsknVCu2hm8y4cv6WlJzVEsFgAATBwMNQKA8c+X1CLp&#10;sCT3PVyfkfSapO6xXBQAAACBFAAmhouSfq1cO27wLtceVW7vaHqsFwUAACY2AikATAwDkrZJOq9r&#10;B1JP0uvKhVKGGQEAgDFFIAWAicFXbg/pW7r2US5dkva+/SsAAMCYIpACwMRxTtJWSYNX+XogqVXS&#10;buUm8AIAAIwpAikATBxpSXskHbvK14ckHVCukvpehh8BAAC8LwRSAJhYDio3cXf0/tBAUrty7bq9&#10;N3pRAABgYiKQAsDE0qXccKPOUY97ko5I2qHcACQAAIAxRyAFgIlnm6RTKpy226dcdfSC3v1YGAAA&#10;gOuCQAoAE89RSbv0zuAiX1KHpDfFdF0AAHADEUgBYOJJS3pB0kXlqqEZ5YYZHXz7cwAAgBsiFvUC&#10;AEwoZYlEYloQBCXZbNaKejETmCUprlwwlWVZrmVZQ77vT5FUEunKxoF4PK5sNmt+G0jqlnRWHKUD&#10;AMBl+IEQwI20IZVK/d/y8vJbk8kkHRo3SBBccUuolclk4t3d3VYymVRFRYUXj8e9IAgCy7Ku9Txc&#10;g2VZsixLQRAoCAINDg76fX19z7uu+3+Uq0LzTQUAIA8VUgA3UqVt25Vf+cpXUitWrLBtm0x6I4wO&#10;liYsnT17Vt/85je1fPly/eEf/mGssrIy5vu+giCQbdsywRTvXRAE8n1flmVpcHBQmzZt0jPPPFN9&#10;4cKFoqjXBgDAzYhACuCGGhkZ0dKlS3XfffeJQHpjmAA6+rHz58/r1Vdf1aJFi/Twww8rFovJsix5&#10;nifbtgmlvwPf98Pv36VLl9TS0qJ4PB71sgAAuGkRSAHcMI7jyPM8ua4b9VImlPwwmh8wa2pq9IUv&#10;fEHFxcVKJBLhtSaIEkZ/e+Z7FwSBPM+T7/tRLwkAgJsagRTADeN5nqTcD+1XqtphbJhgmR8wLctS&#10;UVGRVqxYcdmfQ/4+SPz2zPctHo8rFovxfQQA4BoIpABuOMuyaAeNyOhQmkwmr/p1/G6CIBCDoQAA&#10;eG8IpABuuCtV7BAN/gyur/wwCgAA3h0TRQAAAAAAkSCQAgAAAAAiQcsuAIyh/OFNowcFjW7tzGQy&#10;GhwcVFVV1WX3yH9+/vPM7z3PUyx25b/SOzs7lUwmVVpaesXn5j82+hzS97IHcvT7MMeejL4m/16j&#10;3wdtrgAATEwEUgAYQ5lMRkNDQyoqKlI8HlcQBPJ9X77vy3GcMLj5vq8LFy7o3//933X77bdr9erV&#10;Kikpke/7SqfTsixLqVSqIERalqVsNivHceS6rhzHCV83P/z913/9lzKZjD72sY+publZQRCE019t&#10;21Ymkwk/931flmUpHo8rk8koFoupp6dHx44d06RJk9TU1BSeV2quNWuybVvpdFrPP/+86urqNHfu&#10;XFVUVEgqDKS2bcvzvHC9hFEAACYuAikAjKGOjg699NJLmjx5spYtW6aqqir5vq+TJ0+qo6ND06ZN&#10;U319fViRfPbZZ5XNZnX33XfL8zx1dnbq2WefVSKR0IYNG1RZWVkQSC3LUn9/v2KxmDKZjKTLq5HH&#10;jh1TX1+f7r//flVXV8v3/fD1hoeHtWvXLrmuq5UrV6qyslJBEIQh2PM8WZal48eP62c/+5lWr16t&#10;tWvXqry8PHyd/A9JeuWVV9TW1qa/+Zu/0aJFiwoCq1lffngGAAATF4EUAMZQbW2tHMfRd77zHd1/&#10;//36zGc+o5KSEsXjcb3++ut64YUXtGHDBi1evFhVVVWqra1Vc3OzUqmUstmsWltb9fTTT2vq1Kla&#10;s2aNampqJCmstErSrl27dPbsWdXU1BS090q5amR3d7dKS0t16NAhdXV1aWRkJKySdnV1affu3Uom&#10;k6qurtaSJUtUVFSkIAjkOI48z1NpaalWrVqlnTt36kc/+pGqqqq0cuVKxWKxMLAa8XhcpaWlisfj&#10;mjVrVrgGE55NddicRQsAACY2AikAjKFUKqV169bpzTff1KuvvqrHHntMpaWlampq0qpVq/TP//zP&#10;OnHihL7+9a9r4cKFKi4uDquNJ0+e1K9+9SstW7ZMn/jEJ9TY2CipcC9pEASaM2eOGhoaVFpaKumd&#10;fasmKFZXVysWi2nBggVh2IzH4+rr61NxcbFWrFih4uJipVKpsB03kUiE7cDmHg8++KA6OzvV09Oj&#10;/v5+2batbDarzs5O1dbWqrKyUo7jqLS0VEVFRSopKQnvYdqBHce5LDQDAICJi0AKAGOsqqpK69ev&#10;18mTJ1VSUqKenh5lMhnNmjVLq1ev1htvvKFLly6F7beJREK9vb36zW9+o/r6ej3yyCOqr6+XpIJW&#10;Xc/z5Pu+6uvr1dHRoQMHDigWiykWixXsTT179qwSiYT27t2rsrIySbnQeu7cOW3btk2f/vSntXr1&#10;6jA4mkBr23YYSIuKirRy5Uo1NDRoypQpOn78eDgA6amnntKdd96pRx55RJZlhe2+ksJBS/39/cpm&#10;s2HLsKTwtQimAABMXARSAHifTPusCVe+74eVQcdxFIvFtGbNGq1cuVK2bau1tVU9PT1atWqV7r33&#10;Xi1dulS33HKLHMdRNptVPB7X6dOnlUwmtW7dujBE5ofM/MDouq4qKirkuq5qa2s1adKksBopSeXl&#10;5SotLdWMGTNUWVkZts1OnTpVS5YsUW1tbUHQNa81NDSkI0eOaPbs2UqlUiotLdWCBQvU3d2t3t5e&#10;zZkzRxcvXixo27VtOxxuJOUm7vb19WnLli16/fXXtXHjRi1ZsuQ9T/AFAADjG4EUAN6nIAjCaqXn&#10;eYrH43r22Wd19OhR3XPPPZo3b56KiopUXl6u/v5+9fT0KJlM6r//+7+VzWY1d+5ctba2SspVUw8d&#10;OqSpU6equblZzz//vF5++WU9+uijeuyxxwraXbPZrFzXlWVZqq+v16OPPhquKX8gUW1trcrKyjRt&#10;2jRVVVWFFVCzXt/39etf/1rHjh3TihUrNG/ePKVSKUnSzp079dRTT+mxxx7TokWLVFRUpAsXLqi3&#10;t1f19fXq6emRbduKxWLhekyFd/PmzRoYGFB7e7v27NmjlpYW3XfffQVhlOooAAATG4EUAN4ny7IU&#10;i8XCqqTjOFq5cqVefvllffOb39TnP/95PfLII3IcR+fPn9eZM2f00EMP6Ze//KVOnz6t2tpaTZ48&#10;Wa7r6otf/KKSyaRisZhc11Vvb28YAPMHGQ0PD2vbtm3au3evRkZGlEwm5bqupMLzRU1rbiwW0w9/&#10;+EPF4/FwzdlsNpzOe/z4cbW1tam/v191dXVqaGhQIpHQgw8+qK1bt+pb3/qWvvGNb2jBggXq6upS&#10;bW2tfN/X4OCgBgcHdfLkSb388ssaHBxUa2urLMtSSUmJZsyYobVr16q6ulr9/f0qLy8PK71USAEA&#10;AIEUAK6D/DZa3/c1adIkfeUrX9HXvvY1/eIXv9CKFStUU1Ojo0ePqqamRslkUsXFxWpsbNTixYs1&#10;bdq0MKiZamM6nZbrutq7d6/mz58f7g0NgkDJZFKLFy/WokWLlEql5Hmeent71dbWpkmTJqm4uDhs&#10;zf3Upz5VcO5nNpuVbdvq7OxUW1tbWPl0HEfxeDwcfBQEgRoaGvT444/ru9/9rrq7u9Xe3q7W1lat&#10;WrVK27ZtU0tLi86fP685c+Zo4cKFqqur0+nTp3XixAktW7ZMtm1rYGBAnZ2dGhoaCoM7lVEAACAR&#10;SAHgujBB1HAcR1OmTNFnP/tZXbp0SfX19Wpvb9fevXv1mc98Jgyf/f39am9vD6fPZrNZpVKpsA24&#10;vb09DKDmOeb1Jk2aFFZCM5mM9u/fr+9///u67bbbNHv2bFmWpZGRkTBo2rYdtuj6vq8tW7borbfe&#10;0t/+7d/qwQcflKSCfaTZbFaStGLFCvm+r8bGRp09ezZ8f/X19UqlUjp27JhmzpypSZMmhftdPc8L&#10;X8+8l6KiIqVSqYL9rQw1AgBgYiOQAsB1YgKjaZUtKirSI488ElYk9+/fL8dxVFlZqYGBAfm+r0uX&#10;Lmn//v1qa2uTJI2MjIQVSs/zdODAAfX394dhN//Il/xpu47jaGhoSB0dHaqvr9dtt90my7J04MAB&#10;nT59WgsWLFBzc3N4j4GBAb355pvyfV9VVVVhKMwPpJZlybZtVVVV6YEHHlB3d7d27NihxYsXa968&#10;eYrH49q3b1+4HjNR11RB8495CYJAlZWVqqysDAc/5QdsAAAwMRFIAeA6GT2ox3Gc8FzRjo4OvfHG&#10;G7rvvvvC6qBt22pubta6des0Y8aM8Hkm4KXTaVVXV6utre2KIS5/sm06ndbQ0JDq6uo0a9YsNTY2&#10;yrZtlZSUaPv27Tp06JD+6q/+Kjw+pq+vT+Xl5aqrq9P06dOVyWQ0NDSkVCqlVCoVVlVNmJSk06dP&#10;6+LFi5o9e7YSiUTB8TCmndjsTTVB1HXd8DgZM3E4P/QCAICJjX+eBoDrxFQUR0+x9TxPu3bt0sDA&#10;gGbMmBG2z+ZfZ/agGmafpamI5v/e87zLrstms+ru7pbruiopKQm/XlFRofvuu0/l5eXh9UEQKBaL&#10;KR6Pq7a2ViUlJdqxY4f+7d/+TVu2bNHw8LAkFbxONpvVwYMHVVNTo+Li4iu+f7P+IAg0ODio3t5e&#10;nT9/Xh0dHers7Ayn/jLMCAAAGFRIAeA6GR0eXdeV53lqa2vTc889p4aGBlVUVBQEsvb2dr3++us6&#10;evSoJIVVxXg8Ls/zdPDgQQ0PD4ftsPkB9NixY9qxY4cymYwk6aWXXtK5c+f0/PPPa9euXXJdV0EQ&#10;aGhoSJL085//XMlkUkEQKJPJaPv27ert7dWPf/xjHTt2TCdOnFBnZ6cqKiq0bNkyBUGg4eFhjYyM&#10;aM+ePdqzZ48+/vGPFwTefGbPaFFRkZLJpDo6OvTCCy/ojTfe0LFjx/TII4+ElVXz/QIAABMbgRQA&#10;roP81lazR3Pv3r06cOCA9u/fr7feeksbNmxQUVFR2H4bBIGKi4tVX1+vxsZGOY5TcH5oOp1WR0dH&#10;QRjNb32dPn26qqurJUk9PT3avn27Vq5cqSeeeEJlZWXyfV/nzp3T9u3btWTJEi1ZskQlJSWybVt9&#10;fX3at2+fysvL9Xu/93sF9y8tLVUsFlNbW5s2b96sLVu2aNeuXWpqalJNTU3YcnwlsVgsDNCzZs3S&#10;I488Itu2deutt+ojH/mI2tra5LquJk2aFH7fCKYAAExcBFIAuE7yW1aTyaQaGxt1/vx5tba2amho&#10;SLW1tXIcJxxQZNu2KioqNHPmTE2fPl1SYdUwnU6rra1NjuOEg5Hy918WFxeHx7sMDw+rs7NTCxcu&#10;1LRp08Lrampq1NraqqeeekrV1dVauXKl4vG4LMtSb2+vKisrwzNFzbmkZp9nXV2dHn30UdXW1urU&#10;qVOaMmWKKisrC95rPvO++vr6wvs0Nzfr05/+dLje5557TtlsVtXV1eH7AQAAExeBFACug9ETY02F&#10;sKGhQSdOnNC+fftUVVUVBlITxkyF0AwHMu26JtylUqlwz6mksLpqKqmmTfbIkSPq7u5Wf3+/9u/f&#10;H67JsixVVVWppKREPT09am1tlWVZ6uvrU29vr7LZrF5//XW98sorOn36tD7xiU/ojjvuKHjdefPm&#10;afr06WpqalJJSUnBnlfTYmz2m/q+r5UrV+rWW28N31NFRUXYwnzmzBl1dHRo6tSpYbgFAAATF4EU&#10;AN6na1X5Ll26pFOnToXnlJrBR5LCo10khcOPzHRac0+z/9NMvJVUMBDJ3GNwcFDNzc2qra1Ve3u7&#10;MplMWAm1LEvr168P23Adx1FPT4+Gh4dl27Z6eno0Y8YMzZo1K2z1NXthXdfVuXPn1NLSopkzZ0pS&#10;wbRfE6aHhoaUTqcVi8X04IMPKpFIhGeemveTyWTU1dWllpYWLViwQMuWLVMikaBKCgDABEYgBYAx&#10;NDAwoI6ODpWVlYXVUfPr8PBwWF20bVu2bWtoaEjnz59Xb2+venp69PLLL6uzszOsmJqAZ9u24vG4&#10;XNdVMpnUQw89pDvvvFMlJSXhsS3SO3s0LctSf3+/urq6lEql1NHRoSAINGvWLK1bt64gMOdXbuPx&#10;ePi84eHh8PU9z1MsFpPjOBoYGNCLL76ogYEBJRIJOY4TVnrNfW3bVnd3t1566SUNDw/r3LlzWrRo&#10;kRKJRJR/PAAAIGIEUgAYQ4lEQrW1tbJtW4lE4rJKaUlJScHQIjOV98CBA3rmmWd04MABrV+/Xg0N&#10;DWEQNRVSU1GVci3CDQ0NBa20o69Pp9N68803wyFLFy9e1G233Ra23eafg+o4TjhcadasWXriiSdU&#10;U1OjbDYr6Z2Juk1NTXryySe1e/dunT9/PmwTtm1b2Ww2DLiWZclxHK1fv14LFy7U3XffrWQySXUU&#10;AIAJjkAKAGOosbFRn/vc59TT06Py8vJwD2gymdTtt9+u4uJiVVZWhi2wZWVlWr16tZYuXapp06ap&#10;tbVVd999t2pqasJKqmHCn+u6YauveVxSQcCUpKqqKt1zzz2qrq5We3u7Vq9erQceeCCsZuY/N79a&#10;2tTUpD/5kz+RpIL3IEmlpaW65557tGrVqjDUmurp6LNVzf1NMCeMAgAAAikAjKFkMqnly5crCALF&#10;YrGwalleXq5HHnlEkuQ4TkHlVMoFv4ceekj3339/GOJMCMyftGuqmaYKar5+tV/r6up07733aunS&#10;pWF7r5Hfrpv/vKKiooLrrmT0UTD5Z7Lmh+j8oUwEUgAAQCAFgDFmWnKlwgFIo/dPjg51juMUXDN6&#10;ku/o+71bwDNft21bdXV173rduz32bvIHOOW71jmmAABgYrn8JwUAAAAAAG4AAikAAAAAIBIEUgAA&#10;AABAJNhDCiAyoyewAgAAYGIhkAK44Xzfv2z6Kt6//IDPBNtomQnDQRDwZwEAwDXw0yCAG44givHO&#10;hNArncUKAADeQYUUwA2XzWajXsK4Mzr0UC2NRv73nfNWAQB4dwRSADdUIpHgHMoxlB9+qMxFx7Tq&#10;EkYBALg2AimAG8rzPL344ov6f+3de3BU933//+fed3VZXdAN0AV04SIssDEXXwM2GDC+No4Tx26c&#10;tHHaab7upP1mmk5n8utMO/2j03Y67Uzb6aT1uI2Tut/EqRMnzlCSMBjMTdxBQiBxkYQsIQndV6u9&#10;7+8P+XN8VhbYTowXrNdjRoOQds/57CIt57Xvz+f96e3t1cX6xyydThONRkmlUvh8Ptxut0JpFjid&#10;TtLpNKFQiKNHjxIOh7M9JBERkZuWAqmIfJJ6ksnk0e9+97sjTi0k/dil02lvPB4vB1wul+uKy+WK&#10;vPt1hf9PkH39aCwWS0ej0VPAaHZHJSIicnPSFYqIfJL8QBWQi15/Pm4OoAJ4HigE/g24mNURCUAa&#10;GAKuAFo8LSIiMoMqpCLySYoAHSiM3ijVwFWmQ1Dbux+SfZo3LSIicg0KpCKSDbpAvzHSvPfc2j8X&#10;ERERuSlpDZeIiIiIiIhkhQKpiIiIiIiIZIUCqYiIiIiIiGSFAqmIiIiIiIhkhQKpiIiIiIiIZIUC&#10;qYiIiIiIiGSFAqmIiIiIiIhkhQKpiIiIiIiIZIUCqYiIiIiIiGSFAqmIiIiIiIhkhQKpiIiIiIiI&#10;ZIUCqYiIiIiIiGSFAqmIiIiIiIhkhQKpiIiIiIiIZIUCqYiIiIiIiGSFAqmIiIiIiIhkhQKpiIiI&#10;iIiIZIUCqYiIiIiIiGSFAqmIiIiIiIhkhQKpiIiIiIiIZIUCqYiIiIiIiGSFAqmIiIiIiIhkhQKp&#10;iIiIiIiIZIUCqYiIiIiIiGSFAqmIiIiIiIhkhQKpiIiIiIiIZIUCqYiIiIiIiGSFAqmIiIiIiIhk&#10;hQKpiIiIiIiIZIUCqYiIiIiIiGSFAqmIiIiIiIhkhQKpiIiIiIiIZIUCqYiIiIiIiGSFAqmIiIiI&#10;iIhkhQKpiIiIiIiIZIUCqYiIiIiIiGSFAqmIiIiIiIhkhSPbAxARkY8sH7gPuB3wvvs1B1AA3AME&#10;gD3AoO0+CeAUsBOIfmIjFRERERERkU+VHODrwGWmw2XM9pEAkjO+FgP6gG8wHVZFREREbgrubA9A&#10;REQ+sjDQBvQCFcz+Wm5fkpEGRoGDqDoqIiIiNxGtIRURuTWdAY4wHTDTH3DbOPA2cBFI3eBxiYiI&#10;iHxoCqQiIremq8BJYPhD3HYKeAuYuKEjEhEREfmIFEhFRG5NSeAwcInpquf1qqQdwAkg8gmMS0RE&#10;RORDUyAVEbl1nQVOc/11oSlgN9PrTUVERERuKgqkIiK3rilgL9MNi65lFGj+gNuIiIiIiIiIfGTz&#10;gH1MT+FNz/KxA1ietdGJiIiIXIcqpCIit7YhphsWJWf5XgQ4xvR+pSIiIiI3HQVSEZFb3w95f8Oi&#10;NNMNj44yPbVXRERE5KajQCoicus7w3TwtEsBrcApZq+eioiIiGSdAqmIyK0vDrzGdAg1hpnep7Q/&#10;KyMSERER+RAUSEVEbn1ma5fLtr93Mt1dV9N1RURE5KalQCoi8unQD/zq3c+ngDbgPNPVUxEREZGb&#10;kgKpiMinwziwB5gERoDjTHfgFREREblpubM9ABER+VjEmW5i1Ax4mQ6kE1kdkYiIiMgHcGV7ACIi&#10;8rFJAaXAGLCD6UqpiIiIyE1LgVRE5NMjAcSAi0AL2u5FREREbnKObA9AREQ+Ng7A/+7n6q4rIiIi&#10;IiIiIiIiIiIiIiIiIiIiIiIiIiIiMrdpDamI3GheoAzIRa85Ih/VINpPVkREPsW0D6mI3EhOYJXL&#10;5fo/ubm5y/x+v8PpdAKQTqezOzKRm4zbPf1fcjKZJJVKMT4+TiQS+RnwN0A0q4MTERG5QRRIReRG&#10;cgILi4qK1tx7770r7rjjDvLy8nAYIfwKAAAgAElEQVQ4HCQSiWyPTeSmkU6ncTqdOJ1O0uk0IyMj&#10;/OQnP+Hs2bMDyWRSW7SJiMinlgKpiNxwBQUFjo0bN/LFL36RgoICEokELpeusUWMdDpNOp3G4Zie&#10;1d7T08Pp06fp6OhwJJPaTlZERD69FEhF5BPh9XrxeDy4XC7cbrd14S0i7zHB1Ov16k0bERGZExRI&#10;ReQTY5+S6HA4FEpFgFQqlbGm2ul0kkqlcDqd+h0REZFPPQVSEflEmMoPoItsERv774P53Lxxo+Zf&#10;IiLyaefM9gBEZO5RIBV5z2yB1OFwKIyKiMicoEAqIiIiIiIiWaFAKiIiIiIiIlmhQCoiIiIiIiJZ&#10;oUAqIiIiIiIiWaFAKiIiIiIiIlmhQCoiIiIiIiJZoUAqIiIiIiIiWaFAKiIiIiIiIlnhzvYAREQ+&#10;7dLpNOl0GofDgcPhsL72UZj7Xe++9tvMPP+1vm7u43A4Zr3dzGPaH8sHHXPm7czxzblmHiOVSuF0&#10;vvc+6bXOISIiIp8eCqQiIjdQOp0mmUySTqdxuVzW19LpNLFYjL6+PlKpFBUVFQQCAdLp9IcKZeaY&#10;qVQKl8uFw+Gwjj/bbaPRKGNjYxQWFuL1ekmlUlZAjkQiAPj9fissOp3OWc9tzulwOEgmkwAkEgnc&#10;bjdut9v63NzOPJZYLMbFixfxeDxUVFTg9/vf9zjNfZPJJE6n03pcIp8ygZUrV87Ly8vzeb1e/YDL&#10;ry2RSKR6enqGOzs7x4CP9i6nyE1EgVRE5AYyVUGXy/W+Suno6Cj/9V//xYkTJ/jyl7/Mpk2bcDgc&#10;+Hy+jPvPrF4mEglCoRAej8cKkclk8pqBFODy5cv8/d//PbW1tTzzzDNUVlaSTqcJhUK89tprXLp0&#10;ieeee46lS5dmVHJnMudKJBL4fD46Ozv5n//5H2pra3nggQcIBoPAe9VO++MdGhriBz/4AQsXLuRL&#10;X/oSJSUluN3T/w0lk0k8Hk/G/a5XiRW5VT3//PNNX/va175RW1u7wu/3u8wbO+YNmlQqlc3hyU3O&#10;/Jw4HA6mpqamfvGLX/zL7/zO7/w/YCq7IxP59SmQiojcQKbSaK+SplIpEokEFy9e5MCBAxQVFVFU&#10;VMT4+DjwXnidTSqVorOzkzfeeIOSkhI+97nPsWDBguuOIRaLcfDgQY4cOUJJSYkV9pLJJFNTU3R0&#10;dHDhwgWi0ag1TrfbnVHBtPN4PNb3otEoR48epbW1lYaGBhobG0kkEgwNDZFMJgkGg1aoXL16NefO&#10;naO5uZnh4WFycnKsx/POO+9w3333kZOTY51DYVQ+pXKDweDi0tLSFQ6Hw21/A+Zav3Mihv1Nypyc&#10;nFBxcfE81BNGbnEKpCIiN5iZ4up0OkkmkzgcDsLhMCdOnGBycpKKigr27NnD0aNHgel3vmerkpiL&#10;1q6uLnp6eujr66OpqYnS0tLrXsiGQiF27drFokWLePbZZ1mwYAGJRMKaEptOpyksLCQQCFjjvN4a&#10;Uft0XxOyly1bRlVVFS6Xi3A4zP79+2lububOO+8kPz/fuu/Y2BhVVVV0dHTQ3d1NKpVi165dXLx4&#10;EYfDwbZt26zHf71xiNyqzKwAeG8Ghfnd1qwAuZ50Ok08Hsfj8XzkPgQiNzMFUhGRG8hcZBomCF64&#10;cIHz58/zxBNPsGHDBmtNKWCtwZx5nFQqRVtbG6FQiKeeeoqGhgby8/OtMDrb9F6AQ4cOcfHiRZ55&#10;5hmqq6tJp9PWBY39tuZC2ATOaDQKTK8ttbOfzwTSmetBr1y5wvHjx9mwYQN1dXXW2A4cOMDk5CRl&#10;ZWXMmzcPj8dDTU0NgPVYrreGVeTTwr6u3LzBo595uR6Hw2EtbbD3ERC51SmQioh8Akzw83g8DA4O&#10;8vbbb1NeXs7jjz9OIpFg//79hMNh6+LCXiVMp9MkEgmcTifvvPMOoVCIoaEhVq5cSSAQsJoBmSBp&#10;/gQYGxvjF7/4BdXV1WzatAm/32+dw1RIzd+dTqd1vnA4zPe//30ikQhPP/008+fPzwivJmCaKcip&#10;VIp0Ok0kErGqwABFRUXWfc3H+Pg4RUVFVFZWMjo6SiQSoaqqiry8POs411sPK3IrSyQS7wsR9m7X&#10;ItdiXnftbwB6PJ4sjkjk46FAKiJyg9kvMuPxOMePHycWi7F161YWLlxIIpFg69atxONxa/0mZG6b&#10;Yt4RP3/+PJOTk6xatcoKo/buveZ25msHDx7k9OnTPPvssyxcuDCjc63pZuvxeKx3203oPHjwIP/6&#10;r/9KTU0NGzdupLy8PONiaHx8nImJCUZGRkin00xNTXHixAlOnjzJ1q1brfN3dXXR0dFhrY89deoU&#10;AD/72c/Iz8+nt7eX06dP8+KLL3L//fdbj/WDpg6L3MrMz7Z+vuWjsG+Z5XK5rE7nIrc6BVIRkRvI&#10;HhATiQTt7e1cunSJbdu2MTw8zD/+4z+SSqUIBoPk5uYSj8dxOp1W4yMztdYcZ9++fYRCIb7+9a9T&#10;UlKCz+ezApypVpopXZ2dnbz++uucO3eOXbt2sXbtWpYuXWp18bUHP3OBHI/H2bt3L//wD/9AfX09&#10;3/72t2lsbLQuglKpFFNTU+zfv5+jR4+SSqXo7e3F6/XS2dnJ+Pg4ly5dssaxcOFCiouLiUajOBwO&#10;zpw5QyKRYO3atRQWFvLjH/+Yq1evUlhYCExfcHm9XoVRERGROUKBVETkBrJXQSKRCJOTkzz00EPM&#10;nz+f0tJS4vE4U1NT1NbWMm/ePJxOJ/F4nPPnz3PkyBHWrFnDsmXLcDqdRCIRLly4QF9fHwsWLLC6&#10;8ZogatZeJhIJotEoBw8etJoIjY+PEwwGM7ZWAazga/YjbW5u5pVXXqGoqIhvfvOb1jYw9kZGPp+P&#10;u+66i1WrVtHV1UVbWxv19fVs2bLF6pzb09NDfn4+BQUFFBYWWutiCwsLiUQilJWVUVZWRn5+PoWF&#10;hZw4cYILFy6wfft2cnJy1NxFRERkjlAgFRG5gUwFMp1OEwgEWLlyJW63G5fLhdfrpaKigu9+97sc&#10;PHiQF154gaqqKhKJBHv37qWlpYW7776bkpISs+ccubm55OTk4Pf78Xq9JBIJgIw1RU6nk0uXLtHW&#10;1sbDDz9Mc3MzV69ezahy2qf6ut1uotEohw8fZv/+/RQVFfGlL32JxsZGpqamrC659sdUWFhIYWEh&#10;o6OjVkXT6/USDAaJxWLWOfbv309HR4d134MHD+L1eolGo/j9frq6uujt7WXnzp3k5OSQn5/PQw89&#10;ZFWGFUpFREQ+3RRIRURuMLMuM5lMWk2FTEfdxYsXs3btWt588036+vqYN28eg4ODnDt3ji9/+css&#10;WbKEEydOUF1djd/vJ51OZ0xpNcHNhN5kMsnQ0BBHjhyhrq6ORx99lJMnTxKNRjO2CjAVy1QqxcTE&#10;BK2trfT29tLU1MTv/u7vsnz5cgCCwSDJZNJqnGEqpeY4ZisbM654PA6Az+fD7/ezfft2ysrKrOfi&#10;r//6r4lGo/zBH/wBJSUlvPzyy4RCIf7yL/+S+vp663EpjMrHwMH0dU4aSL77p4iI3GQUSEVEbjBT&#10;vTTNg06dOsXevXuJRCIUFhYyPDzMvHnz2LFjB6+//jrFxcWMj4/T3t7OkSNHaG1t5f777+fJJ5+0&#10;gufMxkTG5OQkLS0tpFIp7r//fgoLC/F4PNZUXXuTpEQiQTgcJhQKMTo6yubNm/nKV75CfX291TDD&#10;TNM1nXzt3UDtodRUXr1eL5FIhOHhYWsq8cTEBFNTUwBMTU2RSCS4evUqDoeDsbExQqGQ1WzJHkhF&#10;fkMLgc8BY8AhoBeYYDqciojITUKBVETkBrLvE5dKpXC73SxdutRq4lNUVGQ1Jvqrv/or2tvb+bd/&#10;+zerGmqm1prKajKZJB6PZ2zdYj9+MpkkLy+PBx98kKqqKitMAhmNgqLRKF1dXXz3u99l37593HXX&#10;Xfz2b/82DQ0NGXuB2tebmgqsOYa5nbmNw+EgmUwyMTHBxYsXycvLY2xsjF/+8pd0d3eTTqc5cuSI&#10;Nb3X5/PR0tJCeXm5tdepfRsaVUjlN1QA/BawFhgCjgG7gRPA+Xe/FgMSWRqfiIigQCoi8okwXXAB&#10;cnNzqaysZGpqilgsRiKRIJlMWvt5Tk5OkkqlGB8f58yZMyxcuJCVK1daFUQTSE1DI3tFMS8vj1Wr&#10;VllB1XTQtW8lMzw8zNGjR2lubiaVSnH77bdb61JnjtmcB7COM9vXJiYm6OnpIRQKMTIywsjICMuX&#10;L2fJkiUsW7bMGuPf/d3fAfDCCy9QUlLC2bNnmZycpKSkxDqugqh8jJxAAKh892M70AWcZjqYHgXa&#10;gX6mq6ep2Q8jIiI3igKpiMgNNHMTcxM8w+Ewx48fZ2BggJycHDweDwMDA1y9epVTp07hcDgYGBig&#10;vb2dxsZG6urq8Pv9lJWV0dnZSSQSAd5bn2qf4mpfKwpYQS8SiXD+/HkOHDjA4OAga9eupaamhpdf&#10;fpmRkRFreq7Zj9R08R0eHiYcDlNdXW0dL5FIMDExwblz5xgZGSGZTLJ3716WLl1KWVkZo6OjlJeX&#10;EwqFuHz5MslkEq/XazVD6u7upq+vj7a2NgoLC0kkEgQCAevc9udM5GPkBmqBxcBm4CrQARxmOpy2&#10;AZ1AFIVTEZFPhAKpiMgNZg+H5vPc3FyWL19OQ0MDgUAAl8vF7t27GRoa4p577sHlcuFyuYjH40Qi&#10;EQYHByktLaWyspK9e/fS09NDfX09Xq+X0dFRioqKrEBpXydqKqTRaJSOjg4ikQi1tbU8/vjjFBQU&#10;MDg4aK0XNZus2zsDA3R0dNDV1UV1dTWpVIq+vj5++MMfcuLECVwuF/feey933303t912GwUFBezb&#10;t494PM59993H1atXefXVV4nFYixZsgS/38/k5CQnTpwgFovx2muvUVNTQ1NTEzk5OVbFdy6Z+fOh&#10;9bM3nOPdj7x3PxYBm5hea3oROAkcYXqK72Wmp/ZGszFQu5k/JzN/T8z3P8zvj/229mPNdoyZ37/e&#10;8e1jnG29+fXGf63vzxzTte5nbmde98wxZp7/Ws/TtZ7TmY9jtufues/9r7smfq69DsrcpkAqInID&#10;2S9UEokEPT09nD59GofDgdvttrrXptNpBgYGmJqa4vjx41Ywi0ajtLS0cPHiRR5//HEqKipIpVK0&#10;tLSwbt06PB4Pu3fv5rHHHrO2kzHHs1cZPR4PixYtYv78+eTl5VlTb10ul3W72S5CHQ4HsViM8fHx&#10;jGnBfr+fiooKtmzZwqpVqygsLLQuAn/0ox+xbt06GhoauHz5Mk6nk0WLFrFt2zby8/OtRkwjIyMc&#10;PHiQpqYm8vPz5/QF2MyLb3Phm06nq4DnuQkC0S3GASwAyj/k7Z1AEbAauA14hOkmSKeZrpyeAM4C&#10;Ax/7SD8k080aYGhoiLKyMutNJMO+v7D9tcCwv1ll3wbKvN7Y12/bb2vObW5nPoaHh/F6ve/bO9j8&#10;/NqXKtjPZ9aem9kc9tcb+xjs21PZ18DPZI5n1rGb9e9mzbs5hrltMplkeHiYQCBAMBi01utPTk7i&#10;dDrJy8vLWJZgtqkyz8P1wrH5vhnDzNvav2aeU7MXtBmv+X9BZK5QIBURuYHMu+PmQiOZTDI5OUkw&#10;GCQ/Px+v1wtMb8NimhsVFBRkXKitXr2aFStWMH/+fMrKyqirq6OlpYVLly6xcuVKWltb2bp1a0Yn&#10;XfvFTywWw+PxWOe0jykWi1kXT7Nd8JnxDgwMEA6H8fv9FBQU8Mwzz5BIJCgqKspoaNTZ2cmFCxf4&#10;53/+54z1q3l5eZSUlJCfn59xoRoIBPD5fB9YZZir0ul0PfAtNH301+EFSj/ifRyAj+kgWwosBTYw&#10;XTV9FfgZEPoYx/ihmN+ZRCLBnj17+P73v8+TTz7Jxo0byc3NzVgaYA9ns/1OJxIJhoeHcTqd5Ofn&#10;Z6wvN7/HJiwmk0lCoRA/+9nPGBoa4umnn2b+/PnWOV5//XXOnj3L008/zerVq61z2AOsfRq+fWym&#10;w3ZZWZn1GmBfG2/W1J87d45du3ZRV1fHAw88QF5e3nWfH5fLRTQaJRqN4na7rTffTEA0n+/cuZMz&#10;Z87w4osvUlFRQTwe5+c//zkXL17kt37rt6irq8Pj8bwvXJrns6+vjzNnzrBixQrKysre15ncBGN7&#10;FXVmxdbsL222BDPsbyiIzAUKpCIiN5C58DCVhUWLFrFgwQLrYsNcoDidTsrLy+nr62PlypX4fD4g&#10;c1sXs3Zz8+bN/Mu//As/+clPmDdvHq2trdedvuf3+4nFYlblwVwYeTwefD4f6XSaoaEh+vv7qaqq&#10;yqjaTk5O0tzczM6dO7ntttvYtm0bHo+HwsLC9wXfaDTKj370I5577jmqqqqs6o25IJ3ZPXdmhcZc&#10;9OlC7D0Oh+MU8BfAVLbHcotxMD0V9/8CTR/xvilgBDgHHAcOMD2Ftx8If3xD/AgDejeoJZNJ9u3b&#10;x759+3jggQesqfYmdHV0dHDx4kVyc3Ot1w77a0MqlSIUCrF37158Ph/PPfccDQ0NVpAy4dTr9WZ0&#10;8r548SIXLlxg+/btGaE1HA7T2trKN77xDev3NxKJcOzYMUKhEOvWrWPevHnWuZ1OJy6Xi6mpKXbs&#10;2MHOnTv52te+xvr1662x2juBu91uBgcH2bt37/vWxs98fsz9kskkV69e5dixY3i9XtasWUNBQUHG&#10;VN5UKsXY2BgTExPW85RIJBgdHWVsbMyabdLR0UFfX581PrPvstPpJDc3l+HhYf72b/+Wp556ilWr&#10;VjEwMEAoFGLBggUADA4O0t/fz5IlSxgZGSEej1vPs3ld7O3tZWRkhHXr1rF48WIrNOt1UOYSBVIR&#10;kRtotmlaXq/Xungz1QBTrTT3MRdOJqiZCzGfz8edd97Jli1b+I//+A+6urro7+8nFouRk5PzvvOZ&#10;d+MjkUhGxcJ8z0y9/dGPfsS3v/1tVqxYgc/nI5FIWOtTf/nLXxIIBAiFQtY0OHNhZp++t2/fPgoK&#10;Cti6dWtGVSEUCnHy5EmCwaAVtJ1OJxMTE3R2dlJRUcHU1JTV1Eje43A4hoF9wGS2x3KLcTC99nP8&#10;I9wnyfS03DeZfs7bmZ62G+Ym2BrGBJhTp06xePFiHn30UYLBoBVuTFXS5/MRCASIxWLW75t9/WMy&#10;mWRwcNCqItqn3x44cACYnuJv9g52Op0MDg4yNTXF3r17aW1ttcbU1dVFNBrl4MGDuFwuPB4PnZ2d&#10;vP766wwMDPBHf/RHfP7zn8+oappgFw6H6enpwel0ZkxRNW+EmVANEAwGWbFiBbm5udd8buxV4oKC&#10;AhwOB6+88gpnz57liSee4PDhw7S2thIMBgHYtWsXV69e5aWXXqKwsJBoNMqhQ4cYHx/n1VdfJRAI&#10;cOjQIUZHR/m93/s9HnnkEWuGSSqVIj8/nzVr1vDTn/6Ul156iT/5kz+htbWV3bt3s2TJEvLz87l0&#10;6RJ79uzhhRdeIJlMMjY2Rm1tLS0tLZw/f57NmzcTCASYnJy0tvSyL70QmSsUSEVEPgH24GZfK2Te&#10;mTfh0Fwg2qe2mW1hvF4vDoeDYDDICy+8QE1NDf/+7/9OT08PZ8+etd7Ft4ffsbEx0uk0d955pzU9&#10;2B5avV4vzz33HPX19Rw+fJiJiQlcLhder5d0Ok1xcTEvvvgijz32GHV1dRnrUs2FcCKR4NSpUwwM&#10;DPDEE09Y03JNhaW4uJgFCxbQ2NhoBWyn08nY2Bj19fXk5eVl7JWqqbsZ0kwHJU3Z/ehSTD9/dmne&#10;e07DwBWmu+zuA3Yw3WU3Nsv9PhHXekPGvG4cPnyYgYEB/vAP/5CcnBxisRhjY2NcuXKFvLw86urq&#10;qK+vB8hYHw7vvUk1MjLCzp07GR0dJRAIWPsj5+Xl4XK5rE7YPp/PaqzW1tZGJBKhrq6OyspK63Wp&#10;o6MDgKamJtxuN7FYjLq6OrZu3WpN+7U3KrO/LgD4/X4rZJrH+J3vfIdDhw7x53/+58yfP99a0xkI&#10;BK7ZIMjtdltVW7PP8dq1azl69CiHDh3innvu4f7772f9+vUUFBRY21z19PTw1a9+ldLSUiYmJqxG&#10;b88//zwLFizImOFif70z56ypqeFzn/scV65cyWgs98ADD7B8+XJ+8IMf0NLSwsaNGykqKrJex4eG&#10;htixYwdf/epXWb9+vfV/gn09qTqNy1yiQCoicgPNbFZjLlhmTlE1a0XNhZ25jbkwMRdD9uNu27aN&#10;ZcuWcfr0afLy8jKaZ5gLN6/Xyxe+8AWKioooKSnJuKAzwbCoqIiHH36Yhx9+OGPsMztIzvyevYpb&#10;UVFBTU0NxcXF1tS7dDpNQUEBjz32GKWlpcyfPz+j4huJRHjxxRfJz8+ntLTUqjzYg/tcMVsn0bn0&#10;+D8hcaYrzVeY3ublINPNis4xPUU366F/ZoMfe1fXZDLJW2+9hdPp5Pz587z88sskEgneeecdmpub&#10;Wb58OV//+tcz9v01AXBkZITLly/T0NBg/c6aD/N6k5OTwyOPPGL9HiYSCdxuN+FwmEQiYQXeyspK&#10;YDrgms7YwWCQkpISEomEFULh2o3S7NP1zbRj87oxPDxMS0uLtXWUea0w+y8DTE5OEo/HrTXo5vlx&#10;u91Eo1Frzfz27dtZvHgx4+Pj9Pf3E4/HSSaTTE1NMX/+fACOHz/O3XffzdDQEPn5+SxevBiPx0Nr&#10;ayuhUIjGxkaKi4szphybsQPWNGb7m23m++ZNxEQiQUtLCydPnmTNmjXEYjErGM9co2ruIzKXKJCK&#10;iNxg5mLFbuaFJ8BnPvMZcnNzrQtE+/2vZfHixSxevPh95zN/5ubmsm7dulm//0HHtx/nWszjqqqq&#10;et/33G43paWllJa+v6+Mw+EgEAiwfPnyWY83l8xscqJpyx+bNNPdia8A7wAtTFdC9zK9HnSCm2Aq&#10;rt3M2RH26fudnZ2cPXuWp556iu3bt+N0OgmFQuzcuZPCwkLKysro7u62pn2aWRjxeJxf/epXHDhw&#10;gOeff55169bN2vTI/ubZ6Ogop06dwuVykZ+fj8fjoaqqiuHhYaampqzqXV5eHp/5zGcYHR3l3Llz&#10;dHR0cMcdd3DbbbdlBMWZ5zNThw3TxMh8vby83FqHaRqvpVIpJicn6e/vZ8eOHbS3t/Pkk09y1113&#10;4ff78Xg8RCIRrly5Qnl5OV6vl6amJhoaGjhy5AiXLl3ijTfeYN68edTW1uLz+WhubmZ4eJiGhgZ+&#10;/vOfc/jwYTZs2EBvby/Nzc1Eo1G+9a1vkZeXZ80aiUajhEIhqymdCZPj4+NEIhESiYQVnicnJ61A&#10;2trayr59+1ixYoU1Hdqs2bV3OjaNmebia6HMXQqkIiI3gXQ6TTAYzKgeiMhvZAj4D6ZD6Qmgm5t4&#10;+xx7NXTm7IR4PM6uXbuoqqriqaeeoqCgAJ/PR29vL8XFxXzlK19h3rx59Pb20t3dbXXINc3Lli1b&#10;Rm1tLRUVFRmN0q4lFArxwx/+kMHBQT772c+yevVq0uk0V65cyRhnaWkpZWVlnD17lubmZvbu3Usg&#10;EGDp0qXWulBTObRvmWJmWJgpwWY/5IKCAvx+PxMTE7jdbmt96eTkJKdOneLKlSvW2tPOzk7C4fd6&#10;TJnjNzc3E4/HufPOO6mtrWViYoJUKsVtt93GW2+9xebNm9mwYQNOp5Pe3l6mpqYoLCwkFotRX1/P&#10;F7/4RWsc/f39FBcXW02jAMbHx/nf//1fcnJyuO+++ygtLWV0dJQzZ84wMDBAf38/+/fvp7u729ri&#10;y1SBzUwR+xsP9vGb50TTdWWuUSAVEcky8664qYToYkTkYzEI/IDpKmjWp+N+FPatlJxOJxcvXqS/&#10;v58tW7YQi8X48Y9/zNq1awmFQlRWVrJq1ar3dbOF96qe8XjcqroNDw9fcxq+4ff7ycvLIx6Ps2bN&#10;GsrLyzOCpLm9CZrRaJTh4WHa2tqoqKjA7/dnhGvTkffChQuMjIyQSqU4f/48o6OjHDp0iF27dhEM&#10;Btm2bRvRaNTap7ijo4PW1lYGBgaIx+MsXbqU0tJScnJyGBsbo6qqytouC6YrjqtWreKll17i+PHj&#10;vPDCC0xOThIOh63Q2d7ejs/nw+l00t3dnREMu7u7OXr0KPn5+bS3t1vbZtmfy/z8fCorK/ne975H&#10;b28vX/va15iYmCAcDuN2uykoKKC2tpbFixdz+fJlurq6iMVi9Pb2WlOkzXjs62JNddh0E9abkjKX&#10;KJCKiGTRzItH09hCRH5jKaYbFN0yZq4bdTgchEIhWltbWb58ObfffjstLS380z/9E3/2Z3/G3Xff&#10;zeLFi8nPzwdg7969DA0NUV9fb1Uo+/r6OHjwIOvXr2fDhg0Zx5+Nadxjgtrk5KQ1xXTm1HLz+hWJ&#10;RJicnMxYY2lex0wToHQ6TTgcZmRkxNpuKpFI4Pf7qa+vJ5FIWHuT9vf3s2fPHkpLS3G5XMyfP587&#10;77yTxsZG4L2p/WYM9v1OFy1axN13380rr7zC22+/TUVFRUaX8Egkwu7du5mYmKCxsZGcnBw6OzsJ&#10;BALU1NRYW1hVV1fj9/vx+/0Z5/N6vaxcuZLGxkZOnjzJwMAAFy5cIDc3l/z8fHJzc6msrKS6upqa&#10;mhqSySTDw8NMTk5SVlZmVXjN+tGhoSH6+vqoqKigsLBQb0rKnKRAKiJyEzDrRu1TuERk7pi5lthU&#10;yEKhEOXl5dTX1xMMBvF6vbjdbpYtW0ZZWVnGevT29nZ+/vOf8+yzz1pdX7u6uti9eze5ubnce++9&#10;GV1vZ7IHvFQqRX9/P4cPH6a4uHjWsZrzRqNROjs7rTfU7G+qmbBYUFDAPffcA0zvMfrOO+9w5swZ&#10;br/9dgKBAF1dXXR1dTEwMGCtfa+urubYsWOcPn06o5mQ+dPe8Mms5fT5fDQ1NbF9+3Z8Ph8jIyOs&#10;XbuWoqIia/uVl156iVQqxYYNG1iwYAG7du2ivb2dL33pS6xZs8bavzSdTlvbUZnnxXQifvTRR2lo&#10;aADgnXfeYdWqVeTk5FiNjVCm8DsAAA7lSURBVEz1OJFI0NnZSXd3NwUFBZw+fZrLly9TWlrKuXPn&#10;GB8f59SpU9xzzz08+OCDVqgXmUsUSEVEssBcEM7sRmmaXIjI3DOzKzdAYWEhK1eutCpqZm2o3+/P&#10;CLEmIIZCIVatWkV1dbUVBH/xi1+waNEifD6ftbXU9cbgcDhwu92Ul5dz7733UlFRkbGOMpVKWdu6&#10;AEQiEcbGxujs7LSOY98bdLatnMxShXg8Tm5uLjU1NcyfP58zZ87Q3d3NggUL8Hq91rZX9gB8ra7U&#10;ZipuTU0NTz75JK2trVy4cMFaE1pdXc33vvc9JiYm+PznP09NTQ1er5eGhgbeeust4vE44XCYaDSK&#10;2+3m7bffZmBgwNqD1Dz3LpeLuro6qquraW5uJhwOU1BQgNPppKuri9dff53KykorSC9dupSKigry&#10;8vLo6ekhHA5z2223sWDBAsrLy1m0aBGFhYVaPypzlq58RESyZLaLQq0bEhHD6XQSCASsv9urgsbM&#10;amFOTg5erxe/3w9AIBDI+LsJd7Mx02hTqRTxeDyjWme6v5pzztw3eba9M2d+3R6eATweD/n5+dZU&#10;XACv15txHvtWKmbfZrN1zczOvWYfT/O1wcHBjK1h3njjDV555RUqKyt5++23aW5uJp1O09vby7lz&#10;50ilUuzevRuYXncbi8WYnJyksLCQzZs3W3s5m7HH43FOnTrF/PnzWbhwIUeOHGH+/Pncd999LF++&#10;nJqaGpxOJ6tXr7aC7JtvvonH47Ee59KlS61uvebf0t79WGQuUCAVERERuQnMXKM5c+/Oa93HHmJi&#10;sVjG10w107jelF37fpoOh4MrV67wy1/+kqKiItxuN/F4nO7ubsbGxliyZAl+vx+n00k8HufcuXNE&#10;o1Gr6mnfvmrmGM1jSSQSRKPRjG1P7KHW3HZiYoLBwUGi0ajVmRfea/5kX9Maj8etqbpdXV3cdttt&#10;+P1+Tpw4weuvv04kEuGxxx7js5/9rHW/n/70p1y8eJGnn36a9evXWw2G7Hu1mmqw2UrH7XZz4cIF&#10;urq6aGpqsr7vdrspLCzk5MmT3HHHHRQVFVlV4pGREc6ePUtZWRnHjh2jtbWVb33rW1RVVVmP20yX&#10;1rRdmUsUSEVERESybGYzo48ydTMSiViVz0QiwZEjR+jr6yMej1tbpZiAM1uV1TDhLhwOU1NTw7Jl&#10;y9i6dSu5ubnA9NrP//7v/+b8+fNs2rTJqvylUimWL19OOBxm5cqVxONxrl69Sl5eHsFg0Dq2/bHa&#10;ly2Y9ZYzg7IJhuPj45w8eZL29nYGBgbo7OzE6/VaazTta0idTifDw8M0NzfT39/Pgw8+yPHjx9m1&#10;axf33XcfY2NjjI+P09nZaVU5TRdfE2JDoRC7d+8mnU7z+c9/3trrOR6PE4lEuHr1KlevXuXHP/4x&#10;yWTSWkuaTqfxeDz4fD5Wr17NN7/5TbZv384jjzxCTk4OfX19tLW10dTUxODgIENDQ9ZjNvuyqjoq&#10;c5ECqYiIiEiWzayEzgyNMxsembDW399PW1sbhYWFhMNhKxQ5nU78fj9er5fc3Fxrfbq9YZL9HGNj&#10;Y1Z1NRgM8sUvfvF9+6Imk0lisRixWMwKkSYIVlVVkUwmGRsbY8+ePezfv5+HHnqIhx56iLy8vIyp&#10;vaYaao4ZDoeZmJjIqH6a8zqdTtxuNzU1NWzatIkdO3bQ2dnJxo0b8fv9dHZ2snDhQnw+H/F43Pr+&#10;wYMHKS8vZ2BggPHxcZ5++mmuXr3KG2+8QVtbG263G7fbTTqdpr29nZGREQ4fPszQ0BAABQUFJJNJ&#10;QqEQiUTCuv3g4CAHDx7kzTff5NixY/zpn/4pCxcutAJ1PB5ncnISl8vFwoUL+c53vkMgEGDDhg0c&#10;O3YMgPXr17Nz504Aq0kTYD2XInONAqmIiIjITeB63W9NBc0Eumg0ysmTJzl27BglJSU0NjZSXl7O&#10;xo0buf/++619Sfv7+8nJyWHp0qVWADRV0mQyaQWpHTt20N3djdvtJj8/PyMcmerq1NQULS0tXLly&#10;hd27d9PR0WFVKs3to9EoPT09RCIRWltbWbt2LYFAIGMdaTqdJhaLMTExwalTp+jo6CASibB69Wpr&#10;raq5ndPppLi4mKKiIkpKSvjCF77Apk2bKCkp4fz587zzzjuUlZURCARwuVxUV1fT1tZGV1cX69at&#10;Y9myZRQUFBAMBq3n4t577+WZZ56xKqSvvfYaHR0dPPnkk6xbt45EIkFfXx+xWIzq6mprPE6nk8WL&#10;F1NVVUVRURHnz5+31pWaf7twOMxbb73F1NQU69evZ2hoyPo3On78OE1NTTQ2NrJz504roMdiMeLx&#10;uNWlV2SuUSAVERERuUnMFkpNFc3s5Tk1NcWrr77K4OAgDz74IBs2bCAYDPLZz34WyFxbWVpaykMP&#10;PXTN85lprk899ZT1uX39or1qOzk5ae3luW3bNtatW0cqlcpYLwrvhc5kMml9Lx6PMzw8TEdHB2fP&#10;nuXw4cPMmzePUCjEsmXLWLlyJcFgkF/96lfE43GrKrls2TL++I//mMrKSqtKWVNTg8PhYHR0lN7e&#10;XmuvU4fDwYoVKxgdHeX48ePk5OQwb9488vLyrHHG43FaWlrYsWMHPp+PRCJBa2sr4+PjHDhwgOHh&#10;YcLhMMePH2diYoJnn32W9evXZ1R4HQ6HVXk2oT0cDnP58mUOHTrE0NAQf/EXf0F9fT0rVqygvb2d&#10;ffv2kZubyyOPPEJubq7VyRhgaGiI7u5uGhsbrTcDROYSBVIRERGRm5i9aU9PTw89PT0cPHiQr3zl&#10;KzzwwAPWlFiPx0MymcTj8WTsazw1NUUqlSKZTDI8PMzExMT7utea8Dhzm5aZW7UA1n0B61wzx2tf&#10;G+lyuRgYGOA///M/2bNnDwUFBdx7771s2LCBuro6qzJo1sDaGzqVlZVRVlZmhXLzXMTjccbGxmhp&#10;aWHlypXccccdeL1ea0rx5OTk+7adsVdcq6urrTEWFxfjdDqpqKhg4cKFpNNpamtrranFyWQSr9dr&#10;jWtqaoq2tjYGBgYy1v5WVlayZcsWHn/8cZYtW4bX66W4uJiJiQnC4TCPPPKIdd6Z3Y67u7uprq62&#10;/i1F5hIFUhEREZGbmAlW8XiciooKli9fztNPP82jjz5qNRwCrPWWprOu6Tp7/vx5jh07Rk9PDx0d&#10;HVy6dImHHnqIQCCQsWWKCUj26bUmCJo/TVXPhDVTVb3WuM3tioqKWLJkCQUFBdx11100NDRYY7cf&#10;o7a2ljfeeIPXXnuN2trajMBsD8SDg4Ps2LGDEydOsGbNGlauXGkda2RkxFoLag+M5nHm5uZa62qT&#10;ySR5eXnk5uaSl5dHcXGxdZ8rV67wxhtv8Nhjj7F69Wp8Ph+pVIpEIkEsFrO2bkmlUvj9fjZt2sTG&#10;jRvJz8/H6/UyOjrKzp07uXTpEps3b6apqSmjm7BZb5pMJjl27BgFBQUUFxdbz5vIXKFAKiIiInKT&#10;MxXQDRs2UF9fT0VFRUYYte9HarYNMSHPTHd1Op3s2bOHhQsXsnnzZkpKSqyq48yGSrNVPU0Yi8fj&#10;GVNyzfdnMiHSNFh6+OGHcblcVtMl+20SiQQOh4MtW7bQ3d1Na2srly5dyth/1H6fSCSCx+PhmWee&#10;Yd26de/bdqWqqorc3NyM+5hg29fXx9mzZ/H7/cRiMYqKinjmmWdIJpOcPXsWmA624+PjlJWVMTIy&#10;Yj0nZo3tli1bCAaDLFmyBJgOycFg0Ko6m8ZKoVCIJ554grq6OiuMptNpli9fTktLC3/zN39DKpWi&#10;r6+PhoYGYrGYtW+qyFyhQCoiN5y5QLL/XVOSRN5jgoBpXDNzOp8ITFclc3JyqK+vB94fAmeu/XQ6&#10;nQQCAQKBAMXFxSxevJjGxka8Xi9Lly61Qpy5/cz9Tmebrrto0SK2bNlCRUVFxt6i5jb2iqSp1ppp&#10;s2Zqrgmf9vsBVoff3//93ycSiVhfm40JyF6vl/z8fCsYu91u1q5dS2FhISUlJdYaVofDQTAY5Mkn&#10;n2T16tU0NTVZXXbt/yfZx2Km1rpcLqt5EYDX62XFihXU1dXh8Xis45jnIpFIMDw8TEVFBWvWrMmY&#10;kmwC8sMPP0x5eTm9vb243W5KS0tpamoiLy/vg34MRD51FEhF5EZLj4yMpN988026urrweDzX3Zhd&#10;ZK6xdxM1n09MTNDW1mYFVJnbZu5L+kGvnyZo2kOmqeytX7/+useYrTIKWNNS77vvPmva68xgOfM+&#10;9nHbb2MPwrNNTQ0Gg9b+pdcyMzzbjzdv3jyKi4uB94Kly+WioaGBxYsX4/P5Zl37+lG43e6M8Ghv&#10;euR0OmlsbMTtdmcEWbuioiIefPDBa67XFZlLFEhF5EZKAV0jIyNv79q1q/+tt96y9siz7zUnIpnM&#10;1Mh0On0AUCqV3yiszFbp/ChMaHK5XBQWFlpfNxXQmZXZT8r1zjXbnq4+n8+aDmvvmPubsgdjUxHO&#10;ycn5wHEqgIpMUyAVkRspBbQA/188HveZEBqNRrM6KJFbyASgXxjJOrP+0l7RuxW2J7GHPrN05EaM&#10;2x5K7c+RiHwwBVIRudESwGC2ByEiIr8++xpJe1+Amz10mUZPJkDb17l+nGO3Pz/muVEwFflwFEhF&#10;RERE5LpmBtFboToKmWsz7UH04x7/zGZIxvW2xRGRaQqkIiIiInJNv+ka1Gy61tg/7scxs0uvof1E&#10;RT6YAqmIiIiIfKBbOYx+Gs4j8mmlOQQiIiIiIiKSFQqkIiIiIiIikhUKpCIiIiIiIpIVCqQiIiIi&#10;IiKSFQqkIiIiIiIikhUKpCIiIiIiIpIVCqQiIiIiIiKSFQqkIiIiIiIikhXubA9AREREZC5KpVI4&#10;HA7S6TQADocDh8OR5VHJzcz8rIh8miiQioiIiHxC3G43yWSSVCqFy+UinU6TTCatz0Wuxf7zkUql&#10;rJ8dkVudAqmIiIjIJ8TtdvfF4/GfpdPp0w6Hw5VKpUgmk7jduiST63M4HCQSCZxOJy6Xi6mpqWgs&#10;FjsNJLI9NpHfhF79RERERD4hCxYsaA+Hw3/v9/udAC6XC4/Hk+1hyS3C5XJZn09MTFBSUhJDgVRE&#10;REREREREREREREREROQW8f8DqDPQF9fjE0E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Z1AQBbQ29udGVudF9UeXBl&#10;c10ueG1sUEsBAhQACgAAAAAAh07iQAAAAAAAAAAAAAAAAAYAAAAAAAAAAAAQAAAAw3MBAF9yZWxz&#10;L1BLAQIUABQAAAAIAIdO4kCKFGY80QAAAJQBAAALAAAAAAAAAAEAIAAAAOdzAQBfcmVscy8ucmVs&#10;c1BLAQIUAAoAAAAAAIdO4kAAAAAAAAAAAAAAAAAEAAAAAAAAAAAAEAAAAAAAAABkcnMvUEsBAhQA&#10;CgAAAAAAh07iQAAAAAAAAAAAAAAAAAoAAAAAAAAAAAAQAAAA4XQBAGRycy9fcmVscy9QSwECFAAU&#10;AAAACACHTuJAqiYOvrYAAAAhAQAAGQAAAAAAAAABACAAAAAJdQEAZHJzL19yZWxzL2Uyb0RvYy54&#10;bWwucmVsc1BLAQIUABQAAAAIAIdO4kD7zmen1gAAAAUBAAAPAAAAAAAAAAEAIAAAACIAAABkcnMv&#10;ZG93bnJldi54bWxQSwECFAAUAAAACACHTuJA/fjlwlICAAA9BQAADgAAAAAAAAABACAAAAAlAQAA&#10;ZHJzL2Uyb0RvYy54bWxQSwECFAAKAAAAAACHTuJAAAAAAAAAAAAAAAAACgAAAAAAAAAAABAAAACj&#10;AwAAZHJzL21lZGlhL1BLAQIUABQAAAAIAIdO4kA7GBPXxm8BALdvAQAUAAAAAAAAAAEAIAAAAMsD&#10;AABkcnMvbWVkaWEvaW1hZ2UxLnBuZ1BLBQYAAAAACgAKAFICAAArdwEAAAA=&#10;">
                <o:lock v:ext="edit" aspectratio="f"/>
                <v:shape id="图片 17" o:spid="_x0000_s1026" o:spt="75" type="#_x0000_t75" style="position:absolute;left:2467;top:1702;height:12480;width:6970;" filled="f" o:preferrelative="t" stroked="f" coordsize="21600,21600" o:gfxdata="UEsDBAoAAAAAAIdO4kAAAAAAAAAAAAAAAAAEAAAAZHJzL1BLAwQUAAAACACHTuJA9ZzXmL4AAADb&#10;AAAADwAAAGRycy9kb3ducmV2LnhtbEWPQWvCQBSE7wX/w/IEb3VjQavRVbDQ0hBoaRTB2yP7TILZ&#10;tyG7Jum/d4VCj8PMfMNsdoOpRUetqywrmE0jEMS51RUXCo6H9+clCOeRNdaWScEvOdhtR08bjLXt&#10;+Ye6zBciQNjFqKD0vomldHlJBt3UNsTBu9jWoA+yLaRusQ9wU8uXKFpIgxWHhRIbeispv2Y3o0Du&#10;v1+zeXr40j7DU5LM0/PHMlVqMp5FaxCeBv8f/mt/agWLFTy+hB8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zXmL4A&#10;AADbAAAADwAAAAAAAAABACAAAAAiAAAAZHJzL2Rvd25yZXYueG1sUEsBAhQAFAAAAAgAh07iQDMv&#10;BZ47AAAAOQAAABAAAAAAAAAAAQAgAAAADQEAAGRycy9zaGFwZXhtbC54bWxQSwUGAAAAAAYABgBb&#10;AQAAtwMAAAAA&#10;">
                  <v:fill on="f" focussize="0,0"/>
                  <v:stroke on="f"/>
                  <v:imagedata r:id="rId25" o:title=""/>
                  <o:lock v:ext="edit" aspectratio="t"/>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图2.2-2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项目废水处理工艺示意图</w:t>
      </w:r>
    </w:p>
    <w:p>
      <w:pPr>
        <w:pStyle w:val="8"/>
        <w:rPr>
          <w:rFonts w:hint="default"/>
          <w:color w:val="auto"/>
          <w:lang w:val="en-US" w:eastAsia="zh-CN"/>
        </w:rPr>
      </w:pP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auto"/>
          <w:spacing w:val="0"/>
          <w:w w:val="100"/>
          <w:kern w:val="0"/>
          <w:position w:val="0"/>
          <w:sz w:val="24"/>
          <w:szCs w:val="22"/>
          <w:highlight w:val="none"/>
          <w:lang w:eastAsia="zh-CN"/>
        </w:rPr>
      </w:pPr>
      <w:r>
        <w:rPr>
          <w:rFonts w:hint="default" w:ascii="Times New Roman" w:hAnsi="Times New Roman" w:eastAsia="宋体" w:cs="Times New Roman"/>
          <w:b/>
          <w:bCs/>
          <w:color w:val="auto"/>
          <w:spacing w:val="0"/>
          <w:w w:val="100"/>
          <w:kern w:val="0"/>
          <w:position w:val="0"/>
          <w:sz w:val="24"/>
          <w:szCs w:val="22"/>
          <w:highlight w:val="none"/>
        </w:rPr>
        <w:t>工艺简介</w:t>
      </w:r>
      <w:r>
        <w:rPr>
          <w:rFonts w:hint="default" w:ascii="Times New Roman" w:hAnsi="Times New Roman" w:eastAsia="宋体" w:cs="Times New Roman"/>
          <w:b/>
          <w:bCs/>
          <w:color w:val="auto"/>
          <w:spacing w:val="0"/>
          <w:w w:val="100"/>
          <w:kern w:val="0"/>
          <w:position w:val="0"/>
          <w:sz w:val="24"/>
          <w:szCs w:val="22"/>
          <w:highlight w:val="none"/>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废水自流至初沉池，收集车间排放的污水，初沉池去除废水中的可沉物和悬浮物。</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废水自初沉池自流至调节池，调节池主要整合水质，设有液位计自动控制污水泵。调节池配置有穿孔曝气系统进行搅拌匀质以防止污物沉积，废水在调节池得以均质均量。废水经泵提升至后续处理单元。</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调节池经泵提升至压滤机，通过加压溶器，利用释放器使气水混合，废水与溶气水混合然后进入分离室，在分离室中絮凝体的作用下下沉液面以下形成沉淀物然后排入泥污浓缩池。在此单元经过化学法初磷，废水自流至后续处理单元。</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废水自流至中间水池，调节水质水量，保证后续处理的均匀稳定，一般污水处理工艺都会要求进水比较稳定，那样会对整个处理系统的冲击小，运行正常。废水经泵提升至后续处理单元</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5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⑸</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流至生化A池，A池为厌氧池，在厌氧池内将大分子、不易降解的有机污染物质转化为小分子的、易于降解的有机污染物质，提高B/C比，减轻后续处理负荷，厌氧使污水中的难降解的有机物及其发色基团解体、被取代或裂解（降解），从而降低污水的色度，改善污水的可生化性，即使不能直接降低污水的色度，由于分子结构或发色基团已发生改变，也可使其中在好氧条件下容易被降解并脱色。</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6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⑹</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废水自流至O池，O池为好氧状态，通过曝气充氧搅拌，好氧微生物在此充分降解有机物，使水质得到净化的同时，氨氮完成硝化，对废水进行反硝化作用，使得氨氮得到去除。废水自流至后续处理单元。</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lang w:eastAsia="zh-CN"/>
        </w:rPr>
        <w:fldChar w:fldCharType="begin"/>
      </w:r>
      <w:r>
        <w:rPr>
          <w:rFonts w:hint="default" w:ascii="Times New Roman" w:hAnsi="Times New Roman" w:eastAsia="宋体" w:cs="Times New Roman"/>
          <w:color w:val="auto"/>
          <w:spacing w:val="0"/>
          <w:w w:val="100"/>
          <w:kern w:val="0"/>
          <w:position w:val="0"/>
          <w:sz w:val="24"/>
          <w:szCs w:val="24"/>
          <w:highlight w:val="none"/>
          <w:lang w:eastAsia="zh-CN"/>
        </w:rPr>
        <w:instrText xml:space="preserve"> = 7 \* GB2 \* MERGEFORMAT </w:instrText>
      </w:r>
      <w:r>
        <w:rPr>
          <w:rFonts w:hint="default" w:ascii="Times New Roman" w:hAnsi="Times New Roman" w:eastAsia="宋体" w:cs="Times New Roman"/>
          <w:color w:val="auto"/>
          <w:spacing w:val="0"/>
          <w:w w:val="100"/>
          <w:kern w:val="0"/>
          <w:position w:val="0"/>
          <w:sz w:val="24"/>
          <w:szCs w:val="24"/>
          <w:highlight w:val="none"/>
          <w:lang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⑺</w:t>
      </w:r>
      <w:r>
        <w:rPr>
          <w:rFonts w:hint="default" w:ascii="Times New Roman" w:hAnsi="Times New Roman" w:eastAsia="宋体" w:cs="Times New Roman"/>
          <w:color w:val="auto"/>
          <w:spacing w:val="0"/>
          <w:w w:val="100"/>
          <w:kern w:val="0"/>
          <w:position w:val="0"/>
          <w:sz w:val="24"/>
          <w:szCs w:val="24"/>
          <w:highlight w:val="none"/>
          <w:lang w:eastAsia="zh-CN"/>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废水自流至二沉池中进行固液分离，澄清液经自吸泵进入下一处理单元，沉淀的污泥部分回流至厌氧池，多余部分剩余污泥排入污泥池</w:t>
      </w:r>
      <w:r>
        <w:rPr>
          <w:rFonts w:hint="default" w:ascii="Times New Roman" w:hAnsi="Times New Roman" w:eastAsia="宋体"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2"/>
          <w:highlight w:val="none"/>
        </w:rPr>
        <w:t>运至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储存，</w:t>
      </w:r>
      <w:r>
        <w:rPr>
          <w:rFonts w:hint="default" w:ascii="Times New Roman" w:hAnsi="Times New Roman" w:eastAsia="宋体" w:cs="Times New Roman"/>
          <w:color w:val="auto"/>
          <w:spacing w:val="0"/>
          <w:w w:val="100"/>
          <w:kern w:val="0"/>
          <w:position w:val="0"/>
          <w:sz w:val="24"/>
          <w:szCs w:val="22"/>
          <w:highlight w:val="none"/>
          <w:lang w:val="en-US" w:eastAsia="zh-CN" w:bidi="ar-SA"/>
        </w:rPr>
        <w:t>与牛粪一同临时堆存后外售至吴忠市利通区绿地牛粪处理厂进行有机肥生产</w:t>
      </w:r>
      <w:r>
        <w:rPr>
          <w:rFonts w:hint="default" w:ascii="Times New Roman" w:hAnsi="Times New Roman" w:eastAsia="宋体" w:cs="Times New Roman"/>
          <w:color w:val="auto"/>
          <w:spacing w:val="0"/>
          <w:w w:val="100"/>
          <w:kern w:val="0"/>
          <w:position w:val="0"/>
          <w:sz w:val="24"/>
          <w:szCs w:val="24"/>
          <w:highlight w:val="none"/>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auto"/>
          <w:spacing w:val="0"/>
          <w:w w:val="100"/>
          <w:kern w:val="0"/>
          <w:position w:val="0"/>
          <w:sz w:val="24"/>
          <w:szCs w:val="22"/>
          <w:highlight w:val="none"/>
          <w:lang w:eastAsia="zh-CN"/>
        </w:rPr>
      </w:pPr>
      <w:r>
        <w:rPr>
          <w:rFonts w:hint="default" w:ascii="Times New Roman" w:hAnsi="Times New Roman" w:eastAsia="宋体" w:cs="Times New Roman"/>
          <w:b/>
          <w:bCs/>
          <w:color w:val="auto"/>
          <w:spacing w:val="0"/>
          <w:w w:val="100"/>
          <w:kern w:val="0"/>
          <w:position w:val="0"/>
          <w:sz w:val="24"/>
          <w:szCs w:val="22"/>
          <w:highlight w:val="none"/>
          <w:lang w:eastAsia="zh-CN"/>
        </w:rPr>
        <w:t>工艺特点：</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fldChar w:fldCharType="begin"/>
      </w:r>
      <w:r>
        <w:rPr>
          <w:rFonts w:hint="default" w:ascii="Times New Roman" w:hAnsi="Times New Roman" w:eastAsia="宋体" w:cs="Times New Roman"/>
          <w:color w:val="auto"/>
          <w:spacing w:val="0"/>
          <w:w w:val="100"/>
          <w:kern w:val="0"/>
          <w:position w:val="0"/>
          <w:sz w:val="24"/>
          <w:szCs w:val="22"/>
          <w:highlight w:val="none"/>
        </w:rPr>
        <w:instrText xml:space="preserve"> = 1 \* GB3 \* MERGEFORMAT </w:instrText>
      </w:r>
      <w:r>
        <w:rPr>
          <w:rFonts w:hint="default" w:ascii="Times New Roman" w:hAnsi="Times New Roman" w:eastAsia="宋体" w:cs="Times New Roman"/>
          <w:color w:val="auto"/>
          <w:spacing w:val="0"/>
          <w:w w:val="100"/>
          <w:kern w:val="0"/>
          <w:position w:val="0"/>
          <w:sz w:val="24"/>
          <w:szCs w:val="22"/>
          <w:highlight w:val="none"/>
        </w:rPr>
        <w:fldChar w:fldCharType="separate"/>
      </w:r>
      <w:r>
        <w:rPr>
          <w:rFonts w:hint="default" w:ascii="Times New Roman" w:hAnsi="Times New Roman" w:eastAsia="宋体" w:cs="Times New Roman"/>
          <w:color w:val="auto"/>
          <w:spacing w:val="0"/>
          <w:w w:val="100"/>
          <w:kern w:val="0"/>
          <w:position w:val="0"/>
          <w:sz w:val="24"/>
          <w:szCs w:val="22"/>
          <w:highlight w:val="none"/>
        </w:rPr>
        <w:t>①</w:t>
      </w:r>
      <w:r>
        <w:rPr>
          <w:rFonts w:hint="default" w:ascii="Times New Roman" w:hAnsi="Times New Roman" w:eastAsia="宋体" w:cs="Times New Roman"/>
          <w:color w:val="auto"/>
          <w:spacing w:val="0"/>
          <w:w w:val="100"/>
          <w:kern w:val="0"/>
          <w:position w:val="0"/>
          <w:sz w:val="24"/>
          <w:szCs w:val="22"/>
          <w:highlight w:val="none"/>
        </w:rPr>
        <w:fldChar w:fldCharType="end"/>
      </w:r>
      <w:r>
        <w:rPr>
          <w:rFonts w:hint="default" w:ascii="Times New Roman" w:hAnsi="Times New Roman" w:eastAsia="宋体" w:cs="Times New Roman"/>
          <w:color w:val="auto"/>
          <w:spacing w:val="0"/>
          <w:w w:val="100"/>
          <w:kern w:val="0"/>
          <w:position w:val="0"/>
          <w:sz w:val="24"/>
          <w:szCs w:val="22"/>
          <w:highlight w:val="none"/>
        </w:rPr>
        <w:t>A级生物池：</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A级生物池内设有微曝气空气管，控制溶解氧&lt;0.5mg/l，回流污水及回流污泥按一定的回流比与前级污水在此充分混合。</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污水中有机氮相对含量高，在进行生物降解时会以氨氮的形式出现，使污水中氨氮的指标升高，而氨氮也是一个重要的污染控制指标，因此在O级生物池前加缺氧池，缺氧池可利用回流的混合液中带入的硝酸盐和进入水中的有机碳源进行反硝化，使污水中的NO</w:t>
      </w:r>
      <w:r>
        <w:rPr>
          <w:rFonts w:hint="default" w:ascii="Times New Roman" w:hAnsi="Times New Roman" w:eastAsia="宋体" w:cs="Times New Roman"/>
          <w:color w:val="auto"/>
          <w:spacing w:val="0"/>
          <w:w w:val="100"/>
          <w:kern w:val="0"/>
          <w:position w:val="0"/>
          <w:sz w:val="24"/>
          <w:szCs w:val="22"/>
          <w:highlight w:val="none"/>
          <w:vertAlign w:val="superscript"/>
        </w:rPr>
        <w:t>2-</w:t>
      </w:r>
      <w:r>
        <w:rPr>
          <w:rFonts w:hint="default" w:ascii="Times New Roman" w:hAnsi="Times New Roman" w:eastAsia="宋体" w:cs="Times New Roman"/>
          <w:color w:val="auto"/>
          <w:spacing w:val="0"/>
          <w:w w:val="100"/>
          <w:kern w:val="0"/>
          <w:position w:val="0"/>
          <w:sz w:val="24"/>
          <w:szCs w:val="22"/>
          <w:highlight w:val="none"/>
        </w:rPr>
        <w:t>、NO</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还原成NO</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达到脱氮的作用，这样在去除有机物同时降解氨氮值。</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fldChar w:fldCharType="begin"/>
      </w:r>
      <w:r>
        <w:rPr>
          <w:rFonts w:hint="default" w:ascii="Times New Roman" w:hAnsi="Times New Roman" w:eastAsia="宋体" w:cs="Times New Roman"/>
          <w:color w:val="auto"/>
          <w:spacing w:val="0"/>
          <w:w w:val="100"/>
          <w:kern w:val="0"/>
          <w:position w:val="0"/>
          <w:sz w:val="24"/>
          <w:szCs w:val="22"/>
          <w:highlight w:val="none"/>
        </w:rPr>
        <w:instrText xml:space="preserve"> = 2 \* GB3 \* MERGEFORMAT </w:instrText>
      </w:r>
      <w:r>
        <w:rPr>
          <w:rFonts w:hint="default" w:ascii="Times New Roman" w:hAnsi="Times New Roman" w:eastAsia="宋体" w:cs="Times New Roman"/>
          <w:color w:val="auto"/>
          <w:spacing w:val="0"/>
          <w:w w:val="100"/>
          <w:kern w:val="0"/>
          <w:position w:val="0"/>
          <w:sz w:val="24"/>
          <w:szCs w:val="22"/>
          <w:highlight w:val="none"/>
        </w:rPr>
        <w:fldChar w:fldCharType="separate"/>
      </w:r>
      <w:r>
        <w:rPr>
          <w:rFonts w:hint="default" w:ascii="Times New Roman" w:hAnsi="Times New Roman" w:eastAsia="宋体" w:cs="Times New Roman"/>
          <w:color w:val="auto"/>
          <w:spacing w:val="0"/>
          <w:w w:val="100"/>
          <w:kern w:val="0"/>
          <w:position w:val="0"/>
          <w:sz w:val="24"/>
          <w:szCs w:val="22"/>
          <w:highlight w:val="none"/>
        </w:rPr>
        <w:t>②</w:t>
      </w:r>
      <w:r>
        <w:rPr>
          <w:rFonts w:hint="default" w:ascii="Times New Roman" w:hAnsi="Times New Roman" w:eastAsia="宋体" w:cs="Times New Roman"/>
          <w:color w:val="auto"/>
          <w:spacing w:val="0"/>
          <w:w w:val="100"/>
          <w:kern w:val="0"/>
          <w:position w:val="0"/>
          <w:sz w:val="24"/>
          <w:szCs w:val="22"/>
          <w:highlight w:val="none"/>
        </w:rPr>
        <w:fldChar w:fldCharType="end"/>
      </w:r>
      <w:r>
        <w:rPr>
          <w:rFonts w:hint="default" w:ascii="Times New Roman" w:hAnsi="Times New Roman" w:eastAsia="宋体" w:cs="Times New Roman"/>
          <w:color w:val="auto"/>
          <w:spacing w:val="0"/>
          <w:w w:val="100"/>
          <w:kern w:val="0"/>
          <w:position w:val="0"/>
          <w:sz w:val="24"/>
          <w:szCs w:val="22"/>
          <w:highlight w:val="none"/>
        </w:rPr>
        <w:t>O级生物池：</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O级生物池采用生物滤池的形式。O级生物池是本套污水处理工程的主体工艺，主要去除COD、BOD</w:t>
      </w:r>
      <w:r>
        <w:rPr>
          <w:rFonts w:hint="default" w:ascii="Times New Roman" w:hAnsi="Times New Roman" w:eastAsia="宋体" w:cs="Times New Roman"/>
          <w:color w:val="auto"/>
          <w:spacing w:val="0"/>
          <w:w w:val="100"/>
          <w:kern w:val="0"/>
          <w:position w:val="0"/>
          <w:sz w:val="24"/>
          <w:szCs w:val="22"/>
          <w:highlight w:val="none"/>
          <w:vertAlign w:val="subscript"/>
        </w:rPr>
        <w:t>5</w:t>
      </w:r>
      <w:r>
        <w:rPr>
          <w:rFonts w:hint="default" w:ascii="Times New Roman" w:hAnsi="Times New Roman" w:eastAsia="宋体" w:cs="Times New Roman"/>
          <w:color w:val="auto"/>
          <w:spacing w:val="0"/>
          <w:w w:val="100"/>
          <w:kern w:val="0"/>
          <w:position w:val="0"/>
          <w:sz w:val="24"/>
          <w:szCs w:val="22"/>
          <w:highlight w:val="none"/>
        </w:rPr>
        <w:t>，并在硝化菌的作用下进一步分解、氧化，是利用好氧微生物来分解水中有机物。微生物新陈代谢所需要的氧气由鼓风曝气装置供给。好氧微生物为了自身的生命及生长繁殖，而以废水中有机物作为营养物进行合成和分解代谢活动。生化处理工艺的原理就是微生物把各种有机污染物作为营养食物，在微生物自身分解的生物酶的作用下，把他们分解为简单的化合物，从中获得构成本身细胞的材料和活动所需的能量，借以进行生长和繁殖等生命活动。分解有机物的微生物主要是细菌，其他原生动物、后生动物也参与这一过程。</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O级生物池具有诸多的特点：利于细胞分离；反应器中可达到较高的细胞浓度；通过优化载体体积特征，可以达到微生物最大活性；提供了在统一反应器中同时固定不同微生物的可能性；处理效率高，耐冲击负荷，体积小，便于运行管理，困扰活性污泥法污泥膨胀问题得以消除，可以维持较高的污泥龄，具有较高微生物量，水力停留时间短等。</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O级生物池内设置新型填料，采用鼓风曝气系统，填料的作用是给微生物提供生长附着床，同时扩大微生物的比表面积，使微生物迅速繁殖并进一步吸附水中呈悬浮、胶体和溶解状态的物质，逐渐形成生物膜，膜上的微生物在氧的参与下，对有机物进行降解，而曝气系统的曝气一方面提高了传氧速率，另一方面对生物膜起到了搅动作用加速了生物膜的更新，使生物膜活性提高，同时，脱落的生物膜漂浮在水中也起到了降解有机物的作用，它克服了污泥膨胀，可以间歇运转，不需要污泥回流，且运行稳定。</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O级生物池中曝气器选用贯网络（IPN）聚合物曝气器，该曝气器引进澳大利亚宝瑞科（BORCIC）国际环保投资有限公司尖端——技术——互贯网络（IPN）技术，制造用于废水处理的聚合物曝气系列产品。解决了曝气器普遍存在的使用寿命短和堵塞问题，精心设计的系统结构，精益求精的制造工艺，简便的安装方式，长久的使用寿命，皆可令用户节省大量的能源、时间和金钱。</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采用A/O生物处理工艺是近几年来国内外环保工作者用以解决污水脱氮的主要方法，该方法具体如下特点：</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rPr>
        <w:t>利用系统中培养的硝化细菌及脱氮菌，同时达到去除污水中含碳有机物及氨氮的目的，与经普通活性污泥处理后再增加脱氮三级处理系统相比，基建投资省、运行费用低、电耗低、占地面积小。</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rPr>
        <w:t>A/O生物处理系统产生的剩余污泥量较一般生物处理系统少，而且污泥沉降性能好，易于脱水。</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rPr>
        <w:t>A/O生物法较一般生物处理系统相比耐冲击负荷高，运行稳定。</w:t>
      </w:r>
    </w:p>
    <w:p>
      <w:pPr>
        <w:pStyle w:val="12"/>
        <w:adjustRightInd w:val="0"/>
        <w:snapToGrid w:val="0"/>
        <w:spacing w:after="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 w:val="0"/>
          <w:color w:val="auto"/>
          <w:spacing w:val="0"/>
          <w:w w:val="100"/>
          <w:kern w:val="0"/>
          <w:position w:val="0"/>
          <w:sz w:val="24"/>
          <w:szCs w:val="24"/>
          <w:lang w:val="zh-CN" w:eastAsia="zh-CN" w:bidi="ar-SA"/>
        </w:rPr>
        <w:t>◆</w:t>
      </w:r>
      <w:r>
        <w:rPr>
          <w:rFonts w:hint="default" w:ascii="Times New Roman" w:hAnsi="Times New Roman" w:eastAsia="宋体" w:cs="Times New Roman"/>
          <w:color w:val="auto"/>
          <w:spacing w:val="0"/>
          <w:w w:val="100"/>
          <w:kern w:val="0"/>
          <w:position w:val="0"/>
          <w:sz w:val="24"/>
          <w:szCs w:val="22"/>
          <w:highlight w:val="none"/>
        </w:rPr>
        <w:t>A/O生物处理系统因将NO</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-N转化成N</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，因此不会出现硝化过程中产生的NO</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-N的积累，而1mg/NO</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-N会引起1.14mgCOD值，因此只硝化时，虽然氨氮浓度可达标，但COD浓度却往往超标严重。采用A/O生物处理系统不仅能解决有机污染物，而且能解决氮和磷的污染，使氨氮的出水指标小于15mg/</w:t>
      </w:r>
      <w:r>
        <w:rPr>
          <w:rFonts w:hint="default" w:ascii="Times New Roman" w:hAnsi="Times New Roman" w:cs="Times New Roman"/>
          <w:color w:val="auto"/>
          <w:spacing w:val="0"/>
          <w:w w:val="100"/>
          <w:kern w:val="0"/>
          <w:position w:val="0"/>
          <w:sz w:val="24"/>
          <w:szCs w:val="22"/>
          <w:highlight w:val="none"/>
          <w:lang w:val="en-US" w:eastAsia="zh-CN"/>
        </w:rPr>
        <w:t>L</w:t>
      </w:r>
      <w:r>
        <w:rPr>
          <w:rFonts w:hint="default" w:ascii="Times New Roman" w:hAnsi="Times New Roman" w:eastAsia="宋体" w:cs="Times New Roman"/>
          <w:color w:val="auto"/>
          <w:spacing w:val="0"/>
          <w:w w:val="100"/>
          <w:kern w:val="0"/>
          <w:position w:val="0"/>
          <w:sz w:val="24"/>
          <w:szCs w:val="22"/>
          <w:highlight w:val="none"/>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2.2.3饲料加工工艺</w:t>
      </w:r>
    </w:p>
    <w:p>
      <w:pPr>
        <w:pStyle w:val="12"/>
        <w:adjustRightInd w:val="0"/>
        <w:snapToGrid w:val="0"/>
        <w:spacing w:after="0" w:line="360" w:lineRule="auto"/>
        <w:ind w:firstLine="480" w:firstLineChars="200"/>
        <w:rPr>
          <w:rFonts w:hint="default" w:ascii="Times New Roman" w:hAnsi="Times New Roman" w:eastAsia="宋体" w:cs="Times New Roman"/>
          <w:b w:val="0"/>
          <w:color w:val="auto"/>
          <w:spacing w:val="0"/>
          <w:w w:val="100"/>
          <w:kern w:val="0"/>
          <w:position w:val="0"/>
          <w:sz w:val="24"/>
          <w:szCs w:val="24"/>
          <w:lang w:val="zh-CN" w:eastAsia="zh-CN" w:bidi="ar-SA"/>
        </w:rPr>
      </w:pPr>
      <w:r>
        <w:rPr>
          <w:rFonts w:hint="default" w:ascii="Times New Roman" w:hAnsi="Times New Roman" w:eastAsia="宋体" w:cs="Times New Roman"/>
          <w:b w:val="0"/>
          <w:color w:val="auto"/>
          <w:spacing w:val="0"/>
          <w:w w:val="100"/>
          <w:kern w:val="0"/>
          <w:position w:val="0"/>
          <w:sz w:val="24"/>
          <w:szCs w:val="24"/>
          <w:lang w:val="zh-CN" w:eastAsia="zh-CN" w:bidi="ar-SA"/>
        </w:rPr>
        <w:t>奶牛的饲草料储存和配送是现代化牧场生产运营的一个重要环节。本项目饲草区设置有青贮池、干草棚、饲料加工车间等建筑物。饲养所需的各种原辅料大部分为就近购买。</w:t>
      </w:r>
    </w:p>
    <w:p>
      <w:pPr>
        <w:pStyle w:val="12"/>
        <w:adjustRightInd w:val="0"/>
        <w:snapToGrid w:val="0"/>
        <w:spacing w:after="0" w:line="360" w:lineRule="auto"/>
        <w:ind w:firstLine="480" w:firstLineChars="200"/>
        <w:rPr>
          <w:rFonts w:hint="default" w:ascii="Times New Roman" w:hAnsi="Times New Roman" w:eastAsia="宋体" w:cs="Times New Roman"/>
          <w:b w:val="0"/>
          <w:color w:val="auto"/>
          <w:spacing w:val="0"/>
          <w:w w:val="100"/>
          <w:kern w:val="0"/>
          <w:position w:val="0"/>
          <w:sz w:val="24"/>
          <w:szCs w:val="24"/>
          <w:lang w:val="zh-CN" w:eastAsia="zh-CN" w:bidi="ar-SA"/>
        </w:rPr>
      </w:pPr>
      <w:r>
        <w:rPr>
          <w:rFonts w:hint="default" w:ascii="Times New Roman" w:hAnsi="Times New Roman" w:eastAsia="宋体" w:cs="Times New Roman"/>
          <w:b w:val="0"/>
          <w:color w:val="auto"/>
          <w:spacing w:val="0"/>
          <w:w w:val="100"/>
          <w:kern w:val="0"/>
          <w:position w:val="0"/>
          <w:sz w:val="24"/>
          <w:szCs w:val="24"/>
          <w:lang w:val="zh-CN" w:eastAsia="zh-CN" w:bidi="ar-SA"/>
        </w:rPr>
        <w:t>其中青贮饲料来源于周边农地玉米秸秆，在青贮窖内厌氧乳酸菌发酵的条件下制作成青贮饲料。精饲料在饲料加工车间通过机械破碎、人工混料后加工而成。在奶牛喂养过程中青贮饲料、干草、精饲料一同在TMR（全混合日粮）机中完全混合后喂养牛羊。</w:t>
      </w:r>
    </w:p>
    <w:p>
      <w:pPr>
        <w:pStyle w:val="12"/>
        <w:adjustRightInd w:val="0"/>
        <w:snapToGrid w:val="0"/>
        <w:spacing w:after="0" w:line="360" w:lineRule="auto"/>
        <w:ind w:firstLine="480" w:firstLineChars="200"/>
        <w:rPr>
          <w:rFonts w:hint="default" w:ascii="Times New Roman" w:hAnsi="Times New Roman" w:eastAsia="宋体" w:cs="Times New Roman"/>
          <w:b w:val="0"/>
          <w:color w:val="auto"/>
          <w:spacing w:val="0"/>
          <w:w w:val="100"/>
          <w:kern w:val="0"/>
          <w:position w:val="0"/>
          <w:sz w:val="24"/>
          <w:szCs w:val="24"/>
          <w:lang w:val="zh-CN" w:eastAsia="zh-CN" w:bidi="ar-SA"/>
        </w:rPr>
      </w:pPr>
      <w:r>
        <w:rPr>
          <w:rFonts w:hint="default" w:ascii="Times New Roman" w:hAnsi="Times New Roman" w:eastAsia="宋体" w:cs="Times New Roman"/>
          <w:b w:val="0"/>
          <w:color w:val="auto"/>
          <w:spacing w:val="0"/>
          <w:w w:val="100"/>
          <w:kern w:val="0"/>
          <w:position w:val="0"/>
          <w:sz w:val="24"/>
          <w:szCs w:val="24"/>
          <w:lang w:val="zh-CN" w:eastAsia="zh-CN" w:bidi="ar-SA"/>
        </w:rPr>
        <w:t>（1）饲料加工工艺</w:t>
      </w:r>
    </w:p>
    <w:p>
      <w:pPr>
        <w:pStyle w:val="12"/>
        <w:adjustRightInd w:val="0"/>
        <w:snapToGrid w:val="0"/>
        <w:spacing w:after="0" w:line="360" w:lineRule="auto"/>
        <w:ind w:firstLine="480" w:firstLineChars="200"/>
        <w:rPr>
          <w:rFonts w:hint="default" w:ascii="Times New Roman" w:hAnsi="Times New Roman" w:eastAsia="宋体" w:cs="Times New Roman"/>
          <w:b w:val="0"/>
          <w:color w:val="auto"/>
          <w:spacing w:val="0"/>
          <w:w w:val="100"/>
          <w:kern w:val="0"/>
          <w:position w:val="0"/>
          <w:sz w:val="24"/>
          <w:szCs w:val="24"/>
          <w:lang w:val="zh-CN" w:eastAsia="zh-CN" w:bidi="ar-SA"/>
        </w:rPr>
      </w:pPr>
      <w:r>
        <w:rPr>
          <w:rFonts w:hint="default" w:ascii="Times New Roman" w:hAnsi="Times New Roman" w:eastAsia="宋体" w:cs="Times New Roman"/>
          <w:b w:val="0"/>
          <w:color w:val="auto"/>
          <w:spacing w:val="0"/>
          <w:w w:val="100"/>
          <w:kern w:val="0"/>
          <w:position w:val="0"/>
          <w:sz w:val="24"/>
          <w:szCs w:val="24"/>
          <w:lang w:val="zh-CN" w:eastAsia="zh-CN" w:bidi="ar-SA"/>
        </w:rPr>
        <w:t>外购玉米等在饲料加工车间经机械破碎与其他辅料按比例经人工混料后加工成</w:t>
      </w:r>
    </w:p>
    <w:p>
      <w:pPr>
        <w:pStyle w:val="12"/>
        <w:adjustRightInd w:val="0"/>
        <w:snapToGrid w:val="0"/>
        <w:spacing w:after="0" w:line="360" w:lineRule="auto"/>
        <w:ind w:firstLine="480" w:firstLineChars="200"/>
        <w:rPr>
          <w:rFonts w:hint="default" w:ascii="Times New Roman" w:hAnsi="Times New Roman" w:eastAsia="宋体" w:cs="Times New Roman"/>
          <w:b w:val="0"/>
          <w:color w:val="auto"/>
          <w:spacing w:val="0"/>
          <w:w w:val="100"/>
          <w:kern w:val="0"/>
          <w:position w:val="0"/>
          <w:sz w:val="24"/>
          <w:szCs w:val="24"/>
          <w:lang w:val="zh-CN" w:eastAsia="zh-CN" w:bidi="ar-SA"/>
        </w:rPr>
      </w:pPr>
      <w:r>
        <w:rPr>
          <w:rFonts w:hint="default" w:ascii="Times New Roman" w:hAnsi="Times New Roman" w:eastAsia="宋体" w:cs="Times New Roman"/>
          <w:b w:val="0"/>
          <w:color w:val="auto"/>
          <w:spacing w:val="0"/>
          <w:w w:val="100"/>
          <w:kern w:val="0"/>
          <w:position w:val="0"/>
          <w:sz w:val="24"/>
          <w:szCs w:val="24"/>
          <w:lang w:val="zh-CN" w:eastAsia="zh-CN" w:bidi="ar-SA"/>
        </w:rPr>
        <w:t>精饲料，饲料加工车间年工作365d，每天3h，饲料加工工艺见图2.2-</w:t>
      </w:r>
      <w:r>
        <w:rPr>
          <w:rFonts w:hint="default" w:ascii="Times New Roman" w:hAnsi="Times New Roman" w:cs="Times New Roman"/>
          <w:b w:val="0"/>
          <w:color w:val="auto"/>
          <w:spacing w:val="0"/>
          <w:w w:val="100"/>
          <w:kern w:val="0"/>
          <w:position w:val="0"/>
          <w:sz w:val="24"/>
          <w:szCs w:val="24"/>
          <w:lang w:val="en-US" w:eastAsia="zh-CN" w:bidi="ar-SA"/>
        </w:rPr>
        <w:t>3</w:t>
      </w:r>
      <w:r>
        <w:rPr>
          <w:rFonts w:hint="default" w:ascii="Times New Roman" w:hAnsi="Times New Roman" w:eastAsia="宋体" w:cs="Times New Roman"/>
          <w:b w:val="0"/>
          <w:color w:val="auto"/>
          <w:spacing w:val="0"/>
          <w:w w:val="100"/>
          <w:kern w:val="0"/>
          <w:position w:val="0"/>
          <w:sz w:val="24"/>
          <w:szCs w:val="24"/>
          <w:lang w:val="zh-CN" w:eastAsia="zh-CN" w:bidi="ar-SA"/>
        </w:rPr>
        <w:t>。</w:t>
      </w:r>
    </w:p>
    <w:p>
      <w:pPr>
        <w:adjustRightInd w:val="0"/>
        <w:snapToGrid w:val="0"/>
        <w:jc w:val="both"/>
        <w:rPr>
          <w:rFonts w:hint="default" w:ascii="Times New Roman" w:hAnsi="Times New Roman" w:eastAsia="宋体" w:cs="Times New Roman"/>
          <w:b w:val="0"/>
          <w:bCs w:val="0"/>
          <w:color w:val="auto"/>
          <w:spacing w:val="0"/>
          <w:w w:val="100"/>
          <w:kern w:val="0"/>
          <w:position w:val="0"/>
          <w:sz w:val="24"/>
          <w:szCs w:val="24"/>
          <w:highlight w:val="none"/>
        </w:rPr>
      </w:pPr>
      <w:r>
        <w:rPr>
          <w:rFonts w:hint="default" w:ascii="Times New Roman" w:hAnsi="Times New Roman" w:cs="Times New Roman"/>
          <w:color w:val="auto"/>
        </w:rPr>
        <w:drawing>
          <wp:inline distT="0" distB="0" distL="114300" distR="114300">
            <wp:extent cx="5729605" cy="2725420"/>
            <wp:effectExtent l="0" t="0" r="4445" b="1778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26"/>
                    <a:stretch>
                      <a:fillRect/>
                    </a:stretch>
                  </pic:blipFill>
                  <pic:spPr>
                    <a:xfrm>
                      <a:off x="0" y="0"/>
                      <a:ext cx="5729605" cy="2725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图2.2-3</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饲料加工工艺流程图</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（2）青贮工艺</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青贮饲料制作流程为：</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①青贮原料</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本项目的青贮原料为玉米秸秆，青贮供应商根据青贮玉米的成熟程度，在乳熟后期至蜡熟前期进行及时收割，入窖时原料水分应控制在20-30％左右，一般以用手攥紧切碎的青贮原料有液体渗出而不下滴为宜，青贮玉米应含一定的可溶性糖(&gt;2％)，含糖量不足时，应掺入含糖量较高的青绿饲料或添加适量淀粉、糖蜜等。以免影响原料产量或青贮质量，甚至导致青贮失败，在果穗达到乳熟期，收割全株青贮。</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②切短</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为便于装填、踩实和乳酸发酵、取喂，青贮供应商需将青贮玉米破碎成2～3cm的长度，满足本项目青贮饲料的入窑标准。</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③装填</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项目在装填前先在窑底铺上：30cm厚的垫草，青贮原料通过汽车运输至青储池内，通过装载机迅速装入窑内，装填时要边装料边用装载机层层压实，尽量排除空气。</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④封窑</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青贮池全部为地面式青贮窖，地面为水泥抹面，方便青贮饲料的储用。当青贮饲料高出窑沿60cm时进行封窑，采用防老化的三层共挤内冷复合聚乙烯薄膜（长度和宽度根据窖的大小而定），从一端铺至另一端，复合聚乙烯薄膜的宽度要余出窑体30~40厘米，在窖口薄膜上加一定量的土，以保证其密封性，最后在薄膜上放置废旧轮胎进行压覆，以保证薄膜不会被风吹起或刮烂。</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⑤青贮饲料取用</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eastAsia="zh-CN"/>
        </w:rPr>
      </w:pPr>
      <w:r>
        <w:rPr>
          <w:rFonts w:hint="default" w:ascii="Times New Roman" w:hAnsi="Times New Roman" w:eastAsia="宋体" w:cs="Times New Roman"/>
          <w:color w:val="auto"/>
          <w:spacing w:val="0"/>
          <w:w w:val="100"/>
          <w:kern w:val="0"/>
          <w:position w:val="0"/>
          <w:sz w:val="24"/>
          <w:highlight w:val="none"/>
          <w:lang w:val="zh-CN" w:eastAsia="zh-CN"/>
        </w:rPr>
        <w:t>饲料青贮后30～50d便可开窑取喂。取料从窖口开始取用，并逐步向窖内推进，取料后随即盖严取料口。</w:t>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3100" cy="1057910"/>
            <wp:effectExtent l="0" t="0" r="0" b="889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753100" cy="1057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图2.2-4</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青贮饲料加工工艺流程图</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551" w:name="_Toc26839"/>
      <w:bookmarkStart w:id="552" w:name="_Toc31697"/>
      <w:bookmarkStart w:id="553" w:name="_Toc21360"/>
      <w:bookmarkStart w:id="554" w:name="_Toc8852"/>
      <w:r>
        <w:rPr>
          <w:rFonts w:hint="default" w:ascii="Times New Roman" w:hAnsi="Times New Roman" w:eastAsia="宋体" w:cs="Times New Roman"/>
          <w:snapToGrid w:val="0"/>
          <w:color w:val="auto"/>
          <w:spacing w:val="0"/>
          <w:w w:val="100"/>
          <w:kern w:val="0"/>
          <w:position w:val="0"/>
          <w:highlight w:val="none"/>
          <w:lang w:val="en-US" w:eastAsia="zh-CN"/>
        </w:rPr>
        <w:t>2.3施工期污染因素分析</w:t>
      </w:r>
      <w:bookmarkEnd w:id="551"/>
      <w:bookmarkEnd w:id="552"/>
      <w:bookmarkEnd w:id="553"/>
      <w:bookmarkEnd w:id="554"/>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highlight w:val="none"/>
          <w:lang w:val="zh-CN"/>
        </w:rPr>
        <w:t>本项目建设地点位于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bCs/>
          <w:color w:val="auto"/>
          <w:spacing w:val="0"/>
          <w:w w:val="100"/>
          <w:kern w:val="0"/>
          <w:position w:val="0"/>
          <w:sz w:val="24"/>
          <w:highlight w:val="none"/>
          <w:lang w:val="zh-CN"/>
        </w:rPr>
        <w:t>，</w:t>
      </w:r>
      <w:r>
        <w:rPr>
          <w:rFonts w:hint="default" w:ascii="Times New Roman" w:hAnsi="Times New Roman" w:eastAsia="宋体" w:cs="Times New Roman"/>
          <w:color w:val="auto"/>
          <w:spacing w:val="0"/>
          <w:w w:val="100"/>
          <w:kern w:val="0"/>
          <w:position w:val="0"/>
          <w:sz w:val="24"/>
          <w:szCs w:val="22"/>
          <w:highlight w:val="none"/>
        </w:rPr>
        <w:t>针对项目实际和当地气候、环境等特点，项目在施工期对环境的主要污染因素有废气和扬尘、废水、噪声、建筑施工垃圾和生态植被破坏等。</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55" w:name="_Toc25646"/>
      <w:bookmarkStart w:id="556" w:name="_Toc30739"/>
      <w:r>
        <w:rPr>
          <w:rFonts w:hint="default" w:ascii="Times New Roman" w:hAnsi="Times New Roman" w:eastAsia="宋体" w:cs="Times New Roman"/>
          <w:snapToGrid w:val="0"/>
          <w:color w:val="auto"/>
          <w:spacing w:val="0"/>
          <w:w w:val="100"/>
          <w:kern w:val="0"/>
          <w:position w:val="0"/>
          <w:sz w:val="28"/>
          <w:szCs w:val="28"/>
          <w:highlight w:val="none"/>
          <w:lang w:val="en-US" w:eastAsia="zh-CN"/>
        </w:rPr>
        <w:t>2.3.1施工期废气</w:t>
      </w:r>
      <w:bookmarkEnd w:id="555"/>
      <w:bookmarkEnd w:id="556"/>
    </w:p>
    <w:p>
      <w:pPr>
        <w:pStyle w:val="16"/>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施工期间对环境空气影响最大的是扬尘，来源于各种无组织排放源。主要表现在以下几方面：</w:t>
      </w:r>
    </w:p>
    <w:p>
      <w:pPr>
        <w:pStyle w:val="16"/>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①养殖场土方的挖掘、堆放、清运、回填和场地平整等过程产生的扬尘。</w:t>
      </w:r>
    </w:p>
    <w:p>
      <w:pPr>
        <w:pStyle w:val="16"/>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②养殖场建设过程中建筑材料如水泥、砂子以及土方等在其装卸、运输、堆放等过程中，因风力作用而产生的扬尘污染。</w:t>
      </w:r>
    </w:p>
    <w:p>
      <w:pPr>
        <w:pStyle w:val="16"/>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③运输车辆往来造成地面扬尘。</w:t>
      </w:r>
    </w:p>
    <w:p>
      <w:pPr>
        <w:pStyle w:val="16"/>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④施工垃圾堆放及清运过程中产生扬尘。</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57" w:name="_Toc7085"/>
      <w:bookmarkStart w:id="558" w:name="_Toc15449"/>
      <w:r>
        <w:rPr>
          <w:rFonts w:hint="default" w:ascii="Times New Roman" w:hAnsi="Times New Roman" w:eastAsia="宋体" w:cs="Times New Roman"/>
          <w:snapToGrid w:val="0"/>
          <w:color w:val="auto"/>
          <w:spacing w:val="0"/>
          <w:w w:val="100"/>
          <w:kern w:val="0"/>
          <w:position w:val="0"/>
          <w:sz w:val="28"/>
          <w:szCs w:val="28"/>
          <w:highlight w:val="none"/>
          <w:lang w:val="en-US" w:eastAsia="zh-CN"/>
        </w:rPr>
        <w:t>2.3.2施工期废水</w:t>
      </w:r>
      <w:bookmarkEnd w:id="557"/>
      <w:bookmarkEnd w:id="558"/>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本项目施工期废水主要是施工人员的日常生活污水和进出车辆除泥冲洗废水。</w:t>
      </w:r>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本项目施工高峰期约有</w:t>
      </w:r>
      <w:r>
        <w:rPr>
          <w:rFonts w:hint="default" w:ascii="Times New Roman" w:hAnsi="Times New Roman" w:eastAsia="宋体" w:cs="Times New Roman"/>
          <w:color w:val="auto"/>
          <w:spacing w:val="0"/>
          <w:w w:val="100"/>
          <w:kern w:val="0"/>
          <w:position w:val="0"/>
          <w:sz w:val="24"/>
          <w:szCs w:val="22"/>
          <w:highlight w:val="none"/>
          <w:lang w:val="en-US" w:eastAsia="zh-CN"/>
        </w:rPr>
        <w:t>30</w:t>
      </w:r>
      <w:r>
        <w:rPr>
          <w:rFonts w:hint="default" w:ascii="Times New Roman" w:hAnsi="Times New Roman" w:eastAsia="宋体" w:cs="Times New Roman"/>
          <w:color w:val="auto"/>
          <w:spacing w:val="0"/>
          <w:w w:val="100"/>
          <w:kern w:val="0"/>
          <w:position w:val="0"/>
          <w:sz w:val="24"/>
          <w:szCs w:val="22"/>
          <w:highlight w:val="none"/>
        </w:rPr>
        <w:t>人，</w:t>
      </w:r>
      <w:r>
        <w:rPr>
          <w:rFonts w:hint="default" w:ascii="Times New Roman" w:hAnsi="Times New Roman" w:eastAsia="宋体" w:cs="Times New Roman"/>
          <w:color w:val="auto"/>
          <w:spacing w:val="0"/>
          <w:w w:val="100"/>
          <w:kern w:val="0"/>
          <w:position w:val="0"/>
          <w:sz w:val="24"/>
          <w:szCs w:val="22"/>
          <w:highlight w:val="none"/>
          <w:lang w:eastAsia="zh-CN"/>
        </w:rPr>
        <w:t>施工人员不在厂区食宿，</w:t>
      </w:r>
      <w:r>
        <w:rPr>
          <w:rFonts w:hint="default" w:ascii="Times New Roman" w:hAnsi="Times New Roman" w:eastAsia="宋体" w:cs="Times New Roman"/>
          <w:color w:val="auto"/>
          <w:spacing w:val="0"/>
          <w:w w:val="100"/>
          <w:kern w:val="0"/>
          <w:position w:val="0"/>
          <w:sz w:val="24"/>
          <w:szCs w:val="22"/>
          <w:highlight w:val="none"/>
        </w:rPr>
        <w:t>项目施工期6月（施工时间按照180d计），用水量按</w:t>
      </w:r>
      <w:r>
        <w:rPr>
          <w:rFonts w:hint="default" w:ascii="Times New Roman" w:hAnsi="Times New Roman" w:eastAsia="宋体" w:cs="Times New Roman"/>
          <w:color w:val="auto"/>
          <w:spacing w:val="0"/>
          <w:w w:val="100"/>
          <w:kern w:val="0"/>
          <w:position w:val="0"/>
          <w:sz w:val="24"/>
          <w:szCs w:val="22"/>
          <w:highlight w:val="none"/>
          <w:lang w:val="en-US" w:eastAsia="zh-CN"/>
        </w:rPr>
        <w:t>50</w:t>
      </w:r>
      <w:r>
        <w:rPr>
          <w:rFonts w:hint="default" w:ascii="Times New Roman" w:hAnsi="Times New Roman" w:eastAsia="宋体" w:cs="Times New Roman"/>
          <w:color w:val="auto"/>
          <w:spacing w:val="0"/>
          <w:w w:val="100"/>
          <w:kern w:val="0"/>
          <w:position w:val="0"/>
          <w:sz w:val="24"/>
          <w:szCs w:val="22"/>
          <w:highlight w:val="none"/>
        </w:rPr>
        <w:t>L/人.d计，则生活用水量为</w:t>
      </w:r>
      <w:r>
        <w:rPr>
          <w:rFonts w:hint="default" w:ascii="Times New Roman" w:hAnsi="Times New Roman" w:eastAsia="宋体" w:cs="Times New Roman"/>
          <w:color w:val="auto"/>
          <w:spacing w:val="0"/>
          <w:w w:val="100"/>
          <w:kern w:val="0"/>
          <w:position w:val="0"/>
          <w:sz w:val="24"/>
          <w:szCs w:val="22"/>
          <w:highlight w:val="none"/>
          <w:lang w:val="en-US" w:eastAsia="zh-CN"/>
        </w:rPr>
        <w:t>1</w:t>
      </w:r>
      <w:r>
        <w:rPr>
          <w:rFonts w:hint="default" w:ascii="Times New Roman" w:hAnsi="Times New Roman" w:eastAsia="宋体" w:cs="Times New Roman"/>
          <w:color w:val="auto"/>
          <w:spacing w:val="0"/>
          <w:w w:val="100"/>
          <w:kern w:val="0"/>
          <w:position w:val="0"/>
          <w:sz w:val="24"/>
          <w:szCs w:val="22"/>
          <w:highlight w:val="none"/>
        </w:rPr>
        <w:t>.5m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/d（</w:t>
      </w:r>
      <w:r>
        <w:rPr>
          <w:rFonts w:hint="default" w:ascii="Times New Roman" w:hAnsi="Times New Roman" w:eastAsia="宋体" w:cs="Times New Roman"/>
          <w:color w:val="auto"/>
          <w:spacing w:val="0"/>
          <w:w w:val="100"/>
          <w:kern w:val="0"/>
          <w:position w:val="0"/>
          <w:sz w:val="24"/>
          <w:szCs w:val="22"/>
          <w:highlight w:val="none"/>
          <w:lang w:val="en-US" w:eastAsia="zh-CN"/>
        </w:rPr>
        <w:t>270</w:t>
      </w:r>
      <w:r>
        <w:rPr>
          <w:rFonts w:hint="default" w:ascii="Times New Roman" w:hAnsi="Times New Roman" w:eastAsia="宋体" w:cs="Times New Roman"/>
          <w:color w:val="auto"/>
          <w:spacing w:val="0"/>
          <w:w w:val="100"/>
          <w:kern w:val="0"/>
          <w:position w:val="0"/>
          <w:sz w:val="24"/>
          <w:szCs w:val="22"/>
          <w:highlight w:val="none"/>
        </w:rPr>
        <w:t>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项目施工场地设旱厕，定期清掏，用于周边农田施肥，施工人员产生的废水为盥洗水，洒水抑尘；本项目使用商品混凝土，无建筑施工废水产生。施工期产生的废水主要为进出车辆除泥冲洗废水，主要污染物为SS、石油类。</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59" w:name="_Toc10056"/>
      <w:bookmarkStart w:id="560" w:name="_Toc27183"/>
      <w:r>
        <w:rPr>
          <w:rFonts w:hint="default" w:ascii="Times New Roman" w:hAnsi="Times New Roman" w:eastAsia="宋体" w:cs="Times New Roman"/>
          <w:snapToGrid w:val="0"/>
          <w:color w:val="auto"/>
          <w:spacing w:val="0"/>
          <w:w w:val="100"/>
          <w:kern w:val="0"/>
          <w:position w:val="0"/>
          <w:sz w:val="28"/>
          <w:szCs w:val="28"/>
          <w:highlight w:val="none"/>
          <w:lang w:val="en-US" w:eastAsia="zh-CN"/>
        </w:rPr>
        <w:t>2.3.3施工期噪声</w:t>
      </w:r>
      <w:bookmarkEnd w:id="559"/>
      <w:bookmarkEnd w:id="560"/>
    </w:p>
    <w:p>
      <w:pPr>
        <w:pStyle w:val="16"/>
        <w:snapToGrid/>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根据本项目的建设内容及施工特征，其主要的噪声影响环节为：土石方及基础施工阶段推土机、挖掘机及运输车辆的移动声源影响；设备安装阶段吊车、升降机等产生的噪声影响。施工期各声源源强调查结果见表2.</w:t>
      </w:r>
      <w:r>
        <w:rPr>
          <w:rFonts w:hint="default" w:ascii="Times New Roman" w:hAnsi="Times New Roman" w:eastAsia="宋体" w:cs="Times New Roman"/>
          <w:color w:val="auto"/>
          <w:spacing w:val="0"/>
          <w:w w:val="100"/>
          <w:kern w:val="0"/>
          <w:position w:val="0"/>
          <w:sz w:val="24"/>
          <w:szCs w:val="22"/>
          <w:highlight w:val="none"/>
          <w:lang w:val="en-US" w:eastAsia="zh-CN"/>
        </w:rPr>
        <w:t>3</w:t>
      </w:r>
      <w:r>
        <w:rPr>
          <w:rFonts w:hint="default" w:ascii="Times New Roman" w:hAnsi="Times New Roman" w:eastAsia="宋体" w:cs="Times New Roman"/>
          <w:color w:val="auto"/>
          <w:spacing w:val="0"/>
          <w:w w:val="100"/>
          <w:kern w:val="0"/>
          <w:position w:val="0"/>
          <w:sz w:val="24"/>
          <w:szCs w:val="22"/>
          <w:highlight w:val="none"/>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表2.3-1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施工中主要施工机械噪声值</w:t>
      </w:r>
    </w:p>
    <w:tbl>
      <w:tblPr>
        <w:tblStyle w:val="25"/>
        <w:tblW w:w="8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2090"/>
        <w:gridCol w:w="2276"/>
        <w:gridCol w:w="2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6" w:type="dxa"/>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施工阶段</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施工机械设备名称</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声级</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声源性质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vMerge w:val="restar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土石方及基础施工</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阶段</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推土机</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78～96</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挖掘机</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85～95</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装载机</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各种运输车辆</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70～80</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vMerge w:val="restar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设备安装阶段</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吊车</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70～80</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276"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升降机</w:t>
            </w:r>
          </w:p>
        </w:tc>
        <w:tc>
          <w:tcPr>
            <w:tcW w:w="2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70～80</w:t>
            </w:r>
          </w:p>
        </w:tc>
        <w:tc>
          <w:tcPr>
            <w:tcW w:w="227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间歇性</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61" w:name="_Toc22171"/>
      <w:bookmarkStart w:id="562" w:name="_Toc5479"/>
      <w:r>
        <w:rPr>
          <w:rFonts w:hint="default" w:ascii="Times New Roman" w:hAnsi="Times New Roman" w:eastAsia="宋体" w:cs="Times New Roman"/>
          <w:snapToGrid w:val="0"/>
          <w:color w:val="auto"/>
          <w:spacing w:val="0"/>
          <w:w w:val="100"/>
          <w:kern w:val="0"/>
          <w:position w:val="0"/>
          <w:sz w:val="28"/>
          <w:szCs w:val="28"/>
          <w:highlight w:val="none"/>
          <w:lang w:val="en-US" w:eastAsia="zh-CN"/>
        </w:rPr>
        <w:t>2.3.4施工期固体废物</w:t>
      </w:r>
      <w:bookmarkEnd w:id="561"/>
      <w:bookmarkEnd w:id="562"/>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施工期产生的固体废物主要为生活垃圾及建筑垃圾，若处理不当，如随意弃置，将对周围环境产生一定的不利影响，尤以对生态环境、土壤、土地资源、环境空气和地下水等方面的影响突出。</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63" w:name="_Toc18295"/>
      <w:bookmarkStart w:id="564" w:name="_Toc22766"/>
      <w:r>
        <w:rPr>
          <w:rFonts w:hint="default" w:ascii="Times New Roman" w:hAnsi="Times New Roman" w:eastAsia="宋体" w:cs="Times New Roman"/>
          <w:snapToGrid w:val="0"/>
          <w:color w:val="auto"/>
          <w:spacing w:val="0"/>
          <w:w w:val="100"/>
          <w:kern w:val="0"/>
          <w:position w:val="0"/>
          <w:sz w:val="28"/>
          <w:szCs w:val="28"/>
          <w:highlight w:val="none"/>
          <w:lang w:val="en-US" w:eastAsia="zh-CN"/>
        </w:rPr>
        <w:t>2.3.5生态环境</w:t>
      </w:r>
      <w:bookmarkEnd w:id="563"/>
      <w:bookmarkEnd w:id="564"/>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建设占地对周围动植物生态环境有一定影响，主要是在施工过程中的开挖、回填将对地表产生扰动，受扰动的裸露地表易发生水土流失。项目区建设前土地利用状况为设施农用地，在场区四周种植大面积绿化植被。</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经现场调查，项目所在区域现状为</w:t>
      </w:r>
      <w:r>
        <w:rPr>
          <w:rFonts w:hint="default" w:ascii="Times New Roman" w:hAnsi="Times New Roman" w:eastAsia="宋体" w:cs="Times New Roman"/>
          <w:color w:val="auto"/>
          <w:spacing w:val="0"/>
          <w:w w:val="100"/>
          <w:kern w:val="0"/>
          <w:position w:val="0"/>
          <w:sz w:val="24"/>
          <w:szCs w:val="22"/>
          <w:highlight w:val="none"/>
          <w:lang w:eastAsia="zh-CN"/>
        </w:rPr>
        <w:t>农田</w:t>
      </w:r>
      <w:r>
        <w:rPr>
          <w:rFonts w:hint="default" w:ascii="Times New Roman" w:hAnsi="Times New Roman" w:eastAsia="宋体" w:cs="Times New Roman"/>
          <w:color w:val="auto"/>
          <w:spacing w:val="0"/>
          <w:w w:val="100"/>
          <w:kern w:val="0"/>
          <w:position w:val="0"/>
          <w:sz w:val="24"/>
          <w:szCs w:val="22"/>
          <w:highlight w:val="none"/>
        </w:rPr>
        <w:t>，项目施工期间由于各种施工机械、运输车辆进入施工现场，运输车辆产生的扬尘和排放的尾气将对该区域环境产生一定的影响。此外，项目区在建设期间，由于土地使用功能发生变化，施工过程中，所有植被都被去除，这样表面植被就遭到了短期破坏。随着工程建设的完成，除被永久性占用外，部分地段植被通过绿化措施得到恢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项目区域范围内野生动物</w:t>
      </w:r>
      <w:r>
        <w:rPr>
          <w:rFonts w:hint="default" w:ascii="Times New Roman" w:hAnsi="Times New Roman" w:eastAsia="宋体" w:cs="Times New Roman"/>
          <w:color w:val="auto"/>
          <w:spacing w:val="0"/>
          <w:w w:val="100"/>
          <w:kern w:val="0"/>
          <w:position w:val="0"/>
          <w:sz w:val="24"/>
          <w:szCs w:val="22"/>
          <w:highlight w:val="none"/>
          <w:lang w:eastAsia="zh-CN"/>
        </w:rPr>
        <w:t>种类</w:t>
      </w:r>
      <w:r>
        <w:rPr>
          <w:rFonts w:hint="default" w:ascii="Times New Roman" w:hAnsi="Times New Roman" w:eastAsia="宋体" w:cs="Times New Roman"/>
          <w:color w:val="auto"/>
          <w:spacing w:val="0"/>
          <w:w w:val="100"/>
          <w:kern w:val="0"/>
          <w:position w:val="0"/>
          <w:sz w:val="24"/>
          <w:szCs w:val="22"/>
          <w:highlight w:val="none"/>
        </w:rPr>
        <w:t>、数量均很少，主要是一些常见种类，兽类有野兔和鼠类，爬行类主要有沙蜥；鸟类主要有麻雀、喜鹊等常见种，没有国家级保护动物及珍稀濒危保护动物。项目施工影响范围较小，项目施工期不会对区域内的野生动物产生较大影响。</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565" w:name="_Toc16121"/>
      <w:bookmarkStart w:id="566" w:name="_Toc26412"/>
      <w:bookmarkStart w:id="567" w:name="_Toc8518"/>
      <w:bookmarkStart w:id="568" w:name="_Toc10545"/>
      <w:bookmarkStart w:id="569" w:name="_Toc21444"/>
      <w:r>
        <w:rPr>
          <w:rFonts w:hint="default" w:ascii="Times New Roman" w:hAnsi="Times New Roman" w:eastAsia="宋体" w:cs="Times New Roman"/>
          <w:snapToGrid w:val="0"/>
          <w:color w:val="auto"/>
          <w:spacing w:val="0"/>
          <w:w w:val="100"/>
          <w:kern w:val="0"/>
          <w:position w:val="0"/>
          <w:highlight w:val="none"/>
          <w:lang w:val="en-US" w:eastAsia="zh-CN"/>
        </w:rPr>
        <w:t>2.4运营期污染因素分析</w:t>
      </w:r>
      <w:bookmarkEnd w:id="565"/>
      <w:bookmarkEnd w:id="566"/>
      <w:bookmarkEnd w:id="567"/>
      <w:bookmarkEnd w:id="568"/>
      <w:bookmarkEnd w:id="569"/>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70" w:name="_Toc31267"/>
      <w:bookmarkStart w:id="571" w:name="_Toc11261"/>
      <w:r>
        <w:rPr>
          <w:rFonts w:hint="default" w:ascii="Times New Roman" w:hAnsi="Times New Roman" w:eastAsia="宋体" w:cs="Times New Roman"/>
          <w:snapToGrid w:val="0"/>
          <w:color w:val="auto"/>
          <w:spacing w:val="0"/>
          <w:w w:val="100"/>
          <w:kern w:val="0"/>
          <w:position w:val="0"/>
          <w:sz w:val="28"/>
          <w:szCs w:val="28"/>
          <w:highlight w:val="none"/>
          <w:lang w:val="en-US" w:eastAsia="zh-CN"/>
        </w:rPr>
        <w:t>2.4.1废气</w:t>
      </w:r>
      <w:bookmarkEnd w:id="570"/>
      <w:bookmarkEnd w:id="571"/>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本项目运营期废气主要为</w:t>
      </w:r>
      <w:r>
        <w:rPr>
          <w:rFonts w:hint="eastAsia" w:ascii="Times New Roman" w:hAnsi="Times New Roman" w:cs="Times New Roman"/>
          <w:color w:val="auto"/>
          <w:spacing w:val="0"/>
          <w:w w:val="100"/>
          <w:kern w:val="0"/>
          <w:position w:val="0"/>
          <w:sz w:val="24"/>
          <w:szCs w:val="24"/>
          <w:highlight w:val="none"/>
          <w:lang w:eastAsia="zh-CN"/>
        </w:rPr>
        <w:t>牛舍</w:t>
      </w:r>
      <w:r>
        <w:rPr>
          <w:rFonts w:hint="default" w:ascii="Times New Roman" w:hAnsi="Times New Roman" w:eastAsia="宋体" w:cs="Times New Roman"/>
          <w:color w:val="auto"/>
          <w:spacing w:val="0"/>
          <w:w w:val="100"/>
          <w:kern w:val="0"/>
          <w:position w:val="0"/>
          <w:sz w:val="24"/>
          <w:szCs w:val="24"/>
          <w:highlight w:val="none"/>
        </w:rPr>
        <w:t>、</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及污水处理区产生的恶臭</w:t>
      </w:r>
      <w:r>
        <w:rPr>
          <w:rFonts w:hint="default" w:ascii="Times New Roman" w:hAnsi="Times New Roman" w:eastAsia="宋体" w:cs="Times New Roman"/>
          <w:color w:val="auto"/>
          <w:spacing w:val="0"/>
          <w:w w:val="100"/>
          <w:kern w:val="0"/>
          <w:position w:val="0"/>
          <w:highlight w:val="none"/>
        </w:rPr>
        <w:t>、</w:t>
      </w:r>
      <w:r>
        <w:rPr>
          <w:rFonts w:hint="default" w:ascii="Times New Roman" w:hAnsi="Times New Roman" w:eastAsia="宋体" w:cs="Times New Roman"/>
          <w:color w:val="auto"/>
          <w:spacing w:val="0"/>
          <w:w w:val="100"/>
          <w:kern w:val="0"/>
          <w:position w:val="0"/>
          <w:sz w:val="24"/>
          <w:szCs w:val="24"/>
          <w:highlight w:val="none"/>
        </w:rPr>
        <w:t>粉碎机产生的粉尘。</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养殖场恶臭的主要来源是牲畜粪便出体外之后的腐败分解以及</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，属于无组织排放。粪便会产生NH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S等恶臭有害气体，若未及时清除或清除后不能及时处理，将会使臭味成倍增加，并会孳生大量蚊蝇，影响环境卫生。本项目对</w:t>
      </w:r>
      <w:r>
        <w:rPr>
          <w:rFonts w:hint="eastAsia" w:ascii="Times New Roman" w:hAnsi="Times New Roman" w:cs="Times New Roman"/>
          <w:color w:val="auto"/>
          <w:spacing w:val="0"/>
          <w:w w:val="100"/>
          <w:kern w:val="0"/>
          <w:position w:val="0"/>
          <w:sz w:val="24"/>
          <w:szCs w:val="24"/>
          <w:highlight w:val="none"/>
          <w:lang w:eastAsia="zh-CN"/>
        </w:rPr>
        <w:t>牛舍</w:t>
      </w:r>
      <w:r>
        <w:rPr>
          <w:rFonts w:hint="default" w:ascii="Times New Roman" w:hAnsi="Times New Roman" w:eastAsia="宋体" w:cs="Times New Roman"/>
          <w:color w:val="auto"/>
          <w:spacing w:val="0"/>
          <w:w w:val="100"/>
          <w:kern w:val="0"/>
          <w:position w:val="0"/>
          <w:sz w:val="24"/>
          <w:szCs w:val="24"/>
          <w:highlight w:val="none"/>
        </w:rPr>
        <w:t>及运动场的牛粪，采用干清粪方式及时进行清理，定期消毒，喷洒除臭剂（生石灰）等；</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加强过程控制和清运管理，减少牛粪堆存，定期消毒，在牛粪干湿分离、</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等加入对粪污有降解除臭的特定微生物菌；污水处理区各类池体加盖封闭，加强周边绿化、喷洒除臭剂；饲养过程需科学管理、调配饲料等措施治理恶臭。</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⑴</w:t>
      </w:r>
      <w:r>
        <w:rPr>
          <w:rFonts w:hint="eastAsia" w:ascii="Times New Roman" w:hAnsi="Times New Roman" w:cs="Times New Roman"/>
          <w:color w:val="auto"/>
          <w:spacing w:val="0"/>
          <w:w w:val="100"/>
          <w:kern w:val="0"/>
          <w:position w:val="0"/>
          <w:sz w:val="24"/>
          <w:szCs w:val="24"/>
          <w:highlight w:val="none"/>
          <w:lang w:eastAsia="zh-CN"/>
        </w:rPr>
        <w:t>牛舍</w:t>
      </w:r>
      <w:r>
        <w:rPr>
          <w:rFonts w:hint="default" w:ascii="Times New Roman" w:hAnsi="Times New Roman" w:eastAsia="宋体" w:cs="Times New Roman"/>
          <w:color w:val="auto"/>
          <w:spacing w:val="0"/>
          <w:w w:val="100"/>
          <w:kern w:val="0"/>
          <w:position w:val="0"/>
          <w:sz w:val="24"/>
          <w:szCs w:val="24"/>
          <w:highlight w:val="none"/>
        </w:rPr>
        <w:t>恶臭</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szCs w:val="22"/>
          <w:highlight w:val="none"/>
        </w:rPr>
        <w:t>根据《中国乳品工程》（2011年第39卷第8期）中《奶牛粪尿中含氮量、NH</w:t>
      </w:r>
      <w:r>
        <w:rPr>
          <w:rFonts w:hint="default" w:ascii="Times New Roman" w:hAnsi="Times New Roman" w:eastAsia="宋体" w:cs="Times New Roman"/>
          <w:color w:val="auto"/>
          <w:spacing w:val="0"/>
          <w:w w:val="100"/>
          <w:kern w:val="0"/>
          <w:position w:val="0"/>
          <w:sz w:val="24"/>
          <w:szCs w:val="22"/>
          <w:highlight w:val="none"/>
          <w:vertAlign w:val="subscript"/>
        </w:rPr>
        <w:t>3</w:t>
      </w:r>
      <w:r>
        <w:rPr>
          <w:rFonts w:hint="default" w:ascii="Times New Roman" w:hAnsi="Times New Roman" w:eastAsia="宋体" w:cs="Times New Roman"/>
          <w:color w:val="auto"/>
          <w:spacing w:val="0"/>
          <w:w w:val="100"/>
          <w:kern w:val="0"/>
          <w:position w:val="0"/>
          <w:sz w:val="24"/>
          <w:szCs w:val="22"/>
          <w:highlight w:val="none"/>
        </w:rPr>
        <w:t>和H</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S散发量的比较》文章中，奶牛粪便中氨气散发量为0.018mg/g，H</w:t>
      </w:r>
      <w:r>
        <w:rPr>
          <w:rFonts w:hint="default" w:ascii="Times New Roman" w:hAnsi="Times New Roman" w:eastAsia="宋体" w:cs="Times New Roman"/>
          <w:color w:val="auto"/>
          <w:spacing w:val="0"/>
          <w:w w:val="100"/>
          <w:kern w:val="0"/>
          <w:position w:val="0"/>
          <w:sz w:val="24"/>
          <w:szCs w:val="22"/>
          <w:highlight w:val="none"/>
          <w:vertAlign w:val="subscript"/>
        </w:rPr>
        <w:t>2</w:t>
      </w:r>
      <w:r>
        <w:rPr>
          <w:rFonts w:hint="default" w:ascii="Times New Roman" w:hAnsi="Times New Roman" w:eastAsia="宋体" w:cs="Times New Roman"/>
          <w:color w:val="auto"/>
          <w:spacing w:val="0"/>
          <w:w w:val="100"/>
          <w:kern w:val="0"/>
          <w:position w:val="0"/>
          <w:sz w:val="24"/>
          <w:szCs w:val="22"/>
          <w:highlight w:val="none"/>
        </w:rPr>
        <w:t>S散发量为0.002mg/g。</w:t>
      </w:r>
      <w:r>
        <w:rPr>
          <w:rFonts w:hint="default" w:ascii="Times New Roman" w:hAnsi="Times New Roman" w:eastAsia="宋体" w:cs="Times New Roman"/>
          <w:color w:val="auto"/>
          <w:spacing w:val="0"/>
          <w:w w:val="100"/>
          <w:kern w:val="0"/>
          <w:position w:val="0"/>
          <w:sz w:val="24"/>
          <w:highlight w:val="none"/>
          <w:lang w:val="zh-CN"/>
        </w:rPr>
        <w:t>根据《排污许可证申请与核发技术规范 畜禽养殖行业》各类污染物产生量中奶牛，牛粪</w:t>
      </w:r>
      <w:r>
        <w:rPr>
          <w:rFonts w:hint="default" w:ascii="Times New Roman" w:hAnsi="Times New Roman" w:eastAsia="宋体" w:cs="Times New Roman"/>
          <w:color w:val="auto"/>
          <w:spacing w:val="0"/>
          <w:w w:val="100"/>
          <w:kern w:val="0"/>
          <w:position w:val="0"/>
          <w:sz w:val="24"/>
          <w:szCs w:val="24"/>
          <w:highlight w:val="none"/>
          <w:lang w:val="zh-CN"/>
        </w:rPr>
        <w:t>（含尿液）</w:t>
      </w:r>
      <w:r>
        <w:rPr>
          <w:rFonts w:hint="default" w:ascii="Times New Roman" w:hAnsi="Times New Roman" w:eastAsia="宋体" w:cs="Times New Roman"/>
          <w:color w:val="auto"/>
          <w:spacing w:val="0"/>
          <w:w w:val="100"/>
          <w:kern w:val="0"/>
          <w:position w:val="0"/>
          <w:sz w:val="24"/>
          <w:highlight w:val="none"/>
          <w:lang w:val="zh-CN"/>
        </w:rPr>
        <w:t>量为</w:t>
      </w:r>
      <w:r>
        <w:rPr>
          <w:rFonts w:hint="default" w:ascii="Times New Roman" w:hAnsi="Times New Roman" w:eastAsia="宋体" w:cs="Times New Roman"/>
          <w:color w:val="auto"/>
          <w:spacing w:val="0"/>
          <w:w w:val="100"/>
          <w:kern w:val="0"/>
          <w:position w:val="0"/>
          <w:sz w:val="24"/>
          <w:highlight w:val="none"/>
        </w:rPr>
        <w:t>25.71</w:t>
      </w:r>
      <w:r>
        <w:rPr>
          <w:rFonts w:hint="default" w:ascii="Times New Roman" w:hAnsi="Times New Roman" w:eastAsia="宋体" w:cs="Times New Roman"/>
          <w:color w:val="auto"/>
          <w:spacing w:val="0"/>
          <w:w w:val="100"/>
          <w:kern w:val="0"/>
          <w:position w:val="0"/>
          <w:sz w:val="24"/>
          <w:highlight w:val="none"/>
          <w:lang w:val="zh-CN"/>
        </w:rPr>
        <w:t>kg/头·d（奶牛）。本项目厂区</w:t>
      </w:r>
      <w:r>
        <w:rPr>
          <w:rFonts w:hint="eastAsia" w:ascii="Times New Roman" w:hAnsi="Times New Roman" w:cs="Times New Roman"/>
          <w:color w:val="auto"/>
          <w:spacing w:val="0"/>
          <w:w w:val="100"/>
          <w:kern w:val="0"/>
          <w:position w:val="0"/>
          <w:sz w:val="24"/>
          <w:highlight w:val="none"/>
          <w:lang w:val="zh-CN"/>
        </w:rPr>
        <w:t>牛舍</w:t>
      </w:r>
      <w:r>
        <w:rPr>
          <w:rFonts w:hint="default" w:ascii="Times New Roman" w:hAnsi="Times New Roman" w:eastAsia="宋体" w:cs="Times New Roman"/>
          <w:color w:val="auto"/>
          <w:spacing w:val="0"/>
          <w:w w:val="100"/>
          <w:kern w:val="0"/>
          <w:position w:val="0"/>
          <w:sz w:val="24"/>
          <w:highlight w:val="none"/>
          <w:lang w:val="zh-CN"/>
        </w:rPr>
        <w:t>养殖牛</w:t>
      </w:r>
      <w:r>
        <w:rPr>
          <w:rFonts w:hint="default" w:ascii="Times New Roman" w:hAnsi="Times New Roman" w:cs="Times New Roman"/>
          <w:color w:val="auto"/>
          <w:spacing w:val="0"/>
          <w:w w:val="100"/>
          <w:kern w:val="0"/>
          <w:position w:val="0"/>
          <w:sz w:val="24"/>
          <w:highlight w:val="none"/>
          <w:lang w:val="en-US" w:eastAsia="zh-CN"/>
        </w:rPr>
        <w:t>5</w:t>
      </w:r>
      <w:r>
        <w:rPr>
          <w:rFonts w:hint="default" w:ascii="Times New Roman" w:hAnsi="Times New Roman" w:eastAsia="宋体" w:cs="Times New Roman"/>
          <w:color w:val="auto"/>
          <w:spacing w:val="0"/>
          <w:w w:val="100"/>
          <w:kern w:val="0"/>
          <w:position w:val="0"/>
          <w:sz w:val="24"/>
          <w:highlight w:val="none"/>
          <w:lang w:val="zh-CN"/>
        </w:rPr>
        <w:t>000头，牛粪（含尿液）总产生量约为</w:t>
      </w:r>
      <w:r>
        <w:rPr>
          <w:rFonts w:hint="default" w:ascii="Times New Roman" w:hAnsi="Times New Roman" w:cs="Times New Roman"/>
          <w:color w:val="auto"/>
          <w:spacing w:val="0"/>
          <w:w w:val="100"/>
          <w:kern w:val="0"/>
          <w:position w:val="0"/>
          <w:sz w:val="24"/>
          <w:highlight w:val="none"/>
          <w:lang w:val="zh-CN"/>
        </w:rPr>
        <w:t>46920.75</w:t>
      </w:r>
      <w:r>
        <w:rPr>
          <w:rFonts w:hint="default" w:ascii="Times New Roman" w:hAnsi="Times New Roman" w:eastAsia="宋体" w:cs="Times New Roman"/>
          <w:color w:val="auto"/>
          <w:spacing w:val="0"/>
          <w:w w:val="100"/>
          <w:kern w:val="0"/>
          <w:position w:val="0"/>
          <w:sz w:val="24"/>
          <w:highlight w:val="none"/>
          <w:lang w:val="zh-CN"/>
        </w:rPr>
        <w:t>t/a，则NH</w:t>
      </w:r>
      <w:r>
        <w:rPr>
          <w:rFonts w:hint="default" w:ascii="Times New Roman" w:hAnsi="Times New Roman" w:eastAsia="宋体" w:cs="Times New Roman"/>
          <w:color w:val="auto"/>
          <w:spacing w:val="0"/>
          <w:w w:val="100"/>
          <w:kern w:val="0"/>
          <w:position w:val="0"/>
          <w:sz w:val="24"/>
          <w:highlight w:val="none"/>
          <w:vertAlign w:val="subscript"/>
          <w:lang w:val="zh-CN"/>
        </w:rPr>
        <w:t>3</w:t>
      </w:r>
      <w:r>
        <w:rPr>
          <w:rFonts w:hint="default" w:ascii="Times New Roman" w:hAnsi="Times New Roman" w:eastAsia="宋体" w:cs="Times New Roman"/>
          <w:color w:val="auto"/>
          <w:spacing w:val="0"/>
          <w:w w:val="100"/>
          <w:kern w:val="0"/>
          <w:position w:val="0"/>
          <w:sz w:val="24"/>
          <w:highlight w:val="none"/>
          <w:lang w:val="zh-CN"/>
        </w:rPr>
        <w:t>产生量为</w:t>
      </w:r>
      <w:r>
        <w:rPr>
          <w:rFonts w:hint="default" w:ascii="Times New Roman" w:hAnsi="Times New Roman" w:cs="Times New Roman"/>
          <w:color w:val="auto"/>
          <w:spacing w:val="0"/>
          <w:w w:val="100"/>
          <w:kern w:val="0"/>
          <w:position w:val="0"/>
          <w:sz w:val="24"/>
          <w:highlight w:val="none"/>
          <w:lang w:val="en-US" w:eastAsia="zh-CN"/>
        </w:rPr>
        <w:t>0.845</w:t>
      </w:r>
      <w:r>
        <w:rPr>
          <w:rFonts w:hint="default" w:ascii="Times New Roman" w:hAnsi="Times New Roman" w:eastAsia="宋体" w:cs="Times New Roman"/>
          <w:color w:val="auto"/>
          <w:spacing w:val="0"/>
          <w:w w:val="100"/>
          <w:kern w:val="0"/>
          <w:position w:val="0"/>
          <w:sz w:val="24"/>
          <w:highlight w:val="none"/>
          <w:lang w:val="zh-CN"/>
        </w:rPr>
        <w:t>t/a（0.0</w:t>
      </w:r>
      <w:r>
        <w:rPr>
          <w:rFonts w:hint="default" w:ascii="Times New Roman" w:hAnsi="Times New Roman" w:cs="Times New Roman"/>
          <w:color w:val="auto"/>
          <w:spacing w:val="0"/>
          <w:w w:val="100"/>
          <w:kern w:val="0"/>
          <w:position w:val="0"/>
          <w:sz w:val="24"/>
          <w:highlight w:val="none"/>
          <w:lang w:val="en-US" w:eastAsia="zh-CN"/>
        </w:rPr>
        <w:t>96</w:t>
      </w:r>
      <w:r>
        <w:rPr>
          <w:rFonts w:hint="default" w:ascii="Times New Roman" w:hAnsi="Times New Roman" w:eastAsia="宋体" w:cs="Times New Roman"/>
          <w:color w:val="auto"/>
          <w:spacing w:val="0"/>
          <w:w w:val="100"/>
          <w:kern w:val="0"/>
          <w:position w:val="0"/>
          <w:sz w:val="24"/>
          <w:highlight w:val="none"/>
          <w:lang w:val="zh-CN"/>
        </w:rPr>
        <w:t>kg/h）和H</w:t>
      </w:r>
      <w:r>
        <w:rPr>
          <w:rFonts w:hint="default" w:ascii="Times New Roman" w:hAnsi="Times New Roman" w:eastAsia="宋体" w:cs="Times New Roman"/>
          <w:color w:val="auto"/>
          <w:spacing w:val="0"/>
          <w:w w:val="100"/>
          <w:kern w:val="0"/>
          <w:position w:val="0"/>
          <w:sz w:val="24"/>
          <w:highlight w:val="none"/>
          <w:vertAlign w:val="subscript"/>
          <w:lang w:val="zh-CN"/>
        </w:rPr>
        <w:t>2</w:t>
      </w:r>
      <w:r>
        <w:rPr>
          <w:rFonts w:hint="default" w:ascii="Times New Roman" w:hAnsi="Times New Roman" w:eastAsia="宋体" w:cs="Times New Roman"/>
          <w:color w:val="auto"/>
          <w:spacing w:val="0"/>
          <w:w w:val="100"/>
          <w:kern w:val="0"/>
          <w:position w:val="0"/>
          <w:sz w:val="24"/>
          <w:highlight w:val="none"/>
          <w:lang w:val="zh-CN"/>
        </w:rPr>
        <w:t>S产生量为0.0</w:t>
      </w:r>
      <w:r>
        <w:rPr>
          <w:rFonts w:hint="default" w:ascii="Times New Roman" w:hAnsi="Times New Roman" w:cs="Times New Roman"/>
          <w:color w:val="auto"/>
          <w:spacing w:val="0"/>
          <w:w w:val="100"/>
          <w:kern w:val="0"/>
          <w:position w:val="0"/>
          <w:sz w:val="24"/>
          <w:highlight w:val="none"/>
          <w:lang w:val="en-US" w:eastAsia="zh-CN"/>
        </w:rPr>
        <w:t>94</w:t>
      </w:r>
      <w:r>
        <w:rPr>
          <w:rFonts w:hint="default" w:ascii="Times New Roman" w:hAnsi="Times New Roman" w:eastAsia="宋体" w:cs="Times New Roman"/>
          <w:color w:val="auto"/>
          <w:spacing w:val="0"/>
          <w:w w:val="100"/>
          <w:kern w:val="0"/>
          <w:position w:val="0"/>
          <w:sz w:val="24"/>
          <w:highlight w:val="none"/>
          <w:lang w:val="zh-CN"/>
        </w:rPr>
        <w:t>t/a（</w:t>
      </w:r>
      <w:r>
        <w:rPr>
          <w:rFonts w:hint="default" w:ascii="Times New Roman" w:hAnsi="Times New Roman" w:cs="Times New Roman"/>
          <w:color w:val="auto"/>
          <w:spacing w:val="0"/>
          <w:w w:val="100"/>
          <w:kern w:val="0"/>
          <w:position w:val="0"/>
          <w:sz w:val="24"/>
          <w:highlight w:val="none"/>
          <w:lang w:val="en-US" w:eastAsia="zh-CN"/>
        </w:rPr>
        <w:t>0.0107</w:t>
      </w:r>
      <w:r>
        <w:rPr>
          <w:rFonts w:hint="default" w:ascii="Times New Roman" w:hAnsi="Times New Roman" w:eastAsia="宋体" w:cs="Times New Roman"/>
          <w:color w:val="auto"/>
          <w:spacing w:val="0"/>
          <w:w w:val="100"/>
          <w:kern w:val="0"/>
          <w:position w:val="0"/>
          <w:sz w:val="24"/>
          <w:highlight w:val="none"/>
          <w:lang w:val="zh-CN"/>
        </w:rPr>
        <w:t>kg/h）</w:t>
      </w:r>
      <w:r>
        <w:rPr>
          <w:rFonts w:hint="default" w:ascii="Times New Roman" w:hAnsi="Times New Roman" w:cs="Times New Roman"/>
          <w:color w:val="auto"/>
          <w:spacing w:val="0"/>
          <w:w w:val="100"/>
          <w:kern w:val="0"/>
          <w:position w:val="0"/>
          <w:sz w:val="24"/>
          <w:highlight w:val="none"/>
          <w:lang w:val="zh-CN"/>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2"/>
          <w:highlight w:val="none"/>
        </w:rPr>
        <w:t>本项目拟在日粮中添加沙皂素等除臭剂，并科学合理调控饲粮，同时加强牛场环境综合管理，对牛舍、</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定期喷洒除臭剂，牛舍每天定时清理牛粪，减少恶臭污染物的蓄积，经过上述综合措施处理后，恶臭污染去除效率可达到70%以上。因此，得出本项目</w:t>
      </w:r>
      <w:r>
        <w:rPr>
          <w:rFonts w:hint="default" w:ascii="Times New Roman" w:hAnsi="Times New Roman" w:eastAsia="宋体" w:cs="Times New Roman"/>
          <w:color w:val="auto"/>
          <w:spacing w:val="0"/>
          <w:w w:val="100"/>
          <w:kern w:val="0"/>
          <w:position w:val="0"/>
          <w:sz w:val="24"/>
          <w:szCs w:val="22"/>
          <w:highlight w:val="none"/>
          <w:lang w:eastAsia="zh-CN"/>
        </w:rPr>
        <w:t>奶牛</w:t>
      </w:r>
      <w:r>
        <w:rPr>
          <w:rFonts w:hint="eastAsia" w:ascii="Times New Roman" w:hAnsi="Times New Roman" w:cs="Times New Roman"/>
          <w:color w:val="auto"/>
          <w:spacing w:val="0"/>
          <w:w w:val="100"/>
          <w:kern w:val="0"/>
          <w:position w:val="0"/>
          <w:sz w:val="24"/>
          <w:szCs w:val="22"/>
          <w:highlight w:val="none"/>
          <w:lang w:val="en-US" w:eastAsia="zh-CN"/>
        </w:rPr>
        <w:t>牛舍</w:t>
      </w:r>
      <w:r>
        <w:rPr>
          <w:rFonts w:hint="default" w:ascii="Times New Roman" w:hAnsi="Times New Roman" w:eastAsia="宋体" w:cs="Times New Roman"/>
          <w:color w:val="auto"/>
          <w:spacing w:val="0"/>
          <w:w w:val="100"/>
          <w:kern w:val="0"/>
          <w:position w:val="0"/>
          <w:sz w:val="24"/>
          <w:szCs w:val="22"/>
          <w:highlight w:val="none"/>
        </w:rPr>
        <w:t>恶臭污染物排放源强分别为</w:t>
      </w: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Times New Roman" w:cs="Times New Roman"/>
          <w:color w:val="auto"/>
          <w:spacing w:val="1"/>
          <w:position w:val="2"/>
          <w:sz w:val="24"/>
          <w:szCs w:val="24"/>
        </w:rPr>
        <w:t>0.</w:t>
      </w:r>
      <w:r>
        <w:rPr>
          <w:rFonts w:hint="default" w:ascii="Times New Roman" w:hAnsi="Times New Roman" w:eastAsia="宋体" w:cs="Times New Roman"/>
          <w:color w:val="auto"/>
          <w:spacing w:val="1"/>
          <w:position w:val="2"/>
          <w:sz w:val="24"/>
          <w:szCs w:val="24"/>
          <w:lang w:val="en-US" w:eastAsia="zh-CN"/>
        </w:rPr>
        <w:t>254</w:t>
      </w:r>
      <w:r>
        <w:rPr>
          <w:rFonts w:hint="default" w:ascii="Times New Roman" w:hAnsi="Times New Roman" w:eastAsia="Times New Roman" w:cs="Times New Roman"/>
          <w:color w:val="auto"/>
          <w:spacing w:val="1"/>
          <w:position w:val="2"/>
          <w:sz w:val="24"/>
          <w:szCs w:val="24"/>
        </w:rPr>
        <w:t>t/a</w:t>
      </w:r>
      <w:r>
        <w:rPr>
          <w:rFonts w:hint="default" w:ascii="Times New Roman" w:hAnsi="Times New Roman" w:cs="Times New Roman"/>
          <w:color w:val="auto"/>
          <w:spacing w:val="1"/>
          <w:position w:val="2"/>
          <w:sz w:val="24"/>
          <w:szCs w:val="24"/>
        </w:rPr>
        <w:t>（</w:t>
      </w:r>
      <w:r>
        <w:rPr>
          <w:rFonts w:hint="default" w:ascii="Times New Roman" w:hAnsi="Times New Roman" w:eastAsia="Times New Roman" w:cs="Times New Roman"/>
          <w:color w:val="auto"/>
          <w:spacing w:val="1"/>
          <w:position w:val="2"/>
          <w:sz w:val="24"/>
          <w:szCs w:val="24"/>
        </w:rPr>
        <w:t>0.0</w:t>
      </w:r>
      <w:r>
        <w:rPr>
          <w:rFonts w:hint="default" w:ascii="Times New Roman" w:hAnsi="Times New Roman" w:eastAsia="宋体" w:cs="Times New Roman"/>
          <w:color w:val="auto"/>
          <w:spacing w:val="1"/>
          <w:position w:val="2"/>
          <w:sz w:val="24"/>
          <w:szCs w:val="24"/>
          <w:lang w:val="en-US" w:eastAsia="zh-CN"/>
        </w:rPr>
        <w:t>29</w:t>
      </w:r>
      <w:r>
        <w:rPr>
          <w:rFonts w:hint="default" w:ascii="Times New Roman" w:hAnsi="Times New Roman" w:eastAsia="Times New Roman" w:cs="Times New Roman"/>
          <w:color w:val="auto"/>
          <w:spacing w:val="1"/>
          <w:position w:val="2"/>
          <w:sz w:val="24"/>
          <w:szCs w:val="24"/>
        </w:rPr>
        <w:t>kg/h</w:t>
      </w:r>
      <w:r>
        <w:rPr>
          <w:rFonts w:hint="default" w:ascii="Times New Roman" w:hAnsi="Times New Roman" w:cs="Times New Roman"/>
          <w:color w:val="auto"/>
          <w:spacing w:val="1"/>
          <w:position w:val="2"/>
          <w:sz w:val="24"/>
          <w:szCs w:val="24"/>
        </w:rPr>
        <w:t>）</w:t>
      </w:r>
      <w:r>
        <w:rPr>
          <w:rFonts w:hint="default" w:ascii="Times New Roman" w:hAnsi="Times New Roman" w:eastAsia="宋体" w:cs="Times New Roman"/>
          <w:color w:val="auto"/>
          <w:spacing w:val="0"/>
          <w:w w:val="100"/>
          <w:kern w:val="0"/>
          <w:position w:val="0"/>
          <w:sz w:val="24"/>
          <w:szCs w:val="24"/>
          <w:highlight w:val="none"/>
        </w:rPr>
        <w:t>，H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w:t>
      </w:r>
      <w:r>
        <w:rPr>
          <w:rFonts w:hint="default" w:ascii="Times New Roman" w:hAnsi="Times New Roman" w:eastAsia="Times New Roman" w:cs="Times New Roman"/>
          <w:color w:val="auto"/>
          <w:spacing w:val="-1"/>
          <w:position w:val="2"/>
          <w:sz w:val="24"/>
          <w:szCs w:val="24"/>
        </w:rPr>
        <w:t>0.0</w:t>
      </w:r>
      <w:r>
        <w:rPr>
          <w:rFonts w:hint="default" w:ascii="Times New Roman" w:hAnsi="Times New Roman" w:eastAsia="宋体" w:cs="Times New Roman"/>
          <w:color w:val="auto"/>
          <w:spacing w:val="-1"/>
          <w:position w:val="2"/>
          <w:sz w:val="24"/>
          <w:szCs w:val="24"/>
          <w:lang w:val="en-US" w:eastAsia="zh-CN"/>
        </w:rPr>
        <w:t>28</w:t>
      </w:r>
      <w:r>
        <w:rPr>
          <w:rFonts w:hint="default" w:ascii="Times New Roman" w:hAnsi="Times New Roman" w:eastAsia="Times New Roman" w:cs="Times New Roman"/>
          <w:color w:val="auto"/>
          <w:spacing w:val="-1"/>
          <w:position w:val="2"/>
          <w:sz w:val="24"/>
          <w:szCs w:val="24"/>
        </w:rPr>
        <w:t>t/a</w:t>
      </w:r>
      <w:r>
        <w:rPr>
          <w:rFonts w:hint="default" w:ascii="Times New Roman" w:hAnsi="Times New Roman" w:cs="Times New Roman"/>
          <w:color w:val="auto"/>
          <w:spacing w:val="-1"/>
          <w:position w:val="2"/>
          <w:sz w:val="24"/>
          <w:szCs w:val="24"/>
        </w:rPr>
        <w:t>（</w:t>
      </w:r>
      <w:r>
        <w:rPr>
          <w:rFonts w:hint="default" w:ascii="Times New Roman" w:hAnsi="Times New Roman" w:eastAsia="Times New Roman" w:cs="Times New Roman"/>
          <w:color w:val="auto"/>
          <w:spacing w:val="-1"/>
          <w:position w:val="2"/>
          <w:sz w:val="24"/>
          <w:szCs w:val="24"/>
        </w:rPr>
        <w:t>0.00</w:t>
      </w:r>
      <w:r>
        <w:rPr>
          <w:rFonts w:hint="default" w:ascii="Times New Roman" w:hAnsi="Times New Roman" w:eastAsia="宋体" w:cs="Times New Roman"/>
          <w:color w:val="auto"/>
          <w:spacing w:val="-1"/>
          <w:position w:val="2"/>
          <w:sz w:val="24"/>
          <w:szCs w:val="24"/>
          <w:lang w:val="en-US" w:eastAsia="zh-CN"/>
        </w:rPr>
        <w:t>3</w:t>
      </w:r>
      <w:r>
        <w:rPr>
          <w:rFonts w:hint="default" w:ascii="Times New Roman" w:hAnsi="Times New Roman" w:eastAsia="Times New Roman" w:cs="Times New Roman"/>
          <w:color w:val="auto"/>
          <w:spacing w:val="-1"/>
          <w:position w:val="2"/>
          <w:sz w:val="24"/>
          <w:szCs w:val="24"/>
        </w:rPr>
        <w:t>kg/h</w:t>
      </w:r>
      <w:r>
        <w:rPr>
          <w:rFonts w:hint="default" w:ascii="Times New Roman" w:hAnsi="Times New Roman" w:cs="Times New Roman"/>
          <w:color w:val="auto"/>
          <w:spacing w:val="-1"/>
          <w:position w:val="2"/>
          <w:sz w:val="24"/>
          <w:szCs w:val="24"/>
        </w:rPr>
        <w:t>）</w:t>
      </w:r>
      <w:r>
        <w:rPr>
          <w:rFonts w:hint="default" w:ascii="Times New Roman" w:hAnsi="Times New Roman"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排放方式为无组织排放的面源。</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bCs/>
          <w:color w:val="auto"/>
          <w:spacing w:val="0"/>
          <w:w w:val="100"/>
          <w:kern w:val="0"/>
          <w:position w:val="0"/>
          <w:sz w:val="24"/>
          <w:highlight w:val="none"/>
        </w:rPr>
        <w:t>本项目牛舍恶臭气体产生排放情况见下表：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表2.4-1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牛舍</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恶臭气体产生排放情况一览表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1161"/>
        <w:gridCol w:w="814"/>
        <w:gridCol w:w="1269"/>
        <w:gridCol w:w="1471"/>
        <w:gridCol w:w="1350"/>
        <w:gridCol w:w="15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4" w:type="dxa"/>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名称</w:t>
            </w:r>
          </w:p>
        </w:tc>
        <w:tc>
          <w:tcPr>
            <w:tcW w:w="1161" w:type="dxa"/>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
                <w:color w:val="auto"/>
                <w:spacing w:val="0"/>
                <w:w w:val="100"/>
                <w:kern w:val="0"/>
                <w:position w:val="0"/>
                <w:sz w:val="21"/>
                <w:szCs w:val="21"/>
                <w:highlight w:val="none"/>
              </w:rPr>
              <w:t>牛粪产生</w:t>
            </w:r>
            <w:r>
              <w:rPr>
                <w:rFonts w:hint="default" w:ascii="Times New Roman" w:hAnsi="Times New Roman" w:eastAsia="宋体" w:cs="Times New Roman"/>
                <w:b/>
                <w:color w:val="auto"/>
                <w:spacing w:val="0"/>
                <w:w w:val="100"/>
                <w:kern w:val="0"/>
                <w:position w:val="0"/>
                <w:sz w:val="21"/>
                <w:szCs w:val="21"/>
                <w:highlight w:val="none"/>
                <w:lang w:eastAsia="zh-CN"/>
              </w:rPr>
              <w:t>量</w:t>
            </w:r>
          </w:p>
        </w:tc>
        <w:tc>
          <w:tcPr>
            <w:tcW w:w="814" w:type="dxa"/>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污染物名称</w:t>
            </w:r>
          </w:p>
        </w:tc>
        <w:tc>
          <w:tcPr>
            <w:tcW w:w="2740" w:type="dxa"/>
            <w:gridSpan w:val="2"/>
            <w:tcBorders>
              <w:bottom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
                <w:color w:val="auto"/>
                <w:spacing w:val="0"/>
                <w:w w:val="100"/>
                <w:kern w:val="0"/>
                <w:position w:val="0"/>
                <w:sz w:val="21"/>
                <w:szCs w:val="21"/>
                <w:highlight w:val="none"/>
              </w:rPr>
              <w:t>产生</w:t>
            </w:r>
            <w:r>
              <w:rPr>
                <w:rFonts w:hint="default" w:ascii="Times New Roman" w:hAnsi="Times New Roman" w:eastAsia="宋体" w:cs="Times New Roman"/>
                <w:b/>
                <w:color w:val="auto"/>
                <w:spacing w:val="0"/>
                <w:w w:val="100"/>
                <w:kern w:val="0"/>
                <w:position w:val="0"/>
                <w:sz w:val="21"/>
                <w:szCs w:val="21"/>
                <w:highlight w:val="none"/>
                <w:lang w:eastAsia="zh-CN"/>
              </w:rPr>
              <w:t>情况</w:t>
            </w:r>
          </w:p>
        </w:tc>
        <w:tc>
          <w:tcPr>
            <w:tcW w:w="2933" w:type="dxa"/>
            <w:gridSpan w:val="2"/>
            <w:tcBorders>
              <w:bottom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
                <w:color w:val="auto"/>
                <w:spacing w:val="0"/>
                <w:w w:val="100"/>
                <w:kern w:val="0"/>
                <w:position w:val="0"/>
                <w:sz w:val="21"/>
                <w:szCs w:val="21"/>
                <w:highlight w:val="none"/>
              </w:rPr>
              <w:t>排放</w:t>
            </w:r>
            <w:r>
              <w:rPr>
                <w:rFonts w:hint="default" w:ascii="Times New Roman" w:hAnsi="Times New Roman" w:eastAsia="宋体" w:cs="Times New Roman"/>
                <w:b/>
                <w:color w:val="auto"/>
                <w:spacing w:val="0"/>
                <w:w w:val="100"/>
                <w:kern w:val="0"/>
                <w:position w:val="0"/>
                <w:sz w:val="21"/>
                <w:szCs w:val="21"/>
                <w:highlight w:val="none"/>
                <w:lang w:eastAsia="zh-CN"/>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4" w:type="dxa"/>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rPr>
            </w:pPr>
          </w:p>
        </w:tc>
        <w:tc>
          <w:tcPr>
            <w:tcW w:w="1161" w:type="dxa"/>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rPr>
            </w:pPr>
          </w:p>
        </w:tc>
        <w:tc>
          <w:tcPr>
            <w:tcW w:w="814" w:type="dxa"/>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color w:val="auto"/>
                <w:spacing w:val="0"/>
                <w:w w:val="100"/>
                <w:kern w:val="0"/>
                <w:position w:val="0"/>
                <w:sz w:val="21"/>
                <w:szCs w:val="21"/>
                <w:highlight w:val="none"/>
              </w:rPr>
            </w:pPr>
          </w:p>
        </w:tc>
        <w:tc>
          <w:tcPr>
            <w:tcW w:w="1269" w:type="dxa"/>
            <w:tcBorders>
              <w:top w:val="single" w:color="auto" w:sz="4" w:space="0"/>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 w:val="21"/>
                <w:szCs w:val="21"/>
                <w:highlight w:val="none"/>
                <w:lang w:eastAsia="zh-CN"/>
              </w:rPr>
            </w:pPr>
            <w:r>
              <w:rPr>
                <w:rFonts w:hint="default" w:ascii="Times New Roman" w:hAnsi="Times New Roman" w:eastAsia="宋体" w:cs="Times New Roman"/>
                <w:b/>
                <w:bCs w:val="0"/>
                <w:color w:val="auto"/>
                <w:spacing w:val="0"/>
                <w:w w:val="100"/>
                <w:kern w:val="0"/>
                <w:position w:val="0"/>
                <w:sz w:val="21"/>
                <w:szCs w:val="21"/>
                <w:highlight w:val="none"/>
                <w:lang w:eastAsia="zh-CN"/>
              </w:rPr>
              <w:t>产生量</w:t>
            </w:r>
            <w:r>
              <w:rPr>
                <w:rFonts w:hint="default" w:ascii="Times New Roman" w:hAnsi="Times New Roman" w:eastAsia="宋体" w:cs="Times New Roman"/>
                <w:b/>
                <w:bCs w:val="0"/>
                <w:color w:val="auto"/>
                <w:spacing w:val="0"/>
                <w:w w:val="100"/>
                <w:kern w:val="0"/>
                <w:position w:val="0"/>
                <w:sz w:val="21"/>
                <w:szCs w:val="21"/>
                <w:highlight w:val="none"/>
              </w:rPr>
              <w:t>t/a</w:t>
            </w:r>
          </w:p>
        </w:tc>
        <w:tc>
          <w:tcPr>
            <w:tcW w:w="1471" w:type="dxa"/>
            <w:tcBorders>
              <w:top w:val="single" w:color="auto" w:sz="4" w:space="0"/>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 w:val="21"/>
                <w:szCs w:val="21"/>
                <w:highlight w:val="none"/>
                <w:lang w:val="en-US" w:eastAsia="zh-CN"/>
              </w:rPr>
            </w:pPr>
            <w:r>
              <w:rPr>
                <w:rFonts w:hint="default" w:ascii="Times New Roman" w:hAnsi="Times New Roman" w:eastAsia="宋体" w:cs="Times New Roman"/>
                <w:b/>
                <w:bCs w:val="0"/>
                <w:color w:val="auto"/>
                <w:spacing w:val="0"/>
                <w:w w:val="100"/>
                <w:kern w:val="0"/>
                <w:position w:val="0"/>
                <w:sz w:val="21"/>
                <w:szCs w:val="21"/>
                <w:highlight w:val="none"/>
                <w:lang w:eastAsia="zh-CN"/>
              </w:rPr>
              <w:t>产生速率</w:t>
            </w:r>
            <w:r>
              <w:rPr>
                <w:rFonts w:hint="default" w:ascii="Times New Roman" w:hAnsi="Times New Roman" w:eastAsia="宋体" w:cs="Times New Roman"/>
                <w:b/>
                <w:bCs w:val="0"/>
                <w:color w:val="auto"/>
                <w:spacing w:val="0"/>
                <w:w w:val="100"/>
                <w:kern w:val="0"/>
                <w:position w:val="0"/>
                <w:sz w:val="21"/>
                <w:szCs w:val="21"/>
                <w:highlight w:val="none"/>
                <w:lang w:val="en-US" w:eastAsia="zh-CN"/>
              </w:rPr>
              <w:t>kg/h</w:t>
            </w:r>
          </w:p>
        </w:tc>
        <w:tc>
          <w:tcPr>
            <w:tcW w:w="1350" w:type="dxa"/>
            <w:tcBorders>
              <w:top w:val="single" w:color="auto" w:sz="4" w:space="0"/>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 w:val="21"/>
                <w:szCs w:val="21"/>
                <w:highlight w:val="none"/>
                <w:lang w:eastAsia="zh-CN"/>
              </w:rPr>
            </w:pPr>
            <w:r>
              <w:rPr>
                <w:rFonts w:hint="default" w:ascii="Times New Roman" w:hAnsi="Times New Roman" w:eastAsia="宋体" w:cs="Times New Roman"/>
                <w:b/>
                <w:bCs w:val="0"/>
                <w:color w:val="auto"/>
                <w:spacing w:val="0"/>
                <w:w w:val="100"/>
                <w:kern w:val="0"/>
                <w:position w:val="0"/>
                <w:sz w:val="21"/>
                <w:szCs w:val="21"/>
                <w:highlight w:val="none"/>
                <w:lang w:eastAsia="zh-CN"/>
              </w:rPr>
              <w:t>排放量</w:t>
            </w:r>
            <w:r>
              <w:rPr>
                <w:rFonts w:hint="default" w:ascii="Times New Roman" w:hAnsi="Times New Roman" w:eastAsia="宋体" w:cs="Times New Roman"/>
                <w:b/>
                <w:bCs w:val="0"/>
                <w:color w:val="auto"/>
                <w:spacing w:val="0"/>
                <w:w w:val="100"/>
                <w:kern w:val="0"/>
                <w:position w:val="0"/>
                <w:sz w:val="21"/>
                <w:szCs w:val="21"/>
                <w:highlight w:val="none"/>
              </w:rPr>
              <w:t>t/a</w:t>
            </w:r>
          </w:p>
        </w:tc>
        <w:tc>
          <w:tcPr>
            <w:tcW w:w="1583" w:type="dxa"/>
            <w:tcBorders>
              <w:top w:val="single" w:color="auto" w:sz="4" w:space="0"/>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 w:val="21"/>
                <w:szCs w:val="21"/>
                <w:highlight w:val="none"/>
                <w:lang w:eastAsia="zh-CN"/>
              </w:rPr>
            </w:pPr>
            <w:r>
              <w:rPr>
                <w:rFonts w:hint="default" w:ascii="Times New Roman" w:hAnsi="Times New Roman" w:eastAsia="宋体" w:cs="Times New Roman"/>
                <w:b/>
                <w:bCs w:val="0"/>
                <w:color w:val="auto"/>
                <w:spacing w:val="0"/>
                <w:w w:val="100"/>
                <w:kern w:val="0"/>
                <w:position w:val="0"/>
                <w:sz w:val="21"/>
                <w:szCs w:val="21"/>
                <w:highlight w:val="none"/>
                <w:lang w:eastAsia="zh-CN"/>
              </w:rPr>
              <w:t>排放速率</w:t>
            </w:r>
            <w:r>
              <w:rPr>
                <w:rFonts w:hint="default" w:ascii="Times New Roman" w:hAnsi="Times New Roman" w:eastAsia="宋体" w:cs="Times New Roman"/>
                <w:b/>
                <w:bCs w:val="0"/>
                <w:color w:val="auto"/>
                <w:spacing w:val="0"/>
                <w:w w:val="100"/>
                <w:kern w:val="0"/>
                <w:position w:val="0"/>
                <w:sz w:val="21"/>
                <w:szCs w:val="21"/>
                <w:highlight w:val="none"/>
                <w:lang w:val="en-US" w:eastAsia="zh-CN"/>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4" w:type="dxa"/>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eastAsia="zh-CN"/>
              </w:rPr>
              <w:t>奶牛</w:t>
            </w:r>
            <w:r>
              <w:rPr>
                <w:rFonts w:hint="eastAsia" w:ascii="Times New Roman" w:hAnsi="Times New Roman" w:cs="Times New Roman"/>
                <w:color w:val="auto"/>
                <w:spacing w:val="0"/>
                <w:w w:val="100"/>
                <w:kern w:val="0"/>
                <w:position w:val="0"/>
                <w:sz w:val="21"/>
                <w:szCs w:val="21"/>
                <w:highlight w:val="none"/>
                <w:lang w:eastAsia="zh-CN"/>
              </w:rPr>
              <w:t>牛舍</w:t>
            </w:r>
            <w:r>
              <w:rPr>
                <w:rFonts w:hint="default" w:ascii="Times New Roman" w:hAnsi="Times New Roman" w:eastAsia="宋体" w:cs="Times New Roman"/>
                <w:color w:val="auto"/>
                <w:spacing w:val="0"/>
                <w:w w:val="100"/>
                <w:kern w:val="0"/>
                <w:position w:val="0"/>
                <w:sz w:val="21"/>
                <w:szCs w:val="21"/>
                <w:highlight w:val="none"/>
              </w:rPr>
              <w:t>恶臭</w:t>
            </w:r>
          </w:p>
        </w:tc>
        <w:tc>
          <w:tcPr>
            <w:tcW w:w="1161" w:type="dxa"/>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cs="Times New Roman"/>
                <w:color w:val="auto"/>
                <w:spacing w:val="-1"/>
                <w:sz w:val="21"/>
                <w:lang w:eastAsia="zh-CN"/>
              </w:rPr>
              <w:t>46920.75</w:t>
            </w:r>
            <w:r>
              <w:rPr>
                <w:rFonts w:hint="default" w:ascii="Times New Roman" w:hAnsi="Times New Roman" w:cs="Times New Roman"/>
                <w:color w:val="auto"/>
                <w:spacing w:val="-1"/>
                <w:sz w:val="21"/>
              </w:rPr>
              <w:t>t/a</w:t>
            </w:r>
          </w:p>
        </w:tc>
        <w:tc>
          <w:tcPr>
            <w:tcW w:w="814"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Style w:val="46"/>
                <w:rFonts w:hint="default" w:ascii="Times New Roman" w:hAnsi="Times New Roman" w:eastAsia="宋体" w:cs="Times New Roman"/>
                <w:color w:val="auto"/>
                <w:spacing w:val="0"/>
                <w:w w:val="100"/>
                <w:kern w:val="0"/>
                <w:position w:val="0"/>
                <w:sz w:val="21"/>
                <w:szCs w:val="21"/>
                <w:highlight w:val="none"/>
                <w:vertAlign w:val="subscript"/>
              </w:rPr>
              <w:t>3</w:t>
            </w:r>
          </w:p>
        </w:tc>
        <w:tc>
          <w:tcPr>
            <w:tcW w:w="1269" w:type="dxa"/>
            <w:tcBorders>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w:t>
            </w:r>
            <w:r>
              <w:rPr>
                <w:rFonts w:hint="default" w:ascii="Times New Roman" w:hAnsi="Times New Roman" w:cs="Times New Roman"/>
                <w:color w:val="auto"/>
                <w:spacing w:val="0"/>
                <w:w w:val="100"/>
                <w:kern w:val="0"/>
                <w:position w:val="0"/>
                <w:sz w:val="21"/>
                <w:szCs w:val="21"/>
                <w:highlight w:val="none"/>
                <w:lang w:val="en-US" w:eastAsia="zh-CN"/>
              </w:rPr>
              <w:t>845</w:t>
            </w:r>
          </w:p>
        </w:tc>
        <w:tc>
          <w:tcPr>
            <w:tcW w:w="1471" w:type="dxa"/>
            <w:tcBorders>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default" w:ascii="Times New Roman" w:hAnsi="Times New Roman" w:cs="Times New Roman"/>
                <w:color w:val="auto"/>
                <w:spacing w:val="0"/>
                <w:w w:val="100"/>
                <w:kern w:val="0"/>
                <w:position w:val="0"/>
                <w:sz w:val="21"/>
                <w:szCs w:val="21"/>
                <w:highlight w:val="none"/>
                <w:lang w:val="en-US" w:eastAsia="zh-CN"/>
              </w:rPr>
              <w:t>96</w:t>
            </w:r>
          </w:p>
        </w:tc>
        <w:tc>
          <w:tcPr>
            <w:tcW w:w="1350" w:type="dxa"/>
            <w:tcBorders>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w:t>
            </w:r>
            <w:r>
              <w:rPr>
                <w:rFonts w:hint="default" w:ascii="Times New Roman" w:hAnsi="Times New Roman" w:cs="Times New Roman"/>
                <w:color w:val="auto"/>
                <w:spacing w:val="0"/>
                <w:w w:val="100"/>
                <w:kern w:val="0"/>
                <w:position w:val="0"/>
                <w:sz w:val="21"/>
                <w:szCs w:val="21"/>
                <w:highlight w:val="none"/>
                <w:lang w:val="en-US" w:eastAsia="zh-CN"/>
              </w:rPr>
              <w:t>254</w:t>
            </w:r>
          </w:p>
        </w:tc>
        <w:tc>
          <w:tcPr>
            <w:tcW w:w="1583" w:type="dxa"/>
            <w:tcBorders>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default" w:ascii="Times New Roman" w:hAnsi="Times New Roman" w:cs="Times New Roman"/>
                <w:color w:val="auto"/>
                <w:spacing w:val="0"/>
                <w:w w:val="100"/>
                <w:kern w:val="0"/>
                <w:position w:val="0"/>
                <w:sz w:val="21"/>
                <w:szCs w:val="21"/>
                <w:highlight w:val="none"/>
                <w:lang w:val="en-US" w:eastAsia="zh-CN"/>
              </w:rPr>
              <w:t>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4" w:type="dxa"/>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w w:val="100"/>
                <w:kern w:val="0"/>
                <w:position w:val="0"/>
                <w:sz w:val="21"/>
                <w:szCs w:val="21"/>
                <w:highlight w:val="none"/>
              </w:rPr>
            </w:pPr>
          </w:p>
        </w:tc>
        <w:tc>
          <w:tcPr>
            <w:tcW w:w="1161" w:type="dxa"/>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w w:val="100"/>
                <w:kern w:val="0"/>
                <w:position w:val="0"/>
                <w:sz w:val="21"/>
                <w:szCs w:val="21"/>
                <w:highlight w:val="none"/>
              </w:rPr>
            </w:pPr>
          </w:p>
        </w:tc>
        <w:tc>
          <w:tcPr>
            <w:tcW w:w="814"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H</w:t>
            </w:r>
            <w:r>
              <w:rPr>
                <w:rStyle w:val="46"/>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1269" w:type="dxa"/>
            <w:tcBorders>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default" w:ascii="Times New Roman" w:hAnsi="Times New Roman" w:cs="Times New Roman"/>
                <w:color w:val="auto"/>
                <w:spacing w:val="0"/>
                <w:w w:val="100"/>
                <w:kern w:val="0"/>
                <w:position w:val="0"/>
                <w:sz w:val="21"/>
                <w:szCs w:val="21"/>
                <w:highlight w:val="none"/>
                <w:lang w:val="en-US" w:eastAsia="zh-CN"/>
              </w:rPr>
              <w:t>94</w:t>
            </w:r>
          </w:p>
        </w:tc>
        <w:tc>
          <w:tcPr>
            <w:tcW w:w="1471" w:type="dxa"/>
            <w:tcBorders>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default" w:ascii="Times New Roman" w:hAnsi="Times New Roman" w:cs="Times New Roman"/>
                <w:color w:val="auto"/>
                <w:spacing w:val="0"/>
                <w:w w:val="100"/>
                <w:kern w:val="0"/>
                <w:position w:val="0"/>
                <w:sz w:val="21"/>
                <w:szCs w:val="21"/>
                <w:highlight w:val="none"/>
                <w:lang w:val="en-US" w:eastAsia="zh-CN"/>
              </w:rPr>
              <w:t>107</w:t>
            </w:r>
          </w:p>
        </w:tc>
        <w:tc>
          <w:tcPr>
            <w:tcW w:w="1350" w:type="dxa"/>
            <w:tcBorders>
              <w:righ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w:t>
            </w:r>
            <w:r>
              <w:rPr>
                <w:rFonts w:hint="default" w:ascii="Times New Roman" w:hAnsi="Times New Roman" w:cs="Times New Roman"/>
                <w:color w:val="auto"/>
                <w:spacing w:val="0"/>
                <w:w w:val="100"/>
                <w:kern w:val="0"/>
                <w:position w:val="0"/>
                <w:sz w:val="21"/>
                <w:szCs w:val="21"/>
                <w:highlight w:val="none"/>
                <w:lang w:val="en-US" w:eastAsia="zh-CN"/>
              </w:rPr>
              <w:t>28</w:t>
            </w:r>
          </w:p>
        </w:tc>
        <w:tc>
          <w:tcPr>
            <w:tcW w:w="1583" w:type="dxa"/>
            <w:tcBorders>
              <w:left w:val="single" w:color="auto" w:sz="4" w:space="0"/>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0.00</w:t>
            </w:r>
            <w:r>
              <w:rPr>
                <w:rFonts w:hint="default" w:ascii="Times New Roman" w:hAnsi="Times New Roman" w:cs="Times New Roman"/>
                <w:color w:val="auto"/>
                <w:spacing w:val="0"/>
                <w:w w:val="100"/>
                <w:kern w:val="0"/>
                <w:position w:val="0"/>
                <w:sz w:val="21"/>
                <w:szCs w:val="21"/>
                <w:highlight w:val="none"/>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⑵</w:t>
      </w:r>
      <w:r>
        <w:rPr>
          <w:rFonts w:hint="default" w:ascii="Times New Roman" w:hAnsi="Times New Roman" w:cs="Times New Roman"/>
          <w:bCs/>
          <w:color w:val="auto"/>
          <w:spacing w:val="0"/>
          <w:w w:val="100"/>
          <w:kern w:val="0"/>
          <w:position w:val="0"/>
          <w:sz w:val="24"/>
          <w:highlight w:val="none"/>
          <w:lang w:eastAsia="zh-CN"/>
        </w:rPr>
        <w:t>堆粪棚</w:t>
      </w:r>
      <w:r>
        <w:rPr>
          <w:rFonts w:hint="default" w:ascii="Times New Roman" w:hAnsi="Times New Roman" w:eastAsia="宋体" w:cs="Times New Roman"/>
          <w:bCs/>
          <w:color w:val="auto"/>
          <w:spacing w:val="0"/>
          <w:w w:val="100"/>
          <w:kern w:val="0"/>
          <w:position w:val="0"/>
          <w:sz w:val="24"/>
          <w:highlight w:val="none"/>
        </w:rPr>
        <w:t>恶臭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本项目建设1座</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eastAsia="zh-CN"/>
        </w:rPr>
        <w:t>建筑面积：</w:t>
      </w:r>
      <w:r>
        <w:rPr>
          <w:rFonts w:hint="default" w:ascii="Times New Roman" w:hAnsi="Times New Roman" w:cs="Times New Roman"/>
          <w:color w:val="auto"/>
          <w:spacing w:val="0"/>
          <w:w w:val="100"/>
          <w:kern w:val="0"/>
          <w:position w:val="0"/>
          <w:sz w:val="24"/>
          <w:highlight w:val="none"/>
          <w:lang w:val="en-US" w:eastAsia="zh-CN"/>
        </w:rPr>
        <w:t>320</w:t>
      </w:r>
      <w:r>
        <w:rPr>
          <w:rFonts w:hint="default" w:ascii="Times New Roman" w:hAnsi="Times New Roman" w:eastAsia="宋体" w:cs="Times New Roman"/>
          <w:color w:val="auto"/>
          <w:spacing w:val="0"/>
          <w:w w:val="100"/>
          <w:kern w:val="0"/>
          <w:position w:val="0"/>
          <w:sz w:val="24"/>
          <w:highlight w:val="none"/>
          <w:lang w:val="en-US" w:eastAsia="zh-CN"/>
        </w:rPr>
        <w:t>m</w:t>
      </w:r>
      <w:r>
        <w:rPr>
          <w:rFonts w:hint="default" w:ascii="Times New Roman" w:hAnsi="Times New Roman" w:eastAsia="宋体" w:cs="Times New Roman"/>
          <w:color w:val="auto"/>
          <w:spacing w:val="0"/>
          <w:w w:val="100"/>
          <w:kern w:val="0"/>
          <w:position w:val="0"/>
          <w:sz w:val="24"/>
          <w:highlight w:val="none"/>
          <w:vertAlign w:val="superscript"/>
          <w:lang w:val="en-US" w:eastAsia="zh-CN"/>
        </w:rPr>
        <w:t>2</w:t>
      </w:r>
      <w:r>
        <w:rPr>
          <w:rFonts w:hint="default" w:ascii="Times New Roman" w:hAnsi="Times New Roman" w:eastAsia="宋体"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采取防渗、防漏、防雨措施）</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根据《规模化畜禽养殖场恶臭污染物扩散规律及其防护距离研究》（中国农业科学院学位论文，2010年6月）以及项目所在区域特征，</w:t>
      </w:r>
      <w:r>
        <w:rPr>
          <w:rFonts w:hint="default" w:ascii="Times New Roman" w:hAnsi="Times New Roman" w:eastAsia="宋体" w:cs="Times New Roman"/>
          <w:color w:val="auto"/>
          <w:spacing w:val="0"/>
          <w:w w:val="100"/>
          <w:kern w:val="0"/>
          <w:position w:val="0"/>
          <w:sz w:val="24"/>
          <w:highlight w:val="none"/>
          <w:lang w:eastAsia="zh-CN"/>
        </w:rPr>
        <w:t>参照</w:t>
      </w:r>
      <w:r>
        <w:rPr>
          <w:rFonts w:hint="default" w:ascii="Times New Roman" w:hAnsi="Times New Roman" w:eastAsia="宋体" w:cs="Times New Roman"/>
          <w:color w:val="auto"/>
          <w:spacing w:val="0"/>
          <w:w w:val="100"/>
          <w:kern w:val="0"/>
          <w:position w:val="0"/>
          <w:sz w:val="24"/>
          <w:highlight w:val="none"/>
        </w:rPr>
        <w:t>集约化奶牛养殖场牛粪堆存过程中</w:t>
      </w:r>
      <w:r>
        <w:rPr>
          <w:rFonts w:hint="default" w:ascii="Times New Roman" w:hAnsi="Times New Roman" w:eastAsia="宋体" w:cs="Times New Roman"/>
          <w:color w:val="auto"/>
          <w:spacing w:val="0"/>
          <w:w w:val="100"/>
          <w:kern w:val="0"/>
          <w:position w:val="0"/>
          <w:sz w:val="24"/>
          <w:highlight w:val="none"/>
          <w:lang w:val="en-US" w:eastAsia="zh-CN"/>
        </w:rPr>
        <w:t>NH</w:t>
      </w:r>
      <w:r>
        <w:rPr>
          <w:rFonts w:hint="default" w:ascii="Times New Roman" w:hAnsi="Times New Roman" w:eastAsia="宋体" w:cs="Times New Roman"/>
          <w:color w:val="auto"/>
          <w:spacing w:val="0"/>
          <w:w w:val="100"/>
          <w:kern w:val="0"/>
          <w:position w:val="0"/>
          <w:sz w:val="24"/>
          <w:highlight w:val="none"/>
          <w:vertAlign w:val="subscript"/>
          <w:lang w:val="en-US" w:eastAsia="zh-CN"/>
        </w:rPr>
        <w:t>3</w:t>
      </w:r>
      <w:r>
        <w:rPr>
          <w:rFonts w:hint="default" w:ascii="Times New Roman" w:hAnsi="Times New Roman" w:eastAsia="宋体" w:cs="Times New Roman"/>
          <w:color w:val="auto"/>
          <w:spacing w:val="0"/>
          <w:w w:val="100"/>
          <w:kern w:val="0"/>
          <w:position w:val="0"/>
          <w:sz w:val="24"/>
          <w:highlight w:val="none"/>
          <w:lang w:val="en-US" w:eastAsia="zh-CN"/>
        </w:rPr>
        <w:t>的产生量为13.5</w:t>
      </w:r>
      <w:r>
        <w:rPr>
          <w:rFonts w:hint="default" w:ascii="Times New Roman" w:hAnsi="Times New Roman" w:eastAsia="宋体" w:cs="Times New Roman"/>
          <w:color w:val="auto"/>
          <w:spacing w:val="0"/>
          <w:w w:val="100"/>
          <w:kern w:val="0"/>
          <w:position w:val="0"/>
          <w:sz w:val="24"/>
          <w:highlight w:val="none"/>
        </w:rPr>
        <w:t>kg/</w:t>
      </w:r>
      <w:r>
        <w:rPr>
          <w:rFonts w:hint="default" w:ascii="Times New Roman" w:hAnsi="Times New Roman" w:eastAsia="宋体" w:cs="Times New Roman"/>
          <w:color w:val="auto"/>
          <w:spacing w:val="0"/>
          <w:w w:val="100"/>
          <w:kern w:val="0"/>
          <w:position w:val="0"/>
          <w:sz w:val="24"/>
          <w:highlight w:val="none"/>
          <w:lang w:val="en-US" w:eastAsia="zh-CN"/>
        </w:rPr>
        <w:t>(1000t牛粪）</w:t>
      </w:r>
      <w:r>
        <w:rPr>
          <w:rFonts w:hint="default" w:ascii="Times New Roman" w:hAnsi="Times New Roman" w:eastAsia="宋体" w:cs="Times New Roman"/>
          <w:color w:val="auto"/>
          <w:spacing w:val="0"/>
          <w:w w:val="100"/>
          <w:kern w:val="0"/>
          <w:position w:val="0"/>
          <w:sz w:val="24"/>
          <w:highlight w:val="none"/>
        </w:rPr>
        <w:t>，H</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S的产生量为</w:t>
      </w:r>
      <w:r>
        <w:rPr>
          <w:rFonts w:hint="default" w:ascii="Times New Roman" w:hAnsi="Times New Roman" w:eastAsia="宋体" w:cs="Times New Roman"/>
          <w:color w:val="auto"/>
          <w:spacing w:val="0"/>
          <w:w w:val="100"/>
          <w:kern w:val="0"/>
          <w:position w:val="0"/>
          <w:sz w:val="24"/>
          <w:highlight w:val="none"/>
          <w:lang w:val="en-US" w:eastAsia="zh-CN"/>
        </w:rPr>
        <w:t>1.2</w:t>
      </w:r>
      <w:r>
        <w:rPr>
          <w:rFonts w:hint="default" w:ascii="Times New Roman" w:hAnsi="Times New Roman" w:eastAsia="宋体" w:cs="Times New Roman"/>
          <w:color w:val="auto"/>
          <w:spacing w:val="0"/>
          <w:w w:val="100"/>
          <w:kern w:val="0"/>
          <w:position w:val="0"/>
          <w:sz w:val="24"/>
          <w:highlight w:val="none"/>
        </w:rPr>
        <w:t>kg/</w:t>
      </w:r>
      <w:r>
        <w:rPr>
          <w:rFonts w:hint="default" w:ascii="Times New Roman" w:hAnsi="Times New Roman" w:eastAsia="宋体" w:cs="Times New Roman"/>
          <w:color w:val="auto"/>
          <w:spacing w:val="0"/>
          <w:w w:val="100"/>
          <w:kern w:val="0"/>
          <w:position w:val="0"/>
          <w:sz w:val="24"/>
          <w:highlight w:val="none"/>
          <w:lang w:val="en-US" w:eastAsia="zh-CN"/>
        </w:rPr>
        <w:t>(1000t牛粪）</w:t>
      </w:r>
      <w:r>
        <w:rPr>
          <w:rFonts w:hint="default" w:ascii="Times New Roman" w:hAnsi="Times New Roman" w:eastAsia="宋体" w:cs="Times New Roman"/>
          <w:color w:val="auto"/>
          <w:spacing w:val="0"/>
          <w:w w:val="100"/>
          <w:kern w:val="0"/>
          <w:position w:val="0"/>
          <w:sz w:val="24"/>
          <w:highlight w:val="none"/>
        </w:rPr>
        <w:t>。建设单位通过采取对</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定期喷洒除臭剂，牛粪堆存时间不得超过一周，</w:t>
      </w:r>
      <w:r>
        <w:rPr>
          <w:rFonts w:hint="default" w:ascii="Times New Roman" w:hAnsi="Times New Roman" w:eastAsia="宋体" w:cs="Times New Roman"/>
          <w:color w:val="auto"/>
          <w:spacing w:val="0"/>
          <w:w w:val="100"/>
          <w:kern w:val="0"/>
          <w:position w:val="0"/>
          <w:sz w:val="24"/>
          <w:highlight w:val="none"/>
          <w:lang w:eastAsia="zh-CN"/>
        </w:rPr>
        <w:t>则牛粪</w:t>
      </w:r>
      <w:r>
        <w:rPr>
          <w:rFonts w:hint="default" w:ascii="Times New Roman" w:hAnsi="Times New Roman" w:cs="Times New Roman"/>
          <w:color w:val="auto"/>
          <w:spacing w:val="0"/>
          <w:w w:val="100"/>
          <w:kern w:val="0"/>
          <w:position w:val="0"/>
          <w:sz w:val="24"/>
          <w:highlight w:val="none"/>
          <w:lang w:eastAsia="zh-CN"/>
        </w:rPr>
        <w:t>堆存</w:t>
      </w:r>
      <w:r>
        <w:rPr>
          <w:rFonts w:hint="default" w:ascii="Times New Roman" w:hAnsi="Times New Roman" w:eastAsia="宋体" w:cs="Times New Roman"/>
          <w:color w:val="auto"/>
          <w:spacing w:val="0"/>
          <w:w w:val="100"/>
          <w:kern w:val="0"/>
          <w:position w:val="0"/>
          <w:sz w:val="24"/>
          <w:highlight w:val="none"/>
          <w:lang w:eastAsia="zh-CN"/>
        </w:rPr>
        <w:t>量为</w:t>
      </w:r>
      <w:r>
        <w:rPr>
          <w:rFonts w:hint="default" w:ascii="Times New Roman" w:hAnsi="Times New Roman" w:cs="Times New Roman"/>
          <w:color w:val="auto"/>
          <w:spacing w:val="0"/>
          <w:w w:val="100"/>
          <w:kern w:val="0"/>
          <w:position w:val="0"/>
          <w:sz w:val="24"/>
          <w:highlight w:val="none"/>
          <w:lang w:val="en-US" w:eastAsia="zh-CN"/>
        </w:rPr>
        <w:t>902.32</w:t>
      </w:r>
      <w:r>
        <w:rPr>
          <w:rFonts w:hint="default" w:ascii="Times New Roman" w:hAnsi="Times New Roman" w:eastAsia="宋体" w:cs="Times New Roman"/>
          <w:color w:val="auto"/>
          <w:spacing w:val="0"/>
          <w:w w:val="100"/>
          <w:kern w:val="0"/>
          <w:position w:val="0"/>
          <w:sz w:val="24"/>
          <w:highlight w:val="none"/>
          <w:lang w:eastAsia="zh-CN"/>
        </w:rPr>
        <w:t>t/周</w:t>
      </w:r>
      <w:r>
        <w:rPr>
          <w:rFonts w:hint="default" w:ascii="Times New Roman" w:hAnsi="Times New Roman" w:eastAsia="宋体"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恶臭污染抑制率在95%以上。本项目</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恶臭污染物排放总源强分别为NH</w:t>
      </w:r>
      <w:r>
        <w:rPr>
          <w:rFonts w:hint="default" w:ascii="Times New Roman" w:hAnsi="Times New Roman" w:eastAsia="宋体" w:cs="Times New Roman"/>
          <w:color w:val="auto"/>
          <w:spacing w:val="0"/>
          <w:w w:val="100"/>
          <w:kern w:val="0"/>
          <w:position w:val="0"/>
          <w:sz w:val="24"/>
          <w:highlight w:val="none"/>
          <w:vertAlign w:val="subscript"/>
        </w:rPr>
        <w:t>3</w:t>
      </w:r>
      <w:r>
        <w:rPr>
          <w:rFonts w:hint="default" w:ascii="Times New Roman" w:hAnsi="Times New Roman" w:eastAsia="宋体" w:cs="Times New Roman"/>
          <w:color w:val="auto"/>
          <w:spacing w:val="0"/>
          <w:w w:val="100"/>
          <w:kern w:val="0"/>
          <w:position w:val="0"/>
          <w:sz w:val="24"/>
          <w:highlight w:val="none"/>
        </w:rPr>
        <w:t>：0.0</w:t>
      </w:r>
      <w:r>
        <w:rPr>
          <w:rFonts w:hint="default" w:ascii="Times New Roman" w:hAnsi="Times New Roman" w:cs="Times New Roman"/>
          <w:color w:val="auto"/>
          <w:spacing w:val="0"/>
          <w:w w:val="100"/>
          <w:kern w:val="0"/>
          <w:position w:val="0"/>
          <w:sz w:val="24"/>
          <w:highlight w:val="none"/>
          <w:lang w:val="en-US" w:eastAsia="zh-CN"/>
        </w:rPr>
        <w:t>312</w:t>
      </w:r>
      <w:r>
        <w:rPr>
          <w:rFonts w:hint="default" w:ascii="Times New Roman" w:hAnsi="Times New Roman" w:eastAsia="宋体" w:cs="Times New Roman"/>
          <w:color w:val="auto"/>
          <w:spacing w:val="0"/>
          <w:w w:val="100"/>
          <w:kern w:val="0"/>
          <w:position w:val="0"/>
          <w:sz w:val="24"/>
          <w:highlight w:val="none"/>
        </w:rPr>
        <w:t>t/a（0.00</w:t>
      </w:r>
      <w:r>
        <w:rPr>
          <w:rFonts w:hint="default" w:ascii="Times New Roman" w:hAnsi="Times New Roman" w:cs="Times New Roman"/>
          <w:color w:val="auto"/>
          <w:spacing w:val="0"/>
          <w:w w:val="100"/>
          <w:kern w:val="0"/>
          <w:position w:val="0"/>
          <w:sz w:val="24"/>
          <w:highlight w:val="none"/>
          <w:lang w:val="en-US" w:eastAsia="zh-CN"/>
        </w:rPr>
        <w:t>36</w:t>
      </w:r>
      <w:r>
        <w:rPr>
          <w:rFonts w:hint="default" w:ascii="Times New Roman" w:hAnsi="Times New Roman" w:eastAsia="宋体" w:cs="Times New Roman"/>
          <w:color w:val="auto"/>
          <w:spacing w:val="0"/>
          <w:w w:val="100"/>
          <w:kern w:val="0"/>
          <w:position w:val="0"/>
          <w:sz w:val="24"/>
          <w:highlight w:val="none"/>
        </w:rPr>
        <w:t>kg/h），H</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S：0.0</w:t>
      </w:r>
      <w:r>
        <w:rPr>
          <w:rFonts w:hint="default" w:ascii="Times New Roman" w:hAnsi="Times New Roman" w:cs="Times New Roman"/>
          <w:color w:val="auto"/>
          <w:spacing w:val="0"/>
          <w:w w:val="100"/>
          <w:kern w:val="0"/>
          <w:position w:val="0"/>
          <w:sz w:val="24"/>
          <w:highlight w:val="none"/>
          <w:lang w:val="en-US" w:eastAsia="zh-CN"/>
        </w:rPr>
        <w:t>029</w:t>
      </w:r>
      <w:r>
        <w:rPr>
          <w:rFonts w:hint="default" w:ascii="Times New Roman" w:hAnsi="Times New Roman" w:eastAsia="宋体" w:cs="Times New Roman"/>
          <w:color w:val="auto"/>
          <w:spacing w:val="0"/>
          <w:w w:val="100"/>
          <w:kern w:val="0"/>
          <w:position w:val="0"/>
          <w:sz w:val="24"/>
          <w:highlight w:val="none"/>
        </w:rPr>
        <w:t>t/a（0.000</w:t>
      </w:r>
      <w:r>
        <w:rPr>
          <w:rFonts w:hint="default" w:ascii="Times New Roman" w:hAnsi="Times New Roman" w:cs="Times New Roman"/>
          <w:color w:val="auto"/>
          <w:spacing w:val="0"/>
          <w:w w:val="100"/>
          <w:kern w:val="0"/>
          <w:position w:val="0"/>
          <w:sz w:val="24"/>
          <w:highlight w:val="none"/>
          <w:lang w:val="en-US" w:eastAsia="zh-CN"/>
        </w:rPr>
        <w:t>34</w:t>
      </w:r>
      <w:r>
        <w:rPr>
          <w:rFonts w:hint="default" w:ascii="Times New Roman" w:hAnsi="Times New Roman" w:eastAsia="宋体" w:cs="Times New Roman"/>
          <w:color w:val="auto"/>
          <w:spacing w:val="0"/>
          <w:w w:val="100"/>
          <w:kern w:val="0"/>
          <w:position w:val="0"/>
          <w:sz w:val="24"/>
          <w:highlight w:val="none"/>
        </w:rPr>
        <w:t>kg/h），排放方式为无组织排放的面源。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w:t>
      </w:r>
      <w:r>
        <w:rPr>
          <w:rFonts w:hint="default" w:ascii="Times New Roman" w:hAnsi="Times New Roman" w:cs="Times New Roman"/>
          <w:bCs/>
          <w:color w:val="auto"/>
          <w:spacing w:val="0"/>
          <w:w w:val="100"/>
          <w:kern w:val="0"/>
          <w:position w:val="0"/>
          <w:sz w:val="24"/>
          <w:highlight w:val="none"/>
          <w:lang w:eastAsia="zh-CN"/>
        </w:rPr>
        <w:t>堆粪棚</w:t>
      </w:r>
      <w:r>
        <w:rPr>
          <w:rFonts w:hint="default" w:ascii="Times New Roman" w:hAnsi="Times New Roman" w:eastAsia="宋体" w:cs="Times New Roman"/>
          <w:bCs/>
          <w:color w:val="auto"/>
          <w:spacing w:val="0"/>
          <w:w w:val="100"/>
          <w:kern w:val="0"/>
          <w:position w:val="0"/>
          <w:sz w:val="24"/>
          <w:highlight w:val="none"/>
        </w:rPr>
        <w:t>恶臭气体产生排放情况见下表：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表2.4-2   堆粪棚恶臭气体产生排放情况一览表</w:t>
      </w:r>
    </w:p>
    <w:tbl>
      <w:tblPr>
        <w:tblStyle w:val="25"/>
        <w:tblW w:w="511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103"/>
        <w:gridCol w:w="1007"/>
        <w:gridCol w:w="1550"/>
        <w:gridCol w:w="1370"/>
        <w:gridCol w:w="1406"/>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12"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名称</w:t>
            </w:r>
          </w:p>
        </w:tc>
        <w:tc>
          <w:tcPr>
            <w:tcW w:w="10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宋体" w:cs="Times New Roman"/>
                <w:b/>
                <w:bCs/>
                <w:color w:val="auto"/>
                <w:spacing w:val="0"/>
                <w:w w:val="100"/>
                <w:kern w:val="0"/>
                <w:position w:val="0"/>
                <w:szCs w:val="21"/>
                <w:highlight w:val="none"/>
                <w:lang w:val="en-US" w:eastAsia="zh-CN"/>
              </w:rPr>
            </w:pPr>
            <w:r>
              <w:rPr>
                <w:rFonts w:hint="default" w:ascii="Times New Roman" w:hAnsi="Times New Roman" w:cs="Times New Roman"/>
                <w:b/>
                <w:bCs/>
                <w:color w:val="auto"/>
                <w:spacing w:val="0"/>
                <w:w w:val="100"/>
                <w:kern w:val="0"/>
                <w:position w:val="0"/>
                <w:szCs w:val="21"/>
                <w:highlight w:val="none"/>
                <w:lang w:val="en-US" w:eastAsia="zh-CN"/>
              </w:rPr>
              <w:t>最大堆存</w:t>
            </w:r>
            <w:r>
              <w:rPr>
                <w:rFonts w:hint="default" w:ascii="Times New Roman" w:hAnsi="Times New Roman" w:eastAsia="宋体" w:cs="Times New Roman"/>
                <w:b/>
                <w:bCs/>
                <w:color w:val="auto"/>
                <w:spacing w:val="0"/>
                <w:w w:val="100"/>
                <w:kern w:val="0"/>
                <w:position w:val="0"/>
                <w:szCs w:val="21"/>
                <w:highlight w:val="none"/>
                <w:lang w:val="en-US" w:eastAsia="zh-CN"/>
              </w:rPr>
              <w:t>量</w:t>
            </w:r>
          </w:p>
        </w:tc>
        <w:tc>
          <w:tcPr>
            <w:tcW w:w="99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污染物名称</w:t>
            </w:r>
          </w:p>
        </w:tc>
        <w:tc>
          <w:tcPr>
            <w:tcW w:w="288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产生量</w:t>
            </w:r>
          </w:p>
        </w:tc>
        <w:tc>
          <w:tcPr>
            <w:tcW w:w="276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12"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10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9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15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Cs w:val="21"/>
                <w:highlight w:val="none"/>
              </w:rPr>
            </w:pPr>
            <w:r>
              <w:rPr>
                <w:rFonts w:hint="default" w:ascii="Times New Roman" w:hAnsi="Times New Roman" w:eastAsia="宋体" w:cs="Times New Roman"/>
                <w:b/>
                <w:bCs w:val="0"/>
                <w:color w:val="auto"/>
                <w:spacing w:val="0"/>
                <w:w w:val="100"/>
                <w:kern w:val="0"/>
                <w:position w:val="0"/>
                <w:szCs w:val="21"/>
                <w:highlight w:val="none"/>
                <w:lang w:eastAsia="zh-CN"/>
              </w:rPr>
              <w:t>产生量</w:t>
            </w:r>
            <w:r>
              <w:rPr>
                <w:rFonts w:hint="default" w:ascii="Times New Roman" w:hAnsi="Times New Roman" w:eastAsia="宋体" w:cs="Times New Roman"/>
                <w:b/>
                <w:bCs w:val="0"/>
                <w:color w:val="auto"/>
                <w:spacing w:val="0"/>
                <w:w w:val="100"/>
                <w:kern w:val="0"/>
                <w:position w:val="0"/>
                <w:szCs w:val="21"/>
                <w:highlight w:val="none"/>
              </w:rPr>
              <w:t>t/a</w:t>
            </w:r>
          </w:p>
        </w:tc>
        <w:tc>
          <w:tcPr>
            <w:tcW w:w="13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Cs w:val="21"/>
                <w:highlight w:val="none"/>
              </w:rPr>
            </w:pPr>
            <w:r>
              <w:rPr>
                <w:rFonts w:hint="default" w:ascii="Times New Roman" w:hAnsi="Times New Roman" w:eastAsia="宋体" w:cs="Times New Roman"/>
                <w:b/>
                <w:bCs w:val="0"/>
                <w:color w:val="auto"/>
                <w:spacing w:val="0"/>
                <w:w w:val="100"/>
                <w:kern w:val="0"/>
                <w:position w:val="0"/>
                <w:szCs w:val="21"/>
                <w:highlight w:val="none"/>
                <w:lang w:eastAsia="zh-CN"/>
              </w:rPr>
              <w:t>产生速率</w:t>
            </w:r>
            <w:r>
              <w:rPr>
                <w:rFonts w:hint="default" w:ascii="Times New Roman" w:hAnsi="Times New Roman" w:eastAsia="宋体" w:cs="Times New Roman"/>
                <w:b/>
                <w:bCs w:val="0"/>
                <w:color w:val="auto"/>
                <w:spacing w:val="0"/>
                <w:w w:val="100"/>
                <w:kern w:val="0"/>
                <w:position w:val="0"/>
                <w:szCs w:val="21"/>
                <w:highlight w:val="none"/>
                <w:lang w:val="en-US" w:eastAsia="zh-CN"/>
              </w:rPr>
              <w:t>kg/h</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color w:val="auto"/>
                <w:spacing w:val="0"/>
                <w:w w:val="100"/>
                <w:kern w:val="0"/>
                <w:position w:val="0"/>
                <w:szCs w:val="21"/>
                <w:highlight w:val="none"/>
              </w:rPr>
            </w:pPr>
            <w:r>
              <w:rPr>
                <w:rFonts w:hint="default" w:ascii="Times New Roman" w:hAnsi="Times New Roman" w:eastAsia="宋体" w:cs="Times New Roman"/>
                <w:b/>
                <w:bCs w:val="0"/>
                <w:color w:val="auto"/>
                <w:spacing w:val="0"/>
                <w:w w:val="100"/>
                <w:kern w:val="0"/>
                <w:position w:val="0"/>
                <w:szCs w:val="21"/>
                <w:highlight w:val="none"/>
                <w:lang w:eastAsia="zh-CN"/>
              </w:rPr>
              <w:t>排放量</w:t>
            </w:r>
            <w:r>
              <w:rPr>
                <w:rFonts w:hint="default" w:ascii="Times New Roman" w:hAnsi="Times New Roman" w:eastAsia="宋体" w:cs="Times New Roman"/>
                <w:b/>
                <w:bCs w:val="0"/>
                <w:color w:val="auto"/>
                <w:spacing w:val="0"/>
                <w:w w:val="100"/>
                <w:kern w:val="0"/>
                <w:position w:val="0"/>
                <w:szCs w:val="21"/>
                <w:highlight w:val="none"/>
              </w:rPr>
              <w:t>t/a</w:t>
            </w:r>
          </w:p>
        </w:tc>
        <w:tc>
          <w:tcPr>
            <w:tcW w:w="13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lang w:eastAsia="zh-CN"/>
              </w:rPr>
              <w:t>排放速率</w:t>
            </w:r>
            <w:r>
              <w:rPr>
                <w:rFonts w:hint="default" w:ascii="Times New Roman" w:hAnsi="Times New Roman" w:eastAsia="宋体" w:cs="Times New Roman"/>
                <w:b/>
                <w:color w:val="auto"/>
                <w:spacing w:val="0"/>
                <w:w w:val="100"/>
                <w:kern w:val="0"/>
                <w:position w:val="0"/>
                <w:szCs w:val="21"/>
                <w:highlight w:val="none"/>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cs="Times New Roman"/>
                <w:bCs/>
                <w:color w:val="auto"/>
                <w:spacing w:val="0"/>
                <w:w w:val="100"/>
                <w:kern w:val="0"/>
                <w:position w:val="0"/>
                <w:szCs w:val="21"/>
                <w:highlight w:val="none"/>
                <w:lang w:eastAsia="zh-CN"/>
              </w:rPr>
              <w:t>堆粪棚</w:t>
            </w:r>
            <w:r>
              <w:rPr>
                <w:rFonts w:hint="default" w:ascii="Times New Roman" w:hAnsi="Times New Roman" w:eastAsia="宋体" w:cs="Times New Roman"/>
                <w:bCs/>
                <w:color w:val="auto"/>
                <w:spacing w:val="0"/>
                <w:w w:val="100"/>
                <w:kern w:val="0"/>
                <w:position w:val="0"/>
                <w:szCs w:val="21"/>
                <w:highlight w:val="none"/>
              </w:rPr>
              <w:t>恶臭</w:t>
            </w:r>
          </w:p>
        </w:tc>
        <w:tc>
          <w:tcPr>
            <w:tcW w:w="10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宋体" w:cs="Times New Roman"/>
                <w:bCs/>
                <w:color w:val="auto"/>
                <w:spacing w:val="0"/>
                <w:w w:val="100"/>
                <w:kern w:val="0"/>
                <w:position w:val="0"/>
                <w:szCs w:val="21"/>
                <w:highlight w:val="none"/>
                <w:lang w:val="en-US"/>
              </w:rPr>
            </w:pPr>
            <w:r>
              <w:rPr>
                <w:rFonts w:hint="default" w:ascii="Times New Roman" w:hAnsi="Times New Roman" w:cs="Times New Roman"/>
                <w:bCs/>
                <w:color w:val="auto"/>
                <w:spacing w:val="0"/>
                <w:w w:val="100"/>
                <w:kern w:val="0"/>
                <w:position w:val="0"/>
                <w:szCs w:val="21"/>
                <w:highlight w:val="none"/>
                <w:lang w:val="en-US" w:eastAsia="zh-CN"/>
              </w:rPr>
              <w:t>902.32t</w:t>
            </w:r>
          </w:p>
        </w:tc>
        <w:tc>
          <w:tcPr>
            <w:tcW w:w="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NH</w:t>
            </w:r>
            <w:r>
              <w:rPr>
                <w:rFonts w:hint="default" w:ascii="Times New Roman" w:hAnsi="Times New Roman" w:eastAsia="宋体" w:cs="Times New Roman"/>
                <w:bCs/>
                <w:color w:val="auto"/>
                <w:spacing w:val="0"/>
                <w:w w:val="100"/>
                <w:kern w:val="0"/>
                <w:position w:val="0"/>
                <w:szCs w:val="21"/>
                <w:highlight w:val="none"/>
                <w:vertAlign w:val="subscript"/>
              </w:rPr>
              <w:t>3</w:t>
            </w:r>
          </w:p>
        </w:tc>
        <w:tc>
          <w:tcPr>
            <w:tcW w:w="15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0.624</w:t>
            </w:r>
          </w:p>
        </w:tc>
        <w:tc>
          <w:tcPr>
            <w:tcW w:w="13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0.07</w:t>
            </w:r>
            <w:r>
              <w:rPr>
                <w:rFonts w:hint="default" w:ascii="Times New Roman" w:hAnsi="Times New Roman" w:cs="Times New Roman"/>
                <w:bCs/>
                <w:color w:val="auto"/>
                <w:spacing w:val="0"/>
                <w:w w:val="100"/>
                <w:kern w:val="0"/>
                <w:position w:val="0"/>
                <w:szCs w:val="21"/>
                <w:highlight w:val="none"/>
                <w:lang w:val="en-US" w:eastAsia="zh-CN"/>
              </w:rPr>
              <w:t>3</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0.0312</w:t>
            </w:r>
          </w:p>
        </w:tc>
        <w:tc>
          <w:tcPr>
            <w:tcW w:w="13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12"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0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H</w:t>
            </w:r>
            <w:r>
              <w:rPr>
                <w:rFonts w:hint="default" w:ascii="Times New Roman" w:hAnsi="Times New Roman" w:eastAsia="宋体" w:cs="Times New Roman"/>
                <w:bCs/>
                <w:color w:val="auto"/>
                <w:spacing w:val="0"/>
                <w:w w:val="100"/>
                <w:kern w:val="0"/>
                <w:position w:val="0"/>
                <w:szCs w:val="21"/>
                <w:highlight w:val="none"/>
                <w:vertAlign w:val="subscript"/>
              </w:rPr>
              <w:t>2</w:t>
            </w:r>
            <w:r>
              <w:rPr>
                <w:rFonts w:hint="default" w:ascii="Times New Roman" w:hAnsi="Times New Roman" w:eastAsia="宋体" w:cs="Times New Roman"/>
                <w:bCs/>
                <w:color w:val="auto"/>
                <w:spacing w:val="0"/>
                <w:w w:val="100"/>
                <w:kern w:val="0"/>
                <w:position w:val="0"/>
                <w:szCs w:val="21"/>
                <w:highlight w:val="none"/>
              </w:rPr>
              <w:t>S</w:t>
            </w:r>
          </w:p>
        </w:tc>
        <w:tc>
          <w:tcPr>
            <w:tcW w:w="15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0.057</w:t>
            </w:r>
          </w:p>
        </w:tc>
        <w:tc>
          <w:tcPr>
            <w:tcW w:w="13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0.006</w:t>
            </w:r>
            <w:r>
              <w:rPr>
                <w:rFonts w:hint="default" w:ascii="Times New Roman" w:hAnsi="Times New Roman" w:cs="Times New Roman"/>
                <w:bCs/>
                <w:color w:val="auto"/>
                <w:spacing w:val="0"/>
                <w:w w:val="100"/>
                <w:kern w:val="0"/>
                <w:position w:val="0"/>
                <w:szCs w:val="21"/>
                <w:highlight w:val="none"/>
                <w:lang w:val="en-US" w:eastAsia="zh-CN"/>
              </w:rPr>
              <w:t>8</w:t>
            </w:r>
          </w:p>
        </w:tc>
        <w:tc>
          <w:tcPr>
            <w:tcW w:w="1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0.002</w:t>
            </w:r>
            <w:r>
              <w:rPr>
                <w:rFonts w:hint="default" w:ascii="Times New Roman" w:hAnsi="Times New Roman" w:cs="Times New Roman"/>
                <w:bCs/>
                <w:color w:val="auto"/>
                <w:spacing w:val="0"/>
                <w:w w:val="100"/>
                <w:kern w:val="0"/>
                <w:position w:val="0"/>
                <w:szCs w:val="21"/>
                <w:highlight w:val="none"/>
                <w:lang w:val="en-US" w:eastAsia="zh-CN"/>
              </w:rPr>
              <w:t>9</w:t>
            </w:r>
          </w:p>
        </w:tc>
        <w:tc>
          <w:tcPr>
            <w:tcW w:w="13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0.0003</w:t>
            </w:r>
            <w:r>
              <w:rPr>
                <w:rFonts w:hint="default" w:ascii="Times New Roman" w:hAnsi="Times New Roman" w:cs="Times New Roman"/>
                <w:bCs/>
                <w:color w:val="auto"/>
                <w:spacing w:val="0"/>
                <w:w w:val="100"/>
                <w:kern w:val="0"/>
                <w:position w:val="0"/>
                <w:szCs w:val="21"/>
                <w:highlight w:val="none"/>
                <w:lang w:val="en-US" w:eastAsia="zh-CN"/>
              </w:rPr>
              <w:t>4</w:t>
            </w:r>
          </w:p>
        </w:tc>
      </w:tr>
    </w:tbl>
    <w:p>
      <w:pPr>
        <w:adjustRightInd w:val="0"/>
        <w:snapToGrid w:val="0"/>
        <w:spacing w:line="360" w:lineRule="auto"/>
        <w:ind w:firstLine="472" w:firstLineChars="197"/>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lang w:val="en-US" w:eastAsia="zh-CN"/>
        </w:rPr>
        <w:fldChar w:fldCharType="begin"/>
      </w:r>
      <w:r>
        <w:rPr>
          <w:rFonts w:hint="default" w:ascii="Times New Roman" w:hAnsi="Times New Roman" w:eastAsia="宋体" w:cs="Times New Roman"/>
          <w:bCs/>
          <w:color w:val="auto"/>
          <w:spacing w:val="0"/>
          <w:w w:val="100"/>
          <w:kern w:val="0"/>
          <w:position w:val="0"/>
          <w:sz w:val="24"/>
          <w:highlight w:val="none"/>
          <w:lang w:val="en-US" w:eastAsia="zh-CN"/>
        </w:rPr>
        <w:instrText xml:space="preserve"> = 3 \* GB2 \* MERGEFORMAT </w:instrText>
      </w:r>
      <w:r>
        <w:rPr>
          <w:rFonts w:hint="default" w:ascii="Times New Roman" w:hAnsi="Times New Roman" w:eastAsia="宋体" w:cs="Times New Roman"/>
          <w:bCs/>
          <w:color w:val="auto"/>
          <w:spacing w:val="0"/>
          <w:w w:val="100"/>
          <w:kern w:val="0"/>
          <w:position w:val="0"/>
          <w:sz w:val="24"/>
          <w:highlight w:val="none"/>
          <w:lang w:val="en-US" w:eastAsia="zh-CN"/>
        </w:rPr>
        <w:fldChar w:fldCharType="separate"/>
      </w:r>
      <w:r>
        <w:rPr>
          <w:rFonts w:hint="default" w:ascii="Times New Roman" w:hAnsi="Times New Roman" w:eastAsia="宋体" w:cs="Times New Roman"/>
          <w:bCs/>
          <w:color w:val="auto"/>
          <w:spacing w:val="0"/>
          <w:w w:val="100"/>
          <w:kern w:val="0"/>
          <w:position w:val="0"/>
          <w:sz w:val="24"/>
          <w:highlight w:val="none"/>
        </w:rPr>
        <w:t>⑶</w:t>
      </w:r>
      <w:r>
        <w:rPr>
          <w:rFonts w:hint="default" w:ascii="Times New Roman" w:hAnsi="Times New Roman" w:eastAsia="宋体" w:cs="Times New Roman"/>
          <w:bCs/>
          <w:color w:val="auto"/>
          <w:spacing w:val="0"/>
          <w:w w:val="100"/>
          <w:kern w:val="0"/>
          <w:position w:val="0"/>
          <w:sz w:val="24"/>
          <w:highlight w:val="none"/>
          <w:lang w:val="en-US" w:eastAsia="zh-CN"/>
        </w:rPr>
        <w:fldChar w:fldCharType="end"/>
      </w:r>
      <w:r>
        <w:rPr>
          <w:rFonts w:hint="default" w:ascii="Times New Roman" w:hAnsi="Times New Roman" w:eastAsia="宋体" w:cs="Times New Roman"/>
          <w:bCs/>
          <w:color w:val="auto"/>
          <w:spacing w:val="0"/>
          <w:w w:val="100"/>
          <w:kern w:val="0"/>
          <w:position w:val="0"/>
          <w:sz w:val="24"/>
          <w:highlight w:val="none"/>
        </w:rPr>
        <w:t>污水处理区恶臭</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本项目污水处理站运行过程中产生恶臭，其主要污染物为NH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S。根据美国EPA对污水处理</w:t>
      </w:r>
      <w:r>
        <w:rPr>
          <w:rFonts w:hint="default" w:ascii="Times New Roman" w:hAnsi="Times New Roman" w:eastAsia="宋体" w:cs="Times New Roman"/>
          <w:bCs/>
          <w:color w:val="auto"/>
          <w:spacing w:val="0"/>
          <w:w w:val="100"/>
          <w:kern w:val="0"/>
          <w:position w:val="0"/>
          <w:sz w:val="24"/>
          <w:highlight w:val="none"/>
          <w:lang w:eastAsia="zh-CN"/>
        </w:rPr>
        <w:t>场</w:t>
      </w:r>
      <w:r>
        <w:rPr>
          <w:rFonts w:hint="default" w:ascii="Times New Roman" w:hAnsi="Times New Roman" w:eastAsia="宋体" w:cs="Times New Roman"/>
          <w:bCs/>
          <w:color w:val="auto"/>
          <w:spacing w:val="0"/>
          <w:w w:val="100"/>
          <w:kern w:val="0"/>
          <w:position w:val="0"/>
          <w:sz w:val="24"/>
          <w:highlight w:val="none"/>
        </w:rPr>
        <w:t>恶臭污染物产生情况的研究，每处理1g的BOD</w:t>
      </w:r>
      <w:r>
        <w:rPr>
          <w:rFonts w:hint="default" w:ascii="Times New Roman" w:hAnsi="Times New Roman" w:eastAsia="宋体" w:cs="Times New Roman"/>
          <w:bCs/>
          <w:color w:val="auto"/>
          <w:spacing w:val="0"/>
          <w:w w:val="100"/>
          <w:kern w:val="0"/>
          <w:position w:val="0"/>
          <w:sz w:val="24"/>
          <w:highlight w:val="none"/>
          <w:vertAlign w:val="subscript"/>
        </w:rPr>
        <w:t>5</w:t>
      </w:r>
      <w:r>
        <w:rPr>
          <w:rFonts w:hint="default" w:ascii="Times New Roman" w:hAnsi="Times New Roman" w:eastAsia="宋体" w:cs="Times New Roman"/>
          <w:bCs/>
          <w:color w:val="auto"/>
          <w:spacing w:val="0"/>
          <w:w w:val="100"/>
          <w:kern w:val="0"/>
          <w:position w:val="0"/>
          <w:sz w:val="24"/>
          <w:highlight w:val="none"/>
        </w:rPr>
        <w:t>可产生0.0031g的NH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和0.00012g的H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S。本项目废水处理设施BOD</w:t>
      </w:r>
      <w:r>
        <w:rPr>
          <w:rFonts w:hint="default" w:ascii="Times New Roman" w:hAnsi="Times New Roman" w:eastAsia="宋体" w:cs="Times New Roman"/>
          <w:bCs/>
          <w:color w:val="auto"/>
          <w:spacing w:val="0"/>
          <w:w w:val="100"/>
          <w:kern w:val="0"/>
          <w:position w:val="0"/>
          <w:sz w:val="24"/>
          <w:highlight w:val="none"/>
          <w:vertAlign w:val="subscript"/>
        </w:rPr>
        <w:t>5</w:t>
      </w:r>
      <w:r>
        <w:rPr>
          <w:rFonts w:hint="default" w:ascii="Times New Roman" w:hAnsi="Times New Roman" w:eastAsia="宋体" w:cs="Times New Roman"/>
          <w:bCs/>
          <w:color w:val="auto"/>
          <w:spacing w:val="0"/>
          <w:w w:val="100"/>
          <w:kern w:val="0"/>
          <w:position w:val="0"/>
          <w:sz w:val="24"/>
          <w:highlight w:val="none"/>
        </w:rPr>
        <w:t>削减量为</w:t>
      </w:r>
      <w:r>
        <w:rPr>
          <w:rFonts w:hint="default" w:ascii="Times New Roman" w:hAnsi="Times New Roman" w:cs="Times New Roman"/>
          <w:bCs/>
          <w:color w:val="auto"/>
          <w:spacing w:val="0"/>
          <w:w w:val="100"/>
          <w:kern w:val="0"/>
          <w:position w:val="0"/>
          <w:sz w:val="24"/>
          <w:highlight w:val="none"/>
          <w:lang w:val="en-US" w:eastAsia="zh-CN"/>
        </w:rPr>
        <w:t>84.67</w:t>
      </w:r>
      <w:r>
        <w:rPr>
          <w:rFonts w:hint="default" w:ascii="Times New Roman" w:hAnsi="Times New Roman" w:eastAsia="宋体" w:cs="Times New Roman"/>
          <w:bCs/>
          <w:color w:val="auto"/>
          <w:spacing w:val="0"/>
          <w:w w:val="100"/>
          <w:kern w:val="0"/>
          <w:position w:val="0"/>
          <w:sz w:val="24"/>
          <w:highlight w:val="none"/>
        </w:rPr>
        <w:t>t/a，则产生的NH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和H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S总量分别为</w:t>
      </w:r>
      <w:r>
        <w:rPr>
          <w:rFonts w:hint="default" w:ascii="Times New Roman" w:hAnsi="Times New Roman" w:cs="Times New Roman"/>
          <w:bCs/>
          <w:color w:val="auto"/>
          <w:spacing w:val="0"/>
          <w:w w:val="100"/>
          <w:kern w:val="0"/>
          <w:position w:val="0"/>
          <w:sz w:val="24"/>
          <w:highlight w:val="none"/>
          <w:lang w:val="en-US" w:eastAsia="zh-CN"/>
        </w:rPr>
        <w:t>0.262</w:t>
      </w:r>
      <w:r>
        <w:rPr>
          <w:rFonts w:hint="default" w:ascii="Times New Roman" w:hAnsi="Times New Roman" w:eastAsia="宋体" w:cs="Times New Roman"/>
          <w:bCs/>
          <w:color w:val="auto"/>
          <w:spacing w:val="0"/>
          <w:w w:val="100"/>
          <w:kern w:val="0"/>
          <w:position w:val="0"/>
          <w:sz w:val="24"/>
          <w:highlight w:val="none"/>
        </w:rPr>
        <w:t>t/a（0.0</w:t>
      </w:r>
      <w:r>
        <w:rPr>
          <w:rFonts w:hint="default" w:ascii="Times New Roman" w:hAnsi="Times New Roman" w:cs="Times New Roman"/>
          <w:bCs/>
          <w:color w:val="auto"/>
          <w:spacing w:val="0"/>
          <w:w w:val="100"/>
          <w:kern w:val="0"/>
          <w:position w:val="0"/>
          <w:sz w:val="24"/>
          <w:highlight w:val="none"/>
          <w:lang w:val="en-US" w:eastAsia="zh-CN"/>
        </w:rPr>
        <w:t>3</w:t>
      </w:r>
      <w:r>
        <w:rPr>
          <w:rFonts w:hint="default" w:ascii="Times New Roman" w:hAnsi="Times New Roman" w:eastAsia="宋体" w:cs="Times New Roman"/>
          <w:bCs/>
          <w:color w:val="auto"/>
          <w:spacing w:val="0"/>
          <w:w w:val="100"/>
          <w:kern w:val="0"/>
          <w:position w:val="0"/>
          <w:sz w:val="24"/>
          <w:highlight w:val="none"/>
        </w:rPr>
        <w:t>kg/h）、0.0</w:t>
      </w:r>
      <w:r>
        <w:rPr>
          <w:rFonts w:hint="default" w:ascii="Times New Roman" w:hAnsi="Times New Roman" w:cs="Times New Roman"/>
          <w:bCs/>
          <w:color w:val="auto"/>
          <w:spacing w:val="0"/>
          <w:w w:val="100"/>
          <w:kern w:val="0"/>
          <w:position w:val="0"/>
          <w:sz w:val="24"/>
          <w:highlight w:val="none"/>
          <w:lang w:val="en-US" w:eastAsia="zh-CN"/>
        </w:rPr>
        <w:t>102</w:t>
      </w:r>
      <w:r>
        <w:rPr>
          <w:rFonts w:hint="default" w:ascii="Times New Roman" w:hAnsi="Times New Roman" w:eastAsia="宋体" w:cs="Times New Roman"/>
          <w:bCs/>
          <w:color w:val="auto"/>
          <w:spacing w:val="0"/>
          <w:w w:val="100"/>
          <w:kern w:val="0"/>
          <w:position w:val="0"/>
          <w:sz w:val="24"/>
          <w:highlight w:val="none"/>
        </w:rPr>
        <w:t>t/a（0.0</w:t>
      </w:r>
      <w:r>
        <w:rPr>
          <w:rFonts w:hint="default" w:ascii="Times New Roman" w:hAnsi="Times New Roman" w:cs="Times New Roman"/>
          <w:bCs/>
          <w:color w:val="auto"/>
          <w:spacing w:val="0"/>
          <w:w w:val="100"/>
          <w:kern w:val="0"/>
          <w:position w:val="0"/>
          <w:sz w:val="24"/>
          <w:highlight w:val="none"/>
          <w:lang w:val="en-US" w:eastAsia="zh-CN"/>
        </w:rPr>
        <w:t>012</w:t>
      </w:r>
      <w:r>
        <w:rPr>
          <w:rFonts w:hint="default" w:ascii="Times New Roman" w:hAnsi="Times New Roman" w:eastAsia="宋体" w:cs="Times New Roman"/>
          <w:bCs/>
          <w:color w:val="auto"/>
          <w:spacing w:val="0"/>
          <w:w w:val="100"/>
          <w:kern w:val="0"/>
          <w:position w:val="0"/>
          <w:sz w:val="24"/>
          <w:highlight w:val="none"/>
        </w:rPr>
        <w:t>kg/h）。</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本项目建设地下结构污水处理站，且对各个污水处理池采取加盖封闭，同时定期喷洒除臭剂抑制恶臭的产生，加强污水处理系统周围的绿化等措施，恶臭抑制率为</w:t>
      </w:r>
      <w:r>
        <w:rPr>
          <w:rFonts w:hint="default" w:ascii="Times New Roman" w:hAnsi="Times New Roman" w:cs="Times New Roman"/>
          <w:bCs/>
          <w:color w:val="auto"/>
          <w:spacing w:val="0"/>
          <w:w w:val="100"/>
          <w:kern w:val="0"/>
          <w:position w:val="0"/>
          <w:sz w:val="24"/>
          <w:highlight w:val="none"/>
          <w:lang w:val="en-US" w:eastAsia="zh-CN"/>
        </w:rPr>
        <w:t>6</w:t>
      </w:r>
      <w:r>
        <w:rPr>
          <w:rFonts w:hint="default" w:ascii="Times New Roman" w:hAnsi="Times New Roman" w:eastAsia="宋体" w:cs="Times New Roman"/>
          <w:bCs/>
          <w:color w:val="auto"/>
          <w:spacing w:val="0"/>
          <w:w w:val="100"/>
          <w:kern w:val="0"/>
          <w:position w:val="0"/>
          <w:sz w:val="24"/>
          <w:highlight w:val="none"/>
          <w:lang w:val="en-US" w:eastAsia="zh-CN"/>
        </w:rPr>
        <w:t>0</w:t>
      </w:r>
      <w:r>
        <w:rPr>
          <w:rFonts w:hint="default" w:ascii="Times New Roman" w:hAnsi="Times New Roman" w:eastAsia="宋体" w:cs="Times New Roman"/>
          <w:bCs/>
          <w:color w:val="auto"/>
          <w:spacing w:val="0"/>
          <w:w w:val="100"/>
          <w:kern w:val="0"/>
          <w:position w:val="0"/>
          <w:sz w:val="24"/>
          <w:highlight w:val="none"/>
        </w:rPr>
        <w:t>%，则NH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和H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S排放量分别为0.</w:t>
      </w:r>
      <w:r>
        <w:rPr>
          <w:rFonts w:hint="default" w:ascii="Times New Roman" w:hAnsi="Times New Roman" w:cs="Times New Roman"/>
          <w:bCs/>
          <w:color w:val="auto"/>
          <w:spacing w:val="0"/>
          <w:w w:val="100"/>
          <w:kern w:val="0"/>
          <w:position w:val="0"/>
          <w:sz w:val="24"/>
          <w:highlight w:val="none"/>
          <w:lang w:val="en-US" w:eastAsia="zh-CN"/>
        </w:rPr>
        <w:t>105</w:t>
      </w:r>
      <w:r>
        <w:rPr>
          <w:rFonts w:hint="default" w:ascii="Times New Roman" w:hAnsi="Times New Roman" w:eastAsia="宋体" w:cs="Times New Roman"/>
          <w:bCs/>
          <w:color w:val="auto"/>
          <w:spacing w:val="0"/>
          <w:w w:val="100"/>
          <w:kern w:val="0"/>
          <w:position w:val="0"/>
          <w:sz w:val="24"/>
          <w:highlight w:val="none"/>
        </w:rPr>
        <w:t>t/a（0.0</w:t>
      </w:r>
      <w:r>
        <w:rPr>
          <w:rFonts w:hint="default" w:ascii="Times New Roman" w:hAnsi="Times New Roman" w:cs="Times New Roman"/>
          <w:bCs/>
          <w:color w:val="auto"/>
          <w:spacing w:val="0"/>
          <w:w w:val="100"/>
          <w:kern w:val="0"/>
          <w:position w:val="0"/>
          <w:sz w:val="24"/>
          <w:highlight w:val="none"/>
          <w:lang w:val="en-US" w:eastAsia="zh-CN"/>
        </w:rPr>
        <w:t>12</w:t>
      </w:r>
      <w:r>
        <w:rPr>
          <w:rFonts w:hint="default" w:ascii="Times New Roman" w:hAnsi="Times New Roman" w:eastAsia="宋体" w:cs="Times New Roman"/>
          <w:bCs/>
          <w:color w:val="auto"/>
          <w:spacing w:val="0"/>
          <w:w w:val="100"/>
          <w:kern w:val="0"/>
          <w:position w:val="0"/>
          <w:sz w:val="24"/>
          <w:highlight w:val="none"/>
        </w:rPr>
        <w:t>kg/h）、0.00</w:t>
      </w:r>
      <w:r>
        <w:rPr>
          <w:rFonts w:hint="default" w:ascii="Times New Roman" w:hAnsi="Times New Roman" w:cs="Times New Roman"/>
          <w:bCs/>
          <w:color w:val="auto"/>
          <w:spacing w:val="0"/>
          <w:w w:val="100"/>
          <w:kern w:val="0"/>
          <w:position w:val="0"/>
          <w:sz w:val="24"/>
          <w:highlight w:val="none"/>
          <w:lang w:val="en-US" w:eastAsia="zh-CN"/>
        </w:rPr>
        <w:t>4</w:t>
      </w:r>
      <w:r>
        <w:rPr>
          <w:rFonts w:hint="default" w:ascii="Times New Roman" w:hAnsi="Times New Roman" w:eastAsia="宋体" w:cs="Times New Roman"/>
          <w:bCs/>
          <w:color w:val="auto"/>
          <w:spacing w:val="0"/>
          <w:w w:val="100"/>
          <w:kern w:val="0"/>
          <w:position w:val="0"/>
          <w:sz w:val="24"/>
          <w:highlight w:val="none"/>
        </w:rPr>
        <w:t>t/a（0.00</w:t>
      </w:r>
      <w:r>
        <w:rPr>
          <w:rFonts w:hint="default" w:ascii="Times New Roman" w:hAnsi="Times New Roman" w:cs="Times New Roman"/>
          <w:bCs/>
          <w:color w:val="auto"/>
          <w:spacing w:val="0"/>
          <w:w w:val="100"/>
          <w:kern w:val="0"/>
          <w:position w:val="0"/>
          <w:sz w:val="24"/>
          <w:highlight w:val="none"/>
          <w:lang w:val="en-US" w:eastAsia="zh-CN"/>
        </w:rPr>
        <w:t>05</w:t>
      </w:r>
      <w:r>
        <w:rPr>
          <w:rFonts w:hint="default" w:ascii="Times New Roman" w:hAnsi="Times New Roman" w:eastAsia="宋体" w:cs="Times New Roman"/>
          <w:bCs/>
          <w:color w:val="auto"/>
          <w:spacing w:val="0"/>
          <w:w w:val="100"/>
          <w:kern w:val="0"/>
          <w:position w:val="0"/>
          <w:sz w:val="24"/>
          <w:highlight w:val="none"/>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污水处理站恶臭气体产生排放情况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924"/>
        <w:gridCol w:w="1413"/>
        <w:gridCol w:w="1076"/>
        <w:gridCol w:w="1553"/>
        <w:gridCol w:w="1292"/>
        <w:gridCol w:w="1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名称</w:t>
            </w:r>
          </w:p>
        </w:tc>
        <w:tc>
          <w:tcPr>
            <w:tcW w:w="9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污染物名称</w:t>
            </w:r>
          </w:p>
        </w:tc>
        <w:tc>
          <w:tcPr>
            <w:tcW w:w="145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产污系数</w:t>
            </w:r>
          </w:p>
        </w:tc>
        <w:tc>
          <w:tcPr>
            <w:tcW w:w="270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产生量</w:t>
            </w:r>
          </w:p>
        </w:tc>
        <w:tc>
          <w:tcPr>
            <w:tcW w:w="282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9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14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lang w:eastAsia="zh-CN"/>
              </w:rPr>
              <w:t>产生</w:t>
            </w:r>
            <w:r>
              <w:rPr>
                <w:rFonts w:hint="default" w:ascii="Times New Roman" w:hAnsi="Times New Roman" w:eastAsia="宋体" w:cs="Times New Roman"/>
                <w:b/>
                <w:bCs w:val="0"/>
                <w:color w:val="auto"/>
                <w:spacing w:val="0"/>
                <w:w w:val="100"/>
                <w:kern w:val="0"/>
                <w:position w:val="0"/>
                <w:szCs w:val="21"/>
                <w:highlight w:val="none"/>
                <w:lang w:eastAsia="zh-CN"/>
              </w:rPr>
              <w:t>量</w:t>
            </w:r>
            <w:r>
              <w:rPr>
                <w:rFonts w:hint="default" w:ascii="Times New Roman" w:hAnsi="Times New Roman" w:eastAsia="宋体" w:cs="Times New Roman"/>
                <w:b/>
                <w:bCs w:val="0"/>
                <w:color w:val="auto"/>
                <w:spacing w:val="0"/>
                <w:w w:val="100"/>
                <w:kern w:val="0"/>
                <w:position w:val="0"/>
                <w:szCs w:val="21"/>
                <w:highlight w:val="none"/>
              </w:rPr>
              <w:t>t/a</w:t>
            </w:r>
          </w:p>
        </w:tc>
        <w:tc>
          <w:tcPr>
            <w:tcW w:w="15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lang w:eastAsia="zh-CN"/>
              </w:rPr>
              <w:t>产生速率</w:t>
            </w:r>
            <w:r>
              <w:rPr>
                <w:rFonts w:hint="default" w:ascii="Times New Roman" w:hAnsi="Times New Roman" w:eastAsia="宋体" w:cs="Times New Roman"/>
                <w:b/>
                <w:color w:val="auto"/>
                <w:spacing w:val="0"/>
                <w:w w:val="100"/>
                <w:kern w:val="0"/>
                <w:position w:val="0"/>
                <w:szCs w:val="21"/>
                <w:highlight w:val="none"/>
                <w:lang w:val="en-US" w:eastAsia="zh-CN"/>
              </w:rPr>
              <w:t>kg/h</w:t>
            </w:r>
          </w:p>
        </w:tc>
        <w:tc>
          <w:tcPr>
            <w:tcW w:w="13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center"/>
              <w:rPr>
                <w:rFonts w:hint="default" w:ascii="Times New Roman" w:hAnsi="Times New Roman" w:eastAsia="宋体" w:cs="Times New Roman"/>
                <w:b/>
                <w:bCs w:val="0"/>
                <w:color w:val="auto"/>
                <w:spacing w:val="0"/>
                <w:w w:val="100"/>
                <w:kern w:val="0"/>
                <w:position w:val="0"/>
                <w:szCs w:val="21"/>
                <w:highlight w:val="none"/>
              </w:rPr>
            </w:pPr>
            <w:r>
              <w:rPr>
                <w:rFonts w:hint="default" w:ascii="Times New Roman" w:hAnsi="Times New Roman" w:eastAsia="宋体" w:cs="Times New Roman"/>
                <w:b/>
                <w:bCs w:val="0"/>
                <w:color w:val="auto"/>
                <w:spacing w:val="0"/>
                <w:w w:val="100"/>
                <w:kern w:val="0"/>
                <w:position w:val="0"/>
                <w:szCs w:val="21"/>
                <w:highlight w:val="none"/>
                <w:lang w:eastAsia="zh-CN"/>
              </w:rPr>
              <w:t>排放量</w:t>
            </w:r>
            <w:r>
              <w:rPr>
                <w:rFonts w:hint="default" w:ascii="Times New Roman" w:hAnsi="Times New Roman" w:eastAsia="宋体" w:cs="Times New Roman"/>
                <w:b/>
                <w:bCs w:val="0"/>
                <w:color w:val="auto"/>
                <w:spacing w:val="0"/>
                <w:w w:val="100"/>
                <w:kern w:val="0"/>
                <w:position w:val="0"/>
                <w:szCs w:val="21"/>
                <w:highlight w:val="none"/>
              </w:rPr>
              <w:t>t/a</w:t>
            </w:r>
          </w:p>
        </w:tc>
        <w:tc>
          <w:tcPr>
            <w:tcW w:w="14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105" w:leftChars="-50" w:right="-105" w:rightChars="-50"/>
              <w:jc w:val="center"/>
              <w:textAlignment w:val="center"/>
              <w:rPr>
                <w:rFonts w:hint="default" w:ascii="Times New Roman" w:hAnsi="Times New Roman" w:eastAsia="宋体" w:cs="Times New Roman"/>
                <w:b/>
                <w:bCs w:val="0"/>
                <w:color w:val="auto"/>
                <w:spacing w:val="0"/>
                <w:w w:val="100"/>
                <w:kern w:val="0"/>
                <w:position w:val="0"/>
                <w:szCs w:val="21"/>
                <w:highlight w:val="none"/>
              </w:rPr>
            </w:pPr>
            <w:r>
              <w:rPr>
                <w:rFonts w:hint="default" w:ascii="Times New Roman" w:hAnsi="Times New Roman" w:eastAsia="宋体" w:cs="Times New Roman"/>
                <w:b/>
                <w:bCs w:val="0"/>
                <w:color w:val="auto"/>
                <w:spacing w:val="0"/>
                <w:w w:val="100"/>
                <w:kern w:val="0"/>
                <w:position w:val="0"/>
                <w:szCs w:val="21"/>
                <w:highlight w:val="none"/>
                <w:lang w:eastAsia="zh-CN"/>
              </w:rPr>
              <w:t>排放速率</w:t>
            </w:r>
            <w:r>
              <w:rPr>
                <w:rFonts w:hint="default" w:ascii="Times New Roman" w:hAnsi="Times New Roman" w:eastAsia="宋体" w:cs="Times New Roman"/>
                <w:b/>
                <w:bCs w:val="0"/>
                <w:color w:val="auto"/>
                <w:spacing w:val="0"/>
                <w:w w:val="100"/>
                <w:kern w:val="0"/>
                <w:position w:val="0"/>
                <w:szCs w:val="21"/>
                <w:highlight w:val="none"/>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污水处理站恶臭</w:t>
            </w:r>
          </w:p>
        </w:tc>
        <w:tc>
          <w:tcPr>
            <w:tcW w:w="9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NH</w:t>
            </w:r>
            <w:r>
              <w:rPr>
                <w:rFonts w:hint="default" w:ascii="Times New Roman" w:hAnsi="Times New Roman" w:eastAsia="宋体" w:cs="Times New Roman"/>
                <w:bCs/>
                <w:color w:val="auto"/>
                <w:spacing w:val="0"/>
                <w:w w:val="100"/>
                <w:kern w:val="0"/>
                <w:position w:val="0"/>
                <w:szCs w:val="21"/>
                <w:highlight w:val="none"/>
                <w:vertAlign w:val="subscript"/>
              </w:rPr>
              <w:t>3</w:t>
            </w:r>
          </w:p>
        </w:tc>
        <w:tc>
          <w:tcPr>
            <w:tcW w:w="14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0.0031g/1g</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BOD</w:t>
            </w:r>
            <w:r>
              <w:rPr>
                <w:rFonts w:hint="default" w:ascii="Times New Roman" w:hAnsi="Times New Roman" w:eastAsia="宋体" w:cs="Times New Roman"/>
                <w:bCs/>
                <w:color w:val="auto"/>
                <w:spacing w:val="0"/>
                <w:w w:val="100"/>
                <w:kern w:val="0"/>
                <w:position w:val="0"/>
                <w:szCs w:val="21"/>
                <w:highlight w:val="none"/>
                <w:vertAlign w:val="subscript"/>
              </w:rPr>
              <w:t>5</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0.</w:t>
            </w:r>
            <w:r>
              <w:rPr>
                <w:rFonts w:hint="default" w:ascii="Times New Roman" w:hAnsi="Times New Roman" w:cs="Times New Roman"/>
                <w:bCs/>
                <w:color w:val="auto"/>
                <w:spacing w:val="0"/>
                <w:w w:val="100"/>
                <w:kern w:val="0"/>
                <w:position w:val="0"/>
                <w:szCs w:val="21"/>
                <w:highlight w:val="none"/>
                <w:lang w:val="en-US" w:eastAsia="zh-CN"/>
              </w:rPr>
              <w:t>262</w:t>
            </w:r>
          </w:p>
        </w:tc>
        <w:tc>
          <w:tcPr>
            <w:tcW w:w="15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0.0</w:t>
            </w:r>
            <w:r>
              <w:rPr>
                <w:rFonts w:hint="default" w:ascii="Times New Roman" w:hAnsi="Times New Roman" w:cs="Times New Roman"/>
                <w:bCs/>
                <w:color w:val="auto"/>
                <w:spacing w:val="0"/>
                <w:w w:val="100"/>
                <w:kern w:val="0"/>
                <w:position w:val="0"/>
                <w:szCs w:val="21"/>
                <w:highlight w:val="none"/>
                <w:lang w:val="en-US" w:eastAsia="zh-CN"/>
              </w:rPr>
              <w:t>3</w:t>
            </w:r>
          </w:p>
        </w:tc>
        <w:tc>
          <w:tcPr>
            <w:tcW w:w="13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0.10</w:t>
            </w:r>
            <w:r>
              <w:rPr>
                <w:rFonts w:hint="default" w:ascii="Times New Roman" w:hAnsi="Times New Roman" w:cs="Times New Roman"/>
                <w:bCs/>
                <w:color w:val="auto"/>
                <w:spacing w:val="0"/>
                <w:w w:val="100"/>
                <w:kern w:val="0"/>
                <w:position w:val="0"/>
                <w:szCs w:val="21"/>
                <w:highlight w:val="none"/>
                <w:lang w:val="en-US" w:eastAsia="zh-CN"/>
              </w:rPr>
              <w:t>5</w:t>
            </w:r>
          </w:p>
        </w:tc>
        <w:tc>
          <w:tcPr>
            <w:tcW w:w="14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9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H</w:t>
            </w:r>
            <w:r>
              <w:rPr>
                <w:rFonts w:hint="default" w:ascii="Times New Roman" w:hAnsi="Times New Roman" w:eastAsia="宋体" w:cs="Times New Roman"/>
                <w:bCs/>
                <w:color w:val="auto"/>
                <w:spacing w:val="0"/>
                <w:w w:val="100"/>
                <w:kern w:val="0"/>
                <w:position w:val="0"/>
                <w:szCs w:val="21"/>
                <w:highlight w:val="none"/>
                <w:vertAlign w:val="subscript"/>
              </w:rPr>
              <w:t>2</w:t>
            </w:r>
            <w:r>
              <w:rPr>
                <w:rFonts w:hint="default" w:ascii="Times New Roman" w:hAnsi="Times New Roman" w:eastAsia="宋体" w:cs="Times New Roman"/>
                <w:bCs/>
                <w:color w:val="auto"/>
                <w:spacing w:val="0"/>
                <w:w w:val="100"/>
                <w:kern w:val="0"/>
                <w:position w:val="0"/>
                <w:szCs w:val="21"/>
                <w:highlight w:val="none"/>
              </w:rPr>
              <w:t>S</w:t>
            </w:r>
          </w:p>
        </w:tc>
        <w:tc>
          <w:tcPr>
            <w:tcW w:w="14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0.00012g/1g</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BOD</w:t>
            </w:r>
            <w:r>
              <w:rPr>
                <w:rFonts w:hint="default" w:ascii="Times New Roman" w:hAnsi="Times New Roman" w:eastAsia="宋体" w:cs="Times New Roman"/>
                <w:bCs/>
                <w:color w:val="auto"/>
                <w:spacing w:val="0"/>
                <w:w w:val="100"/>
                <w:kern w:val="0"/>
                <w:position w:val="0"/>
                <w:szCs w:val="21"/>
                <w:highlight w:val="none"/>
                <w:vertAlign w:val="subscript"/>
              </w:rPr>
              <w:t>5</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0.0</w:t>
            </w:r>
            <w:r>
              <w:rPr>
                <w:rFonts w:hint="default" w:ascii="Times New Roman" w:hAnsi="Times New Roman" w:cs="Times New Roman"/>
                <w:bCs/>
                <w:color w:val="auto"/>
                <w:spacing w:val="0"/>
                <w:w w:val="100"/>
                <w:kern w:val="0"/>
                <w:position w:val="0"/>
                <w:szCs w:val="21"/>
                <w:highlight w:val="none"/>
                <w:lang w:val="en-US" w:eastAsia="zh-CN"/>
              </w:rPr>
              <w:t>102</w:t>
            </w:r>
          </w:p>
        </w:tc>
        <w:tc>
          <w:tcPr>
            <w:tcW w:w="15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0.00</w:t>
            </w:r>
            <w:r>
              <w:rPr>
                <w:rFonts w:hint="default" w:ascii="Times New Roman" w:hAnsi="Times New Roman" w:cs="Times New Roman"/>
                <w:bCs/>
                <w:color w:val="auto"/>
                <w:spacing w:val="0"/>
                <w:w w:val="100"/>
                <w:kern w:val="0"/>
                <w:position w:val="0"/>
                <w:szCs w:val="21"/>
                <w:highlight w:val="none"/>
                <w:lang w:val="en-US" w:eastAsia="zh-CN"/>
              </w:rPr>
              <w:t>12</w:t>
            </w:r>
          </w:p>
        </w:tc>
        <w:tc>
          <w:tcPr>
            <w:tcW w:w="13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0.004</w:t>
            </w:r>
          </w:p>
        </w:tc>
        <w:tc>
          <w:tcPr>
            <w:tcW w:w="14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0.000</w:t>
            </w:r>
            <w:r>
              <w:rPr>
                <w:rFonts w:hint="default" w:ascii="Times New Roman" w:hAnsi="Times New Roman" w:cs="Times New Roman"/>
                <w:bCs/>
                <w:color w:val="auto"/>
                <w:spacing w:val="0"/>
                <w:w w:val="100"/>
                <w:kern w:val="0"/>
                <w:position w:val="0"/>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⑷饲料加工粉尘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w w:val="100"/>
          <w:kern w:val="0"/>
          <w:position w:val="0"/>
          <w:highlight w:val="none"/>
        </w:rPr>
      </w:pPr>
      <w:r>
        <w:rPr>
          <w:rFonts w:hint="default" w:ascii="Times New Roman" w:hAnsi="Times New Roman" w:eastAsia="宋体" w:cs="Times New Roman"/>
          <w:bCs/>
          <w:color w:val="auto"/>
          <w:spacing w:val="0"/>
          <w:w w:val="100"/>
          <w:kern w:val="0"/>
          <w:position w:val="0"/>
          <w:sz w:val="24"/>
          <w:highlight w:val="none"/>
        </w:rPr>
        <w:t>本项目</w:t>
      </w:r>
      <w:r>
        <w:rPr>
          <w:rStyle w:val="47"/>
          <w:rFonts w:hint="default" w:ascii="Times New Roman" w:hAnsi="Times New Roman" w:eastAsia="宋体" w:cs="Times New Roman"/>
          <w:color w:val="auto"/>
          <w:spacing w:val="0"/>
          <w:w w:val="100"/>
          <w:kern w:val="0"/>
          <w:position w:val="0"/>
          <w:highlight w:val="none"/>
        </w:rPr>
        <w:t>玉米秸秆、青贮、苜蓿、稻草等全部经粉碎机粉碎</w:t>
      </w:r>
      <w:r>
        <w:rPr>
          <w:rFonts w:hint="default" w:ascii="Times New Roman" w:hAnsi="Times New Roman" w:eastAsia="宋体" w:cs="Times New Roman"/>
          <w:bCs/>
          <w:color w:val="auto"/>
          <w:spacing w:val="0"/>
          <w:w w:val="100"/>
          <w:kern w:val="0"/>
          <w:position w:val="0"/>
          <w:sz w:val="24"/>
          <w:highlight w:val="none"/>
        </w:rPr>
        <w:t>过程会产生一定量的粉尘</w:t>
      </w:r>
      <w:r>
        <w:rPr>
          <w:rFonts w:hint="default" w:ascii="Times New Roman" w:hAnsi="Times New Roman" w:eastAsia="宋体" w:cs="Times New Roman"/>
          <w:color w:val="auto"/>
          <w:spacing w:val="0"/>
          <w:w w:val="100"/>
          <w:kern w:val="0"/>
          <w:position w:val="0"/>
          <w:sz w:val="24"/>
          <w:szCs w:val="22"/>
          <w:highlight w:val="none"/>
        </w:rPr>
        <w:t>。</w:t>
      </w:r>
      <w:r>
        <w:rPr>
          <w:rStyle w:val="47"/>
          <w:rFonts w:hint="default" w:ascii="Times New Roman" w:hAnsi="Times New Roman" w:eastAsia="宋体" w:cs="Times New Roman"/>
          <w:color w:val="auto"/>
          <w:spacing w:val="0"/>
          <w:w w:val="100"/>
          <w:kern w:val="0"/>
          <w:position w:val="0"/>
          <w:highlight w:val="none"/>
        </w:rPr>
        <w:t>饲料消耗量为</w:t>
      </w:r>
      <w:r>
        <w:rPr>
          <w:rFonts w:hint="eastAsia" w:ascii="Times New Roman" w:hAnsi="Times New Roman" w:cs="Times New Roman"/>
          <w:color w:val="auto"/>
          <w:spacing w:val="0"/>
          <w:w w:val="100"/>
          <w:kern w:val="0"/>
          <w:position w:val="0"/>
          <w:sz w:val="24"/>
          <w:highlight w:val="none"/>
          <w:lang w:val="en-US" w:eastAsia="zh-CN"/>
        </w:rPr>
        <w:t>42500</w:t>
      </w:r>
      <w:r>
        <w:rPr>
          <w:rFonts w:hint="default" w:ascii="Times New Roman" w:hAnsi="Times New Roman" w:eastAsia="宋体" w:cs="Times New Roman"/>
          <w:color w:val="auto"/>
          <w:spacing w:val="0"/>
          <w:w w:val="100"/>
          <w:kern w:val="0"/>
          <w:position w:val="0"/>
          <w:sz w:val="24"/>
          <w:highlight w:val="none"/>
          <w:lang w:val="zh-CN"/>
        </w:rPr>
        <w:t>t/a</w:t>
      </w:r>
      <w:r>
        <w:rPr>
          <w:rStyle w:val="47"/>
          <w:rFonts w:hint="default" w:ascii="Times New Roman" w:hAnsi="Times New Roman" w:eastAsia="宋体" w:cs="Times New Roman"/>
          <w:color w:val="auto"/>
          <w:spacing w:val="0"/>
          <w:w w:val="100"/>
          <w:kern w:val="0"/>
          <w:position w:val="0"/>
          <w:highlight w:val="none"/>
        </w:rPr>
        <w:t>，本项目饲料加工时间为</w:t>
      </w:r>
      <w:r>
        <w:rPr>
          <w:rStyle w:val="47"/>
          <w:rFonts w:hint="default" w:ascii="Times New Roman" w:hAnsi="Times New Roman" w:eastAsia="宋体" w:cs="Times New Roman"/>
          <w:color w:val="auto"/>
          <w:spacing w:val="0"/>
          <w:w w:val="100"/>
          <w:kern w:val="0"/>
          <w:position w:val="0"/>
          <w:highlight w:val="none"/>
          <w:lang w:val="en-US" w:eastAsia="zh-CN"/>
        </w:rPr>
        <w:t>8</w:t>
      </w:r>
      <w:r>
        <w:rPr>
          <w:rStyle w:val="47"/>
          <w:rFonts w:hint="default" w:ascii="Times New Roman" w:hAnsi="Times New Roman" w:eastAsia="宋体" w:cs="Times New Roman"/>
          <w:color w:val="auto"/>
          <w:spacing w:val="0"/>
          <w:w w:val="100"/>
          <w:kern w:val="0"/>
          <w:position w:val="0"/>
          <w:highlight w:val="none"/>
        </w:rPr>
        <w:t>h/d</w:t>
      </w:r>
      <w:r>
        <w:rPr>
          <w:rFonts w:hint="default" w:ascii="Times New Roman" w:hAnsi="Times New Roman" w:eastAsia="宋体" w:cs="Times New Roman"/>
          <w:snapToGrid w:val="0"/>
          <w:color w:val="auto"/>
          <w:spacing w:val="0"/>
          <w:w w:val="100"/>
          <w:kern w:val="0"/>
          <w:position w:val="0"/>
          <w:sz w:val="24"/>
          <w:szCs w:val="32"/>
        </w:rPr>
        <w:t>根据参照《第二次全国污染源普查工业污染源产排污系数手册》中“132饲料加工行业产排污系数表”，规</w:t>
      </w:r>
      <w:r>
        <w:rPr>
          <w:rFonts w:hint="default" w:ascii="Times New Roman" w:hAnsi="Times New Roman" w:eastAsia="宋体" w:cs="Times New Roman"/>
          <w:snapToGrid w:val="0"/>
          <w:color w:val="auto"/>
          <w:spacing w:val="0"/>
          <w:w w:val="100"/>
          <w:kern w:val="0"/>
          <w:position w:val="0"/>
          <w:sz w:val="24"/>
          <w:szCs w:val="24"/>
        </w:rPr>
        <w:t>模</w:t>
      </w:r>
      <w:r>
        <w:rPr>
          <w:rFonts w:hint="eastAsia" w:ascii="Times New Roman" w:hAnsi="Times New Roman" w:cs="Times New Roman"/>
          <w:color w:val="auto"/>
          <w:spacing w:val="0"/>
          <w:w w:val="100"/>
          <w:kern w:val="0"/>
          <w:position w:val="0"/>
          <w:sz w:val="24"/>
          <w:szCs w:val="24"/>
          <w:highlight w:val="none"/>
          <w:lang w:eastAsia="zh-CN"/>
        </w:rPr>
        <w:t>＜</w:t>
      </w:r>
      <w:r>
        <w:rPr>
          <w:rFonts w:hint="default" w:ascii="Times New Roman" w:hAnsi="Times New Roman" w:eastAsia="宋体" w:cs="Times New Roman"/>
          <w:snapToGrid w:val="0"/>
          <w:color w:val="auto"/>
          <w:spacing w:val="0"/>
          <w:w w:val="100"/>
          <w:kern w:val="0"/>
          <w:position w:val="0"/>
          <w:sz w:val="24"/>
          <w:szCs w:val="24"/>
        </w:rPr>
        <w:t>10</w:t>
      </w:r>
      <w:r>
        <w:rPr>
          <w:rFonts w:hint="default" w:ascii="Times New Roman" w:hAnsi="Times New Roman" w:eastAsia="宋体" w:cs="Times New Roman"/>
          <w:snapToGrid w:val="0"/>
          <w:color w:val="auto"/>
          <w:spacing w:val="0"/>
          <w:w w:val="100"/>
          <w:kern w:val="0"/>
          <w:position w:val="0"/>
          <w:sz w:val="24"/>
          <w:szCs w:val="32"/>
        </w:rPr>
        <w:t>万t/年的饲料加工企业粉尘产排污系数均为0.04</w:t>
      </w:r>
      <w:r>
        <w:rPr>
          <w:rFonts w:hint="eastAsia" w:ascii="Times New Roman" w:hAnsi="Times New Roman" w:cs="Times New Roman"/>
          <w:snapToGrid w:val="0"/>
          <w:color w:val="auto"/>
          <w:spacing w:val="0"/>
          <w:w w:val="100"/>
          <w:kern w:val="0"/>
          <w:position w:val="0"/>
          <w:sz w:val="24"/>
          <w:szCs w:val="32"/>
          <w:lang w:val="en-US" w:eastAsia="zh-CN"/>
        </w:rPr>
        <w:t>3</w:t>
      </w:r>
      <w:r>
        <w:rPr>
          <w:rFonts w:hint="default" w:ascii="Times New Roman" w:hAnsi="Times New Roman" w:eastAsia="宋体" w:cs="Times New Roman"/>
          <w:snapToGrid w:val="0"/>
          <w:color w:val="auto"/>
          <w:spacing w:val="0"/>
          <w:w w:val="100"/>
          <w:kern w:val="0"/>
          <w:position w:val="0"/>
          <w:sz w:val="24"/>
          <w:szCs w:val="32"/>
        </w:rPr>
        <w:t>kg/t-产品</w:t>
      </w:r>
      <w:r>
        <w:rPr>
          <w:rFonts w:hint="default" w:ascii="Times New Roman" w:hAnsi="Times New Roman" w:eastAsia="宋体" w:cs="Times New Roman"/>
          <w:color w:val="auto"/>
          <w:spacing w:val="0"/>
          <w:w w:val="100"/>
          <w:kern w:val="0"/>
          <w:position w:val="0"/>
          <w:sz w:val="24"/>
          <w:szCs w:val="22"/>
          <w:highlight w:val="none"/>
        </w:rPr>
        <w:t>，饲料加工行业产排污系数见表</w:t>
      </w:r>
      <w:r>
        <w:rPr>
          <w:rFonts w:hint="default" w:ascii="Times New Roman" w:hAnsi="Times New Roman" w:eastAsia="宋体" w:cs="Times New Roman"/>
          <w:color w:val="auto"/>
          <w:spacing w:val="0"/>
          <w:w w:val="100"/>
          <w:kern w:val="0"/>
          <w:position w:val="0"/>
          <w:sz w:val="24"/>
          <w:szCs w:val="22"/>
          <w:highlight w:val="none"/>
          <w:lang w:val="en-US" w:eastAsia="zh-CN"/>
        </w:rPr>
        <w:t>2.4-</w:t>
      </w:r>
      <w:r>
        <w:rPr>
          <w:rFonts w:hint="eastAsia" w:ascii="Times New Roman" w:hAnsi="Times New Roman" w:cs="Times New Roman"/>
          <w:color w:val="auto"/>
          <w:spacing w:val="0"/>
          <w:w w:val="100"/>
          <w:kern w:val="0"/>
          <w:position w:val="0"/>
          <w:sz w:val="24"/>
          <w:szCs w:val="22"/>
          <w:highlight w:val="none"/>
          <w:lang w:val="en-US" w:eastAsia="zh-CN"/>
        </w:rPr>
        <w:t>4</w:t>
      </w:r>
      <w:r>
        <w:rPr>
          <w:rFonts w:hint="default" w:ascii="Times New Roman" w:hAnsi="Times New Roman" w:eastAsia="宋体" w:cs="Times New Roman"/>
          <w:color w:val="auto"/>
          <w:spacing w:val="0"/>
          <w:w w:val="100"/>
          <w:kern w:val="0"/>
          <w:position w:val="0"/>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饲料加工行业产排污系数一览表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19"/>
        <w:gridCol w:w="1363"/>
        <w:gridCol w:w="1432"/>
        <w:gridCol w:w="1414"/>
        <w:gridCol w:w="1123"/>
        <w:gridCol w:w="1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产品名称</w:t>
            </w: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原料名称</w:t>
            </w:r>
          </w:p>
        </w:tc>
        <w:tc>
          <w:tcPr>
            <w:tcW w:w="13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工艺名称</w:t>
            </w:r>
          </w:p>
        </w:tc>
        <w:tc>
          <w:tcPr>
            <w:tcW w:w="14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规模等级</w:t>
            </w:r>
          </w:p>
        </w:tc>
        <w:tc>
          <w:tcPr>
            <w:tcW w:w="14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污染物指标</w:t>
            </w:r>
          </w:p>
        </w:tc>
        <w:tc>
          <w:tcPr>
            <w:tcW w:w="11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单位</w:t>
            </w:r>
          </w:p>
        </w:tc>
        <w:tc>
          <w:tcPr>
            <w:tcW w:w="13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配合饲料</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lang w:val="en-US" w:eastAsia="zh-CN"/>
              </w:rPr>
              <w:t>A5</w:t>
            </w:r>
            <w:r>
              <w:rPr>
                <w:rFonts w:hint="default" w:ascii="Times New Roman" w:hAnsi="Times New Roman" w:eastAsia="宋体" w:cs="Times New Roman"/>
                <w:color w:val="auto"/>
                <w:spacing w:val="0"/>
                <w:w w:val="100"/>
                <w:kern w:val="0"/>
                <w:position w:val="0"/>
                <w:szCs w:val="21"/>
                <w:highlight w:val="none"/>
                <w:lang w:eastAsia="zh-CN"/>
              </w:rPr>
              <w:t>）</w:t>
            </w: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玉米、豆粕等</w:t>
            </w:r>
          </w:p>
        </w:tc>
        <w:tc>
          <w:tcPr>
            <w:tcW w:w="13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颗粒饲料加工工艺</w:t>
            </w:r>
          </w:p>
        </w:tc>
        <w:tc>
          <w:tcPr>
            <w:tcW w:w="14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＜10万吨/年</w:t>
            </w:r>
          </w:p>
        </w:tc>
        <w:tc>
          <w:tcPr>
            <w:tcW w:w="14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工业粉尘</w:t>
            </w:r>
          </w:p>
        </w:tc>
        <w:tc>
          <w:tcPr>
            <w:tcW w:w="11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千克/吨-产品</w:t>
            </w:r>
          </w:p>
        </w:tc>
        <w:tc>
          <w:tcPr>
            <w:tcW w:w="13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0.04</w:t>
            </w:r>
            <w:r>
              <w:rPr>
                <w:rFonts w:hint="eastAsia" w:ascii="Times New Roman" w:hAnsi="Times New Roman" w:cs="Times New Roman"/>
                <w:color w:val="auto"/>
                <w:spacing w:val="0"/>
                <w:w w:val="100"/>
                <w:kern w:val="0"/>
                <w:position w:val="0"/>
                <w:szCs w:val="21"/>
                <w:highlight w:val="none"/>
                <w:lang w:val="en-US" w:eastAsia="zh-CN"/>
              </w:rPr>
              <w:t>3</w:t>
            </w:r>
          </w:p>
        </w:tc>
      </w:tr>
    </w:tbl>
    <w:p>
      <w:pPr>
        <w:keepNext w:val="0"/>
        <w:keepLines w:val="0"/>
        <w:pageBreakBefore w:val="0"/>
        <w:widowControl w:val="0"/>
        <w:kinsoku/>
        <w:wordWrap/>
        <w:overflowPunct/>
        <w:topLinePunct w:val="0"/>
        <w:autoSpaceDE/>
        <w:autoSpaceDN/>
        <w:bidi w:val="0"/>
        <w:adjustRightInd/>
        <w:snapToGrid w:val="0"/>
        <w:spacing w:line="368" w:lineRule="auto"/>
        <w:ind w:firstLine="480" w:firstLineChars="200"/>
        <w:jc w:val="both"/>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经计算，本项目粉尘产生量为</w:t>
      </w:r>
      <w:r>
        <w:rPr>
          <w:rFonts w:hint="eastAsia" w:ascii="Times New Roman" w:hAnsi="Times New Roman" w:cs="Times New Roman"/>
          <w:bCs/>
          <w:color w:val="auto"/>
          <w:spacing w:val="0"/>
          <w:w w:val="100"/>
          <w:kern w:val="0"/>
          <w:position w:val="0"/>
          <w:sz w:val="24"/>
          <w:highlight w:val="none"/>
          <w:lang w:val="en-US" w:eastAsia="zh-CN"/>
        </w:rPr>
        <w:t>1.827</w:t>
      </w:r>
      <w:r>
        <w:rPr>
          <w:rFonts w:hint="default" w:ascii="Times New Roman" w:hAnsi="Times New Roman" w:eastAsia="宋体" w:cs="Times New Roman"/>
          <w:bCs/>
          <w:color w:val="auto"/>
          <w:spacing w:val="0"/>
          <w:w w:val="100"/>
          <w:kern w:val="0"/>
          <w:position w:val="0"/>
          <w:sz w:val="24"/>
          <w:highlight w:val="none"/>
        </w:rPr>
        <w:t>t/a（</w:t>
      </w:r>
      <w:r>
        <w:rPr>
          <w:rFonts w:hint="eastAsia" w:ascii="Times New Roman" w:hAnsi="Times New Roman" w:cs="Times New Roman"/>
          <w:bCs/>
          <w:color w:val="auto"/>
          <w:spacing w:val="0"/>
          <w:w w:val="100"/>
          <w:kern w:val="0"/>
          <w:position w:val="0"/>
          <w:sz w:val="24"/>
          <w:highlight w:val="none"/>
          <w:lang w:val="en-US" w:eastAsia="zh-CN"/>
        </w:rPr>
        <w:t>0.626</w:t>
      </w:r>
      <w:r>
        <w:rPr>
          <w:rFonts w:hint="default" w:ascii="Times New Roman" w:hAnsi="Times New Roman" w:eastAsia="宋体" w:cs="Times New Roman"/>
          <w:bCs/>
          <w:color w:val="auto"/>
          <w:spacing w:val="0"/>
          <w:w w:val="100"/>
          <w:kern w:val="0"/>
          <w:position w:val="0"/>
          <w:sz w:val="24"/>
          <w:highlight w:val="none"/>
        </w:rPr>
        <w:t>kg/h），本项目采用半封闭日粮混合搅拌设备，设备自带收尘设施，除尘效率为99%，则本项目饲料加工粉尘的排放量为0.01</w:t>
      </w:r>
      <w:r>
        <w:rPr>
          <w:rFonts w:hint="eastAsia" w:ascii="Times New Roman" w:hAnsi="Times New Roman" w:cs="Times New Roman"/>
          <w:bCs/>
          <w:color w:val="auto"/>
          <w:spacing w:val="0"/>
          <w:w w:val="100"/>
          <w:kern w:val="0"/>
          <w:position w:val="0"/>
          <w:sz w:val="24"/>
          <w:highlight w:val="none"/>
          <w:lang w:val="en-US" w:eastAsia="zh-CN"/>
        </w:rPr>
        <w:t>8</w:t>
      </w:r>
      <w:r>
        <w:rPr>
          <w:rFonts w:hint="default" w:ascii="Times New Roman" w:hAnsi="Times New Roman" w:eastAsia="宋体" w:cs="Times New Roman"/>
          <w:bCs/>
          <w:color w:val="auto"/>
          <w:spacing w:val="0"/>
          <w:w w:val="100"/>
          <w:kern w:val="0"/>
          <w:position w:val="0"/>
          <w:sz w:val="24"/>
          <w:highlight w:val="none"/>
        </w:rPr>
        <w:t>t/a（0.0</w:t>
      </w:r>
      <w:r>
        <w:rPr>
          <w:rFonts w:hint="eastAsia" w:ascii="Times New Roman" w:hAnsi="Times New Roman" w:cs="Times New Roman"/>
          <w:bCs/>
          <w:color w:val="auto"/>
          <w:spacing w:val="0"/>
          <w:w w:val="100"/>
          <w:kern w:val="0"/>
          <w:position w:val="0"/>
          <w:sz w:val="24"/>
          <w:highlight w:val="none"/>
          <w:lang w:val="en-US" w:eastAsia="zh-CN"/>
        </w:rPr>
        <w:t>06</w:t>
      </w:r>
      <w:r>
        <w:rPr>
          <w:rFonts w:hint="default" w:ascii="Times New Roman" w:hAnsi="Times New Roman" w:eastAsia="宋体" w:cs="Times New Roman"/>
          <w:bCs/>
          <w:color w:val="auto"/>
          <w:spacing w:val="0"/>
          <w:w w:val="100"/>
          <w:kern w:val="0"/>
          <w:position w:val="0"/>
          <w:sz w:val="24"/>
          <w:highlight w:val="none"/>
        </w:rPr>
        <w:t>kg/h）。</w:t>
      </w:r>
    </w:p>
    <w:p>
      <w:pPr>
        <w:keepNext w:val="0"/>
        <w:keepLines w:val="0"/>
        <w:pageBreakBefore w:val="0"/>
        <w:widowControl w:val="0"/>
        <w:kinsoku/>
        <w:wordWrap/>
        <w:overflowPunct/>
        <w:topLinePunct w:val="0"/>
        <w:autoSpaceDE/>
        <w:autoSpaceDN/>
        <w:bidi w:val="0"/>
        <w:adjustRightInd/>
        <w:snapToGrid w:val="0"/>
        <w:spacing w:line="368" w:lineRule="auto"/>
        <w:ind w:firstLine="480" w:firstLineChars="200"/>
        <w:jc w:val="both"/>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粉碎机设置在项目半封闭式草料棚内，粉尘经布袋除尘器治理后无组织扩散，并定期洒水降尘，经预测本项目无组织排放浓度满足《大气污染物综合排放标准》</w:t>
      </w:r>
    </w:p>
    <w:p>
      <w:pPr>
        <w:keepNext w:val="0"/>
        <w:keepLines w:val="0"/>
        <w:pageBreakBefore w:val="0"/>
        <w:widowControl w:val="0"/>
        <w:kinsoku/>
        <w:wordWrap/>
        <w:overflowPunct/>
        <w:topLinePunct w:val="0"/>
        <w:autoSpaceDE/>
        <w:autoSpaceDN/>
        <w:bidi w:val="0"/>
        <w:adjustRightInd/>
        <w:snapToGrid w:val="0"/>
        <w:spacing w:line="368" w:lineRule="auto"/>
        <w:jc w:val="both"/>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（GB16297-1996）表2中无组织排放限值（1.0mg/m3）的要求，对周围环境影响较小。</w:t>
      </w:r>
    </w:p>
    <w:p>
      <w:pPr>
        <w:spacing w:line="360" w:lineRule="auto"/>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本项目饲料加工粉尘污染源源强核算见下表：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5</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饲料加工粉尘污染源源强核算情况一览表</w:t>
      </w:r>
    </w:p>
    <w:tbl>
      <w:tblPr>
        <w:tblStyle w:val="26"/>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64"/>
        <w:gridCol w:w="2983"/>
        <w:gridCol w:w="2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参数项目</w:t>
            </w:r>
          </w:p>
        </w:tc>
        <w:tc>
          <w:tcPr>
            <w:tcW w:w="29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lang w:eastAsia="zh-CN"/>
              </w:rPr>
              <w:t>粉尘产生情况</w:t>
            </w:r>
          </w:p>
        </w:tc>
        <w:tc>
          <w:tcPr>
            <w:tcW w:w="28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lang w:eastAsia="zh-CN"/>
              </w:rPr>
              <w:t>粉尘排放情况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饲料加工混合机组</w:t>
            </w:r>
          </w:p>
        </w:tc>
        <w:tc>
          <w:tcPr>
            <w:tcW w:w="58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处理设施</w:t>
            </w:r>
          </w:p>
        </w:tc>
        <w:tc>
          <w:tcPr>
            <w:tcW w:w="58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eastAsia="zh-CN"/>
              </w:rPr>
              <w:t>饲草加工自带收尘设施</w:t>
            </w:r>
            <w:r>
              <w:rPr>
                <w:rFonts w:hint="default" w:ascii="Times New Roman" w:hAnsi="Times New Roman" w:eastAsia="宋体" w:cs="Times New Roman"/>
                <w:color w:val="auto"/>
                <w:spacing w:val="0"/>
                <w:w w:val="100"/>
                <w:kern w:val="0"/>
                <w:position w:val="0"/>
                <w:szCs w:val="21"/>
                <w:highlight w:val="none"/>
                <w:lang w:val="en-US" w:eastAsia="zh-CN"/>
              </w:rPr>
              <w:t>+半封闭式草料棚+洒水降尘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颗粒物源强</w:t>
            </w:r>
          </w:p>
        </w:tc>
        <w:tc>
          <w:tcPr>
            <w:tcW w:w="15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总量</w:t>
            </w:r>
          </w:p>
        </w:tc>
        <w:tc>
          <w:tcPr>
            <w:tcW w:w="29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1.827</w:t>
            </w:r>
            <w:r>
              <w:rPr>
                <w:rFonts w:hint="default" w:ascii="Times New Roman" w:hAnsi="Times New Roman" w:eastAsia="宋体" w:cs="Times New Roman"/>
                <w:color w:val="auto"/>
                <w:spacing w:val="0"/>
                <w:w w:val="100"/>
                <w:kern w:val="0"/>
                <w:position w:val="0"/>
                <w:szCs w:val="21"/>
                <w:highlight w:val="none"/>
              </w:rPr>
              <w:t>t/a</w:t>
            </w:r>
          </w:p>
        </w:tc>
        <w:tc>
          <w:tcPr>
            <w:tcW w:w="28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0.0</w:t>
            </w:r>
            <w:r>
              <w:rPr>
                <w:rFonts w:hint="eastAsia" w:ascii="Times New Roman" w:hAnsi="Times New Roman" w:cs="Times New Roman"/>
                <w:color w:val="auto"/>
                <w:spacing w:val="0"/>
                <w:w w:val="100"/>
                <w:kern w:val="0"/>
                <w:position w:val="0"/>
                <w:szCs w:val="21"/>
                <w:highlight w:val="none"/>
                <w:lang w:val="en-US" w:eastAsia="zh-CN"/>
              </w:rPr>
              <w:t>18</w:t>
            </w:r>
            <w:r>
              <w:rPr>
                <w:rFonts w:hint="default" w:ascii="Times New Roman" w:hAnsi="Times New Roman" w:eastAsia="宋体" w:cs="Times New Roman"/>
                <w:color w:val="auto"/>
                <w:spacing w:val="0"/>
                <w:w w:val="100"/>
                <w:kern w:val="0"/>
                <w:position w:val="0"/>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p>
        </w:tc>
        <w:tc>
          <w:tcPr>
            <w:tcW w:w="15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速率</w:t>
            </w:r>
          </w:p>
        </w:tc>
        <w:tc>
          <w:tcPr>
            <w:tcW w:w="29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val="en-US" w:eastAsia="zh-CN"/>
              </w:rPr>
              <w:t>0.626</w:t>
            </w:r>
            <w:r>
              <w:rPr>
                <w:rFonts w:hint="default" w:ascii="Times New Roman" w:hAnsi="Times New Roman" w:eastAsia="宋体" w:cs="Times New Roman"/>
                <w:color w:val="auto"/>
                <w:spacing w:val="0"/>
                <w:w w:val="100"/>
                <w:kern w:val="0"/>
                <w:position w:val="0"/>
                <w:szCs w:val="21"/>
                <w:highlight w:val="none"/>
              </w:rPr>
              <w:t>g/h</w:t>
            </w:r>
          </w:p>
        </w:tc>
        <w:tc>
          <w:tcPr>
            <w:tcW w:w="28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0.0</w:t>
            </w:r>
            <w:r>
              <w:rPr>
                <w:rFonts w:hint="eastAsia" w:ascii="Times New Roman" w:hAnsi="Times New Roman" w:cs="Times New Roman"/>
                <w:color w:val="auto"/>
                <w:spacing w:val="0"/>
                <w:w w:val="100"/>
                <w:kern w:val="0"/>
                <w:position w:val="0"/>
                <w:szCs w:val="21"/>
                <w:highlight w:val="none"/>
                <w:lang w:val="en-US" w:eastAsia="zh-CN"/>
              </w:rPr>
              <w:t>06</w:t>
            </w:r>
            <w:r>
              <w:rPr>
                <w:rFonts w:hint="default" w:ascii="Times New Roman" w:hAnsi="Times New Roman" w:eastAsia="宋体" w:cs="Times New Roman"/>
                <w:color w:val="auto"/>
                <w:spacing w:val="0"/>
                <w:w w:val="100"/>
                <w:kern w:val="0"/>
                <w:position w:val="0"/>
                <w:szCs w:val="21"/>
                <w:highlight w:val="none"/>
              </w:rPr>
              <w:t>kg/h</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72" w:name="_Toc5364"/>
      <w:bookmarkStart w:id="573" w:name="_Toc28483"/>
      <w:r>
        <w:rPr>
          <w:rFonts w:hint="default" w:ascii="Times New Roman" w:hAnsi="Times New Roman" w:eastAsia="宋体" w:cs="Times New Roman"/>
          <w:snapToGrid w:val="0"/>
          <w:color w:val="auto"/>
          <w:spacing w:val="0"/>
          <w:w w:val="100"/>
          <w:kern w:val="0"/>
          <w:position w:val="0"/>
          <w:sz w:val="28"/>
          <w:szCs w:val="28"/>
          <w:highlight w:val="none"/>
          <w:lang w:val="en-US" w:eastAsia="zh-CN"/>
        </w:rPr>
        <w:t>2.4.2废水</w:t>
      </w:r>
      <w:bookmarkEnd w:id="572"/>
      <w:bookmarkEnd w:id="573"/>
    </w:p>
    <w:p>
      <w:pPr>
        <w:pStyle w:val="38"/>
        <w:adjustRightInd w:val="0"/>
        <w:snapToGrid w:val="0"/>
        <w:spacing w:line="348" w:lineRule="auto"/>
        <w:ind w:firstLine="480"/>
        <w:jc w:val="both"/>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highlight w:val="none"/>
          <w:lang w:val="zh-CN"/>
        </w:rPr>
        <w:t>废水主要为生产废水（</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bCs/>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、奶缸等设施清洗废水、挤奶厅地面冲洗</w:t>
      </w:r>
      <w:r>
        <w:rPr>
          <w:rFonts w:hint="default" w:ascii="Times New Roman" w:hAnsi="Times New Roman" w:eastAsia="宋体" w:cs="Times New Roman"/>
          <w:bCs/>
          <w:color w:val="auto"/>
          <w:spacing w:val="0"/>
          <w:w w:val="100"/>
          <w:kern w:val="0"/>
          <w:position w:val="0"/>
          <w:highlight w:val="none"/>
          <w:lang w:eastAsia="zh-CN"/>
        </w:rPr>
        <w:t>废水、</w:t>
      </w:r>
      <w:r>
        <w:rPr>
          <w:rFonts w:hint="default" w:ascii="Times New Roman" w:hAnsi="Times New Roman" w:eastAsia="宋体" w:cs="Times New Roman"/>
          <w:bCs/>
          <w:color w:val="auto"/>
          <w:spacing w:val="0"/>
          <w:w w:val="100"/>
          <w:kern w:val="0"/>
          <w:position w:val="0"/>
          <w:highlight w:val="none"/>
        </w:rPr>
        <w:t>牛槽清洗废水等</w:t>
      </w:r>
      <w:r>
        <w:rPr>
          <w:rFonts w:hint="default" w:ascii="Times New Roman" w:hAnsi="Times New Roman" w:eastAsia="宋体" w:cs="Times New Roman"/>
          <w:color w:val="auto"/>
          <w:spacing w:val="0"/>
          <w:w w:val="100"/>
          <w:kern w:val="0"/>
          <w:position w:val="0"/>
          <w:highlight w:val="none"/>
          <w:lang w:val="zh-CN"/>
        </w:rPr>
        <w:t>）及工作人员产生的生活废水，项目废水产生总量为</w:t>
      </w:r>
      <w:r>
        <w:rPr>
          <w:rFonts w:hint="default" w:ascii="Times New Roman" w:hAnsi="Times New Roman" w:cs="Times New Roman"/>
          <w:color w:val="auto"/>
          <w:spacing w:val="0"/>
          <w:w w:val="100"/>
          <w:kern w:val="0"/>
          <w:position w:val="0"/>
          <w:highlight w:val="none"/>
          <w:lang w:val="en-US" w:eastAsia="zh-CN"/>
        </w:rPr>
        <w:t>84.29m</w:t>
      </w:r>
      <w:r>
        <w:rPr>
          <w:rFonts w:hint="default" w:ascii="Times New Roman" w:hAnsi="Times New Roman" w:eastAsia="宋体" w:cs="Times New Roman"/>
          <w:color w:val="auto"/>
          <w:spacing w:val="0"/>
          <w:w w:val="100"/>
          <w:kern w:val="0"/>
          <w:position w:val="0"/>
          <w:highlight w:val="none"/>
          <w:vertAlign w:val="superscript"/>
          <w:lang w:val="en-US" w:eastAsia="zh-CN"/>
        </w:rPr>
        <w:t>3</w:t>
      </w:r>
      <w:r>
        <w:rPr>
          <w:rFonts w:hint="default" w:ascii="Times New Roman" w:hAnsi="Times New Roman" w:eastAsia="宋体" w:cs="Times New Roman"/>
          <w:color w:val="auto"/>
          <w:spacing w:val="0"/>
          <w:w w:val="100"/>
          <w:kern w:val="0"/>
          <w:position w:val="0"/>
          <w:highlight w:val="none"/>
          <w:lang w:val="en-US" w:eastAsia="zh-CN"/>
        </w:rPr>
        <w:t>/d</w:t>
      </w:r>
      <w:r>
        <w:rPr>
          <w:rFonts w:hint="default" w:ascii="Times New Roman" w:hAnsi="Times New Roman" w:eastAsia="宋体" w:cs="Times New Roman"/>
          <w:color w:val="auto"/>
          <w:spacing w:val="0"/>
          <w:w w:val="100"/>
          <w:kern w:val="0"/>
          <w:position w:val="0"/>
          <w:highlight w:val="none"/>
          <w:lang w:val="zh-CN"/>
        </w:rPr>
        <w:t>（</w:t>
      </w:r>
      <w:r>
        <w:rPr>
          <w:rFonts w:hint="eastAsia" w:ascii="Times New Roman" w:hAnsi="Times New Roman" w:cs="Times New Roman"/>
          <w:color w:val="auto"/>
          <w:spacing w:val="0"/>
          <w:w w:val="100"/>
          <w:kern w:val="0"/>
          <w:position w:val="0"/>
          <w:highlight w:val="none"/>
          <w:lang w:val="en-US" w:eastAsia="zh-CN"/>
        </w:rPr>
        <w:t>29965</w:t>
      </w:r>
      <w:r>
        <w:rPr>
          <w:rFonts w:hint="default" w:ascii="Times New Roman" w:hAnsi="Times New Roman" w:eastAsia="宋体" w:cs="Times New Roman"/>
          <w:color w:val="auto"/>
          <w:spacing w:val="0"/>
          <w:w w:val="100"/>
          <w:kern w:val="0"/>
          <w:position w:val="0"/>
          <w:highlight w:val="none"/>
          <w:lang w:val="zh-CN"/>
        </w:rPr>
        <w:t>m</w:t>
      </w:r>
      <w:r>
        <w:rPr>
          <w:rFonts w:hint="default" w:ascii="Times New Roman" w:hAnsi="Times New Roman" w:eastAsia="宋体" w:cs="Times New Roman"/>
          <w:color w:val="auto"/>
          <w:spacing w:val="0"/>
          <w:w w:val="100"/>
          <w:kern w:val="0"/>
          <w:position w:val="0"/>
          <w:highlight w:val="none"/>
          <w:vertAlign w:val="superscript"/>
          <w:lang w:val="zh-CN"/>
        </w:rPr>
        <w:t>3</w:t>
      </w:r>
      <w:r>
        <w:rPr>
          <w:rFonts w:hint="default" w:ascii="Times New Roman" w:hAnsi="Times New Roman" w:eastAsia="宋体" w:cs="Times New Roman"/>
          <w:color w:val="auto"/>
          <w:spacing w:val="0"/>
          <w:w w:val="100"/>
          <w:kern w:val="0"/>
          <w:position w:val="0"/>
          <w:highlight w:val="none"/>
          <w:lang w:val="zh-CN"/>
        </w:rPr>
        <w:t>/a）。</w:t>
      </w:r>
    </w:p>
    <w:p>
      <w:pPr>
        <w:pStyle w:val="38"/>
        <w:adjustRightInd w:val="0"/>
        <w:snapToGrid w:val="0"/>
        <w:spacing w:line="348" w:lineRule="auto"/>
        <w:ind w:firstLine="48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highlight w:val="none"/>
        </w:rPr>
        <w:t>生产废水</w:t>
      </w:r>
      <w:r>
        <w:rPr>
          <w:rFonts w:hint="default" w:ascii="Times New Roman" w:hAnsi="Times New Roman" w:eastAsia="宋体" w:cs="Times New Roman"/>
          <w:color w:val="auto"/>
          <w:spacing w:val="0"/>
          <w:w w:val="100"/>
          <w:kern w:val="0"/>
          <w:position w:val="0"/>
          <w:highlight w:val="none"/>
          <w:lang w:eastAsia="zh-CN"/>
        </w:rPr>
        <w:t>、生活污水</w:t>
      </w:r>
      <w:r>
        <w:rPr>
          <w:rFonts w:hint="default" w:ascii="Times New Roman" w:hAnsi="Times New Roman" w:eastAsia="宋体" w:cs="Times New Roman"/>
          <w:bCs/>
          <w:color w:val="auto"/>
          <w:spacing w:val="0"/>
          <w:w w:val="100"/>
          <w:kern w:val="0"/>
          <w:position w:val="0"/>
          <w:sz w:val="24"/>
          <w:szCs w:val="24"/>
          <w:highlight w:val="none"/>
        </w:rPr>
        <w:t>经建设单位自建</w:t>
      </w:r>
      <w:r>
        <w:rPr>
          <w:rFonts w:hint="default" w:ascii="Times New Roman" w:hAnsi="Times New Roman" w:eastAsia="宋体" w:cs="Times New Roman"/>
          <w:color w:val="auto"/>
          <w:spacing w:val="0"/>
          <w:w w:val="100"/>
          <w:kern w:val="0"/>
          <w:position w:val="0"/>
          <w:sz w:val="24"/>
          <w:szCs w:val="24"/>
          <w:highlight w:val="none"/>
        </w:rPr>
        <w:t>污水</w:t>
      </w:r>
      <w:r>
        <w:rPr>
          <w:rFonts w:hint="default" w:ascii="Times New Roman" w:hAnsi="Times New Roman" w:eastAsia="宋体" w:cs="Times New Roman"/>
          <w:bCs/>
          <w:color w:val="auto"/>
          <w:spacing w:val="0"/>
          <w:w w:val="100"/>
          <w:kern w:val="0"/>
          <w:position w:val="0"/>
          <w:sz w:val="24"/>
          <w:szCs w:val="24"/>
          <w:highlight w:val="none"/>
        </w:rPr>
        <w:t>处理站处理后</w:t>
      </w:r>
      <w:r>
        <w:rPr>
          <w:rFonts w:hint="default" w:ascii="Times New Roman" w:hAnsi="Times New Roman" w:eastAsia="宋体" w:cs="Times New Roman"/>
          <w:color w:val="auto"/>
          <w:spacing w:val="0"/>
          <w:w w:val="100"/>
          <w:kern w:val="0"/>
          <w:position w:val="0"/>
          <w:sz w:val="24"/>
          <w:szCs w:val="18"/>
          <w:highlight w:val="none"/>
        </w:rPr>
        <w:t>达到《农田灌溉水质标准》（GB5084-2005）</w:t>
      </w:r>
      <w:r>
        <w:rPr>
          <w:rFonts w:hint="default" w:ascii="Times New Roman" w:hAnsi="Times New Roman" w:eastAsia="宋体" w:cs="Times New Roman"/>
          <w:color w:val="auto"/>
          <w:spacing w:val="0"/>
          <w:w w:val="100"/>
          <w:kern w:val="0"/>
          <w:position w:val="0"/>
          <w:sz w:val="24"/>
          <w:szCs w:val="24"/>
          <w:highlight w:val="none"/>
          <w:lang w:val="zh-CN"/>
        </w:rPr>
        <w:t>中“旱作”标准后，用于</w:t>
      </w:r>
      <w:r>
        <w:rPr>
          <w:rFonts w:hint="eastAsia" w:ascii="Times New Roman" w:hAnsi="Times New Roman"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color w:val="auto"/>
          <w:spacing w:val="0"/>
          <w:w w:val="100"/>
          <w:kern w:val="0"/>
          <w:position w:val="0"/>
          <w:sz w:val="24"/>
          <w:szCs w:val="24"/>
          <w:highlight w:val="none"/>
          <w:lang w:val="zh-CN"/>
        </w:rPr>
        <w:t>。</w:t>
      </w:r>
      <w:r>
        <w:rPr>
          <w:rFonts w:hint="default" w:ascii="Times New Roman" w:hAnsi="Times New Roman" w:eastAsia="宋体" w:cs="Times New Roman"/>
          <w:bCs/>
          <w:color w:val="auto"/>
          <w:spacing w:val="0"/>
          <w:w w:val="100"/>
          <w:kern w:val="0"/>
          <w:position w:val="0"/>
          <w:sz w:val="24"/>
          <w:szCs w:val="24"/>
          <w:highlight w:val="none"/>
        </w:rPr>
        <w:t>冬季储存</w:t>
      </w:r>
      <w:r>
        <w:rPr>
          <w:rFonts w:hint="default" w:ascii="Times New Roman" w:hAnsi="Times New Roman" w:eastAsia="宋体" w:cs="Times New Roman"/>
          <w:bCs/>
          <w:color w:val="auto"/>
          <w:spacing w:val="0"/>
          <w:w w:val="100"/>
          <w:kern w:val="0"/>
          <w:position w:val="0"/>
          <w:sz w:val="24"/>
          <w:szCs w:val="24"/>
          <w:highlight w:val="none"/>
          <w:lang w:eastAsia="zh-CN"/>
        </w:rPr>
        <w:t>项目氧化塘</w:t>
      </w:r>
      <w:r>
        <w:rPr>
          <w:rFonts w:hint="default" w:ascii="Times New Roman" w:hAnsi="Times New Roman" w:eastAsia="宋体" w:cs="Times New Roman"/>
          <w:bCs/>
          <w:color w:val="auto"/>
          <w:spacing w:val="0"/>
          <w:w w:val="100"/>
          <w:kern w:val="0"/>
          <w:position w:val="0"/>
          <w:sz w:val="24"/>
          <w:szCs w:val="24"/>
          <w:highlight w:val="none"/>
        </w:rPr>
        <w:t>（</w:t>
      </w:r>
      <w:r>
        <w:rPr>
          <w:rFonts w:hint="default" w:ascii="Times New Roman" w:hAnsi="Times New Roman" w:eastAsia="宋体" w:cs="Times New Roman"/>
          <w:bCs/>
          <w:color w:val="auto"/>
          <w:spacing w:val="0"/>
          <w:w w:val="100"/>
          <w:kern w:val="0"/>
          <w:position w:val="0"/>
          <w:sz w:val="24"/>
          <w:szCs w:val="24"/>
          <w:highlight w:val="none"/>
          <w:lang w:eastAsia="zh-CN"/>
        </w:rPr>
        <w:t>总容积</w:t>
      </w:r>
      <w:r>
        <w:rPr>
          <w:rFonts w:hint="default" w:ascii="Times New Roman" w:hAnsi="Times New Roman" w:cs="Times New Roman"/>
          <w:bCs/>
          <w:color w:val="auto"/>
          <w:spacing w:val="0"/>
          <w:w w:val="100"/>
          <w:kern w:val="0"/>
          <w:position w:val="0"/>
          <w:sz w:val="24"/>
          <w:szCs w:val="24"/>
          <w:highlight w:val="none"/>
          <w:lang w:val="en-US" w:eastAsia="zh-CN"/>
        </w:rPr>
        <w:t>16000m</w:t>
      </w:r>
      <w:r>
        <w:rPr>
          <w:rFonts w:hint="default" w:ascii="Times New Roman" w:hAnsi="Times New Roman" w:eastAsia="宋体" w:cs="Times New Roman"/>
          <w:bCs/>
          <w:color w:val="auto"/>
          <w:spacing w:val="0"/>
          <w:w w:val="100"/>
          <w:kern w:val="0"/>
          <w:position w:val="0"/>
          <w:sz w:val="24"/>
          <w:szCs w:val="24"/>
          <w:highlight w:val="none"/>
          <w:vertAlign w:val="superscript"/>
        </w:rPr>
        <w:t>3</w:t>
      </w:r>
      <w:r>
        <w:rPr>
          <w:rFonts w:hint="default" w:ascii="Times New Roman" w:hAnsi="Times New Roman" w:eastAsia="宋体" w:cs="Times New Roman"/>
          <w:bCs/>
          <w:color w:val="auto"/>
          <w:spacing w:val="0"/>
          <w:w w:val="100"/>
          <w:kern w:val="0"/>
          <w:position w:val="0"/>
          <w:sz w:val="24"/>
          <w:szCs w:val="24"/>
          <w:highlight w:val="none"/>
        </w:rPr>
        <w:t>），待春季用于</w:t>
      </w:r>
      <w:r>
        <w:rPr>
          <w:rFonts w:hint="eastAsia" w:ascii="Times New Roman" w:hAnsi="Times New Roman" w:cs="Times New Roman"/>
          <w:color w:val="auto"/>
          <w:spacing w:val="0"/>
          <w:w w:val="100"/>
          <w:kern w:val="0"/>
          <w:position w:val="0"/>
          <w:sz w:val="24"/>
          <w:szCs w:val="24"/>
          <w:highlight w:val="none"/>
          <w:lang w:val="zh-CN"/>
        </w:rPr>
        <w:t>周边农田灌溉</w:t>
      </w:r>
      <w:r>
        <w:rPr>
          <w:rFonts w:hint="default" w:ascii="Times New Roman" w:hAnsi="Times New Roman" w:eastAsia="宋体" w:cs="Times New Roman"/>
          <w:bCs/>
          <w:color w:val="auto"/>
          <w:spacing w:val="0"/>
          <w:w w:val="100"/>
          <w:kern w:val="0"/>
          <w:position w:val="0"/>
          <w:sz w:val="24"/>
          <w:szCs w:val="24"/>
          <w:highlight w:val="none"/>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sectPr>
          <w:headerReference r:id="rId8"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szCs w:val="22"/>
          <w:highlight w:val="none"/>
        </w:rPr>
        <w:t>根据《畜禽养殖业污染防治技术规范》（HJ/T81-2001）及《畜禽养殖业污染物排放标准》（GB18596-2001）中的相关规定和要求，并结合本项目实际情况，确定废水中主要污染因子为COD、BOD</w:t>
      </w:r>
      <w:r>
        <w:rPr>
          <w:rFonts w:hint="default" w:ascii="Times New Roman" w:hAnsi="Times New Roman" w:eastAsia="宋体" w:cs="Times New Roman"/>
          <w:color w:val="auto"/>
          <w:spacing w:val="0"/>
          <w:w w:val="100"/>
          <w:kern w:val="0"/>
          <w:position w:val="0"/>
          <w:sz w:val="24"/>
          <w:szCs w:val="22"/>
          <w:highlight w:val="none"/>
          <w:vertAlign w:val="subscript"/>
        </w:rPr>
        <w:t>5</w:t>
      </w:r>
      <w:r>
        <w:rPr>
          <w:rFonts w:hint="default" w:ascii="Times New Roman" w:hAnsi="Times New Roman" w:eastAsia="宋体" w:cs="Times New Roman"/>
          <w:color w:val="auto"/>
          <w:spacing w:val="0"/>
          <w:w w:val="100"/>
          <w:kern w:val="0"/>
          <w:position w:val="0"/>
          <w:sz w:val="24"/>
          <w:szCs w:val="22"/>
          <w:highlight w:val="none"/>
        </w:rPr>
        <w:t>、SS、NH</w:t>
      </w:r>
      <w:r>
        <w:rPr>
          <w:rFonts w:hint="default" w:ascii="Times New Roman" w:hAnsi="Times New Roman" w:eastAsia="宋体" w:cs="Times New Roman"/>
          <w:color w:val="auto"/>
          <w:spacing w:val="0"/>
          <w:w w:val="100"/>
          <w:kern w:val="0"/>
          <w:position w:val="0"/>
          <w:sz w:val="24"/>
          <w:szCs w:val="22"/>
          <w:highlight w:val="none"/>
          <w:vertAlign w:val="subscript"/>
        </w:rPr>
        <w:t>3</w:t>
      </w:r>
      <w:r>
        <w:rPr>
          <w:rFonts w:hint="default" w:ascii="Times New Roman" w:hAnsi="Times New Roman" w:eastAsia="宋体" w:cs="Times New Roman"/>
          <w:color w:val="auto"/>
          <w:spacing w:val="0"/>
          <w:w w:val="100"/>
          <w:kern w:val="0"/>
          <w:position w:val="0"/>
          <w:sz w:val="24"/>
          <w:szCs w:val="22"/>
          <w:highlight w:val="none"/>
        </w:rPr>
        <w:t>-N、TP</w:t>
      </w:r>
      <w:r>
        <w:rPr>
          <w:rFonts w:hint="default" w:ascii="Times New Roman" w:hAnsi="Times New Roman" w:eastAsia="宋体" w:cs="Times New Roman"/>
          <w:color w:val="auto"/>
          <w:spacing w:val="0"/>
          <w:w w:val="100"/>
          <w:kern w:val="0"/>
          <w:position w:val="0"/>
          <w:sz w:val="24"/>
          <w:szCs w:val="22"/>
          <w:highlight w:val="none"/>
          <w:lang w:eastAsia="zh-CN"/>
        </w:rPr>
        <w:t>、粪大肠杆菌、蛔虫卵</w:t>
      </w:r>
      <w:r>
        <w:rPr>
          <w:rFonts w:hint="default" w:ascii="Times New Roman" w:hAnsi="Times New Roman" w:eastAsia="宋体" w:cs="Times New Roman"/>
          <w:color w:val="auto"/>
          <w:spacing w:val="0"/>
          <w:w w:val="100"/>
          <w:kern w:val="0"/>
          <w:position w:val="0"/>
          <w:sz w:val="24"/>
          <w:szCs w:val="22"/>
          <w:highlight w:val="none"/>
        </w:rPr>
        <w:t>等。本项目废水水质情况详见表2.</w:t>
      </w:r>
      <w:r>
        <w:rPr>
          <w:rFonts w:hint="default" w:ascii="Times New Roman" w:hAnsi="Times New Roman" w:eastAsia="宋体" w:cs="Times New Roman"/>
          <w:color w:val="auto"/>
          <w:spacing w:val="0"/>
          <w:w w:val="100"/>
          <w:kern w:val="0"/>
          <w:position w:val="0"/>
          <w:sz w:val="24"/>
          <w:szCs w:val="22"/>
          <w:highlight w:val="none"/>
          <w:lang w:val="en-US" w:eastAsia="zh-CN"/>
        </w:rPr>
        <w:t>4-</w:t>
      </w:r>
      <w:r>
        <w:rPr>
          <w:rFonts w:hint="eastAsia" w:ascii="Times New Roman" w:hAnsi="Times New Roman" w:cs="Times New Roman"/>
          <w:color w:val="auto"/>
          <w:spacing w:val="0"/>
          <w:w w:val="100"/>
          <w:kern w:val="0"/>
          <w:position w:val="0"/>
          <w:sz w:val="24"/>
          <w:szCs w:val="22"/>
          <w:highlight w:val="none"/>
          <w:lang w:val="en-US" w:eastAsia="zh-CN"/>
        </w:rPr>
        <w:t>6</w:t>
      </w:r>
      <w:r>
        <w:rPr>
          <w:rFonts w:hint="default" w:ascii="Times New Roman" w:hAnsi="Times New Roman" w:eastAsia="宋体" w:cs="Times New Roman"/>
          <w:color w:val="auto"/>
          <w:spacing w:val="0"/>
          <w:w w:val="100"/>
          <w:kern w:val="0"/>
          <w:position w:val="0"/>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6</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项目</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废水产生及排放情况一览表</w:t>
      </w:r>
    </w:p>
    <w:tbl>
      <w:tblPr>
        <w:tblStyle w:val="25"/>
        <w:tblW w:w="50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99"/>
        <w:gridCol w:w="880"/>
        <w:gridCol w:w="966"/>
        <w:gridCol w:w="936"/>
        <w:gridCol w:w="971"/>
        <w:gridCol w:w="951"/>
        <w:gridCol w:w="946"/>
        <w:gridCol w:w="832"/>
        <w:gridCol w:w="1878"/>
        <w:gridCol w:w="1907"/>
        <w:gridCol w:w="1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类别</w:t>
            </w:r>
          </w:p>
        </w:tc>
        <w:tc>
          <w:tcPr>
            <w:tcW w:w="139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rPr>
              <w:t>废水量</w:t>
            </w:r>
            <w:r>
              <w:rPr>
                <w:rFonts w:hint="default" w:ascii="Times New Roman" w:hAnsi="Times New Roman" w:eastAsia="宋体" w:cs="Times New Roman"/>
                <w:b/>
                <w:bCs/>
                <w:color w:val="auto"/>
                <w:spacing w:val="0"/>
                <w:w w:val="100"/>
                <w:kern w:val="0"/>
                <w:position w:val="0"/>
                <w:szCs w:val="21"/>
                <w:highlight w:val="none"/>
                <w:lang w:val="en-US" w:eastAsia="zh-CN"/>
              </w:rPr>
              <w:t>(</w:t>
            </w:r>
            <w:r>
              <w:rPr>
                <w:rFonts w:hint="default" w:ascii="Times New Roman" w:hAnsi="Times New Roman" w:eastAsia="宋体" w:cs="Times New Roman"/>
                <w:b/>
                <w:bCs/>
                <w:color w:val="auto"/>
                <w:spacing w:val="0"/>
                <w:w w:val="100"/>
                <w:kern w:val="0"/>
                <w:position w:val="0"/>
                <w:szCs w:val="21"/>
                <w:highlight w:val="none"/>
              </w:rPr>
              <w:t>m</w:t>
            </w:r>
            <w:r>
              <w:rPr>
                <w:rFonts w:hint="default" w:ascii="Times New Roman" w:hAnsi="Times New Roman" w:eastAsia="宋体" w:cs="Times New Roman"/>
                <w:b/>
                <w:bCs/>
                <w:color w:val="auto"/>
                <w:spacing w:val="0"/>
                <w:w w:val="100"/>
                <w:kern w:val="0"/>
                <w:position w:val="0"/>
                <w:szCs w:val="21"/>
                <w:highlight w:val="none"/>
                <w:vertAlign w:val="superscript"/>
              </w:rPr>
              <w:t>3</w:t>
            </w:r>
            <w:r>
              <w:rPr>
                <w:rFonts w:hint="default" w:ascii="Times New Roman" w:hAnsi="Times New Roman" w:eastAsia="宋体" w:cs="Times New Roman"/>
                <w:b/>
                <w:bCs/>
                <w:color w:val="auto"/>
                <w:spacing w:val="0"/>
                <w:w w:val="100"/>
                <w:kern w:val="0"/>
                <w:position w:val="0"/>
                <w:szCs w:val="21"/>
                <w:highlight w:val="none"/>
              </w:rPr>
              <w:t>/a</w:t>
            </w:r>
            <w:r>
              <w:rPr>
                <w:rFonts w:hint="default" w:ascii="Times New Roman" w:hAnsi="Times New Roman" w:eastAsia="宋体" w:cs="Times New Roman"/>
                <w:b/>
                <w:bCs/>
                <w:color w:val="auto"/>
                <w:spacing w:val="0"/>
                <w:w w:val="100"/>
                <w:kern w:val="0"/>
                <w:position w:val="0"/>
                <w:szCs w:val="21"/>
                <w:highlight w:val="none"/>
                <w:lang w:val="en-US" w:eastAsia="zh-CN"/>
              </w:rPr>
              <w:t>)</w:t>
            </w:r>
          </w:p>
        </w:tc>
        <w:tc>
          <w:tcPr>
            <w:tcW w:w="88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污染物名称</w:t>
            </w:r>
          </w:p>
        </w:tc>
        <w:tc>
          <w:tcPr>
            <w:tcW w:w="190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污染物产生量</w:t>
            </w:r>
          </w:p>
        </w:tc>
        <w:tc>
          <w:tcPr>
            <w:tcW w:w="97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治理</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措施</w:t>
            </w:r>
          </w:p>
        </w:tc>
        <w:tc>
          <w:tcPr>
            <w:tcW w:w="9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处理效率</w:t>
            </w:r>
          </w:p>
        </w:tc>
        <w:tc>
          <w:tcPr>
            <w:tcW w:w="1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污染物排放量</w:t>
            </w:r>
          </w:p>
        </w:tc>
        <w:tc>
          <w:tcPr>
            <w:tcW w:w="18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《农田灌溉水质标准》（GB5084-2005）中</w:t>
            </w:r>
            <w:r>
              <w:rPr>
                <w:rFonts w:hint="default" w:ascii="Times New Roman" w:hAnsi="Times New Roman" w:eastAsia="宋体" w:cs="Times New Roman"/>
                <w:b/>
                <w:bCs/>
                <w:color w:val="auto"/>
                <w:spacing w:val="0"/>
                <w:w w:val="100"/>
                <w:kern w:val="0"/>
                <w:position w:val="0"/>
                <w:szCs w:val="21"/>
                <w:highlight w:val="none"/>
                <w:lang w:eastAsia="zh-CN"/>
              </w:rPr>
              <w:t>“</w:t>
            </w:r>
            <w:r>
              <w:rPr>
                <w:rFonts w:hint="default" w:ascii="Times New Roman" w:hAnsi="Times New Roman" w:eastAsia="宋体" w:cs="Times New Roman"/>
                <w:b/>
                <w:bCs/>
                <w:color w:val="auto"/>
                <w:spacing w:val="0"/>
                <w:w w:val="100"/>
                <w:kern w:val="0"/>
                <w:position w:val="0"/>
                <w:szCs w:val="21"/>
                <w:highlight w:val="none"/>
              </w:rPr>
              <w:t>旱作</w:t>
            </w:r>
            <w:r>
              <w:rPr>
                <w:rFonts w:hint="default" w:ascii="Times New Roman" w:hAnsi="Times New Roman" w:eastAsia="宋体" w:cs="Times New Roman"/>
                <w:b/>
                <w:bCs/>
                <w:color w:val="auto"/>
                <w:spacing w:val="0"/>
                <w:w w:val="100"/>
                <w:kern w:val="0"/>
                <w:position w:val="0"/>
                <w:szCs w:val="21"/>
                <w:highlight w:val="none"/>
                <w:lang w:eastAsia="zh-CN"/>
              </w:rPr>
              <w:t>”</w:t>
            </w:r>
            <w:r>
              <w:rPr>
                <w:rFonts w:hint="default" w:ascii="Times New Roman" w:hAnsi="Times New Roman" w:eastAsia="宋体" w:cs="Times New Roman"/>
                <w:b/>
                <w:bCs/>
                <w:color w:val="auto"/>
                <w:spacing w:val="0"/>
                <w:w w:val="100"/>
                <w:kern w:val="0"/>
                <w:position w:val="0"/>
                <w:szCs w:val="21"/>
                <w:highlight w:val="none"/>
              </w:rPr>
              <w:t>标准</w:t>
            </w:r>
          </w:p>
        </w:tc>
        <w:tc>
          <w:tcPr>
            <w:tcW w:w="190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《畜禽养殖业污染物排放标准》（GB18596-2001）</w:t>
            </w:r>
          </w:p>
        </w:tc>
        <w:tc>
          <w:tcPr>
            <w:tcW w:w="133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本项目废水排放标准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b/>
                <w:bCs/>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b/>
                <w:bCs/>
                <w:color w:val="auto"/>
                <w:spacing w:val="0"/>
                <w:w w:val="100"/>
                <w:kern w:val="0"/>
                <w:position w:val="0"/>
                <w:szCs w:val="21"/>
                <w:highlight w:val="none"/>
              </w:rPr>
            </w:pPr>
          </w:p>
        </w:tc>
        <w:tc>
          <w:tcPr>
            <w:tcW w:w="880" w:type="dxa"/>
            <w:vMerge w:val="continue"/>
            <w:tcBorders>
              <w:tl2br w:val="nil"/>
              <w:tr2bl w:val="nil"/>
            </w:tcBorders>
            <w:noWrap w:val="0"/>
            <w:vAlign w:val="center"/>
          </w:tcPr>
          <w:p>
            <w:pPr>
              <w:widowControl/>
              <w:jc w:val="left"/>
              <w:rPr>
                <w:rFonts w:hint="default" w:ascii="Times New Roman" w:hAnsi="Times New Roman" w:eastAsia="宋体" w:cs="Times New Roman"/>
                <w:b/>
                <w:bCs/>
                <w:color w:val="auto"/>
                <w:spacing w:val="0"/>
                <w:w w:val="100"/>
                <w:kern w:val="0"/>
                <w:position w:val="0"/>
                <w:szCs w:val="21"/>
                <w:highlight w:val="none"/>
              </w:rPr>
            </w:pPr>
          </w:p>
        </w:tc>
        <w:tc>
          <w:tcPr>
            <w:tcW w:w="966" w:type="dxa"/>
            <w:tcBorders>
              <w:tl2br w:val="nil"/>
              <w:tr2bl w:val="nil"/>
            </w:tcBorders>
            <w:noWrap w:val="0"/>
            <w:vAlign w:val="center"/>
          </w:tcPr>
          <w:p>
            <w:pPr>
              <w:widowControl/>
              <w:jc w:val="center"/>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rPr>
              <w:t>浓度</w:t>
            </w:r>
            <w:r>
              <w:rPr>
                <w:rFonts w:hint="default" w:ascii="Times New Roman" w:hAnsi="Times New Roman" w:eastAsia="宋体" w:cs="Times New Roman"/>
                <w:b/>
                <w:bCs/>
                <w:color w:val="auto"/>
                <w:spacing w:val="0"/>
                <w:w w:val="100"/>
                <w:kern w:val="0"/>
                <w:position w:val="0"/>
                <w:szCs w:val="21"/>
                <w:highlight w:val="none"/>
                <w:lang w:val="en-US" w:eastAsia="zh-CN"/>
              </w:rPr>
              <w:t>(</w:t>
            </w:r>
            <w:r>
              <w:rPr>
                <w:rFonts w:hint="default" w:ascii="Times New Roman" w:hAnsi="Times New Roman" w:eastAsia="宋体" w:cs="Times New Roman"/>
                <w:b/>
                <w:bCs/>
                <w:color w:val="auto"/>
                <w:spacing w:val="0"/>
                <w:w w:val="100"/>
                <w:kern w:val="0"/>
                <w:position w:val="0"/>
                <w:szCs w:val="21"/>
                <w:highlight w:val="none"/>
              </w:rPr>
              <w:t>mg/L</w:t>
            </w:r>
            <w:r>
              <w:rPr>
                <w:rFonts w:hint="default" w:ascii="Times New Roman" w:hAnsi="Times New Roman" w:eastAsia="宋体" w:cs="Times New Roman"/>
                <w:b/>
                <w:bCs/>
                <w:color w:val="auto"/>
                <w:spacing w:val="0"/>
                <w:w w:val="100"/>
                <w:kern w:val="0"/>
                <w:position w:val="0"/>
                <w:szCs w:val="21"/>
                <w:highlight w:val="none"/>
                <w:lang w:val="en-US" w:eastAsia="zh-CN"/>
              </w:rPr>
              <w:t>)</w:t>
            </w:r>
          </w:p>
        </w:tc>
        <w:tc>
          <w:tcPr>
            <w:tcW w:w="936" w:type="dxa"/>
            <w:tcBorders>
              <w:tl2br w:val="nil"/>
              <w:tr2bl w:val="nil"/>
            </w:tcBorders>
            <w:noWrap w:val="0"/>
            <w:vAlign w:val="center"/>
          </w:tcPr>
          <w:p>
            <w:pPr>
              <w:widowControl/>
              <w:jc w:val="center"/>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rPr>
              <w:t>产生量</w:t>
            </w:r>
            <w:r>
              <w:rPr>
                <w:rFonts w:hint="default" w:ascii="Times New Roman" w:hAnsi="Times New Roman" w:eastAsia="宋体" w:cs="Times New Roman"/>
                <w:b/>
                <w:bCs/>
                <w:color w:val="auto"/>
                <w:spacing w:val="0"/>
                <w:w w:val="100"/>
                <w:kern w:val="0"/>
                <w:position w:val="0"/>
                <w:szCs w:val="21"/>
                <w:highlight w:val="none"/>
                <w:lang w:val="en-US" w:eastAsia="zh-CN"/>
              </w:rPr>
              <w:t>(</w:t>
            </w:r>
            <w:r>
              <w:rPr>
                <w:rFonts w:hint="default" w:ascii="Times New Roman" w:hAnsi="Times New Roman" w:eastAsia="宋体" w:cs="Times New Roman"/>
                <w:b/>
                <w:bCs/>
                <w:color w:val="auto"/>
                <w:spacing w:val="0"/>
                <w:w w:val="100"/>
                <w:kern w:val="0"/>
                <w:position w:val="0"/>
                <w:szCs w:val="21"/>
                <w:highlight w:val="none"/>
              </w:rPr>
              <w:t>t/a</w:t>
            </w:r>
            <w:r>
              <w:rPr>
                <w:rFonts w:hint="default" w:ascii="Times New Roman" w:hAnsi="Times New Roman" w:eastAsia="宋体" w:cs="Times New Roman"/>
                <w:b/>
                <w:bCs/>
                <w:color w:val="auto"/>
                <w:spacing w:val="0"/>
                <w:w w:val="100"/>
                <w:kern w:val="0"/>
                <w:position w:val="0"/>
                <w:szCs w:val="21"/>
                <w:highlight w:val="none"/>
                <w:lang w:val="en-US" w:eastAsia="zh-CN"/>
              </w:rPr>
              <w:t>)</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46" w:type="dxa"/>
            <w:tcBorders>
              <w:tl2br w:val="nil"/>
              <w:tr2bl w:val="nil"/>
            </w:tcBorders>
            <w:noWrap w:val="0"/>
            <w:vAlign w:val="center"/>
          </w:tcPr>
          <w:p>
            <w:pPr>
              <w:widowControl/>
              <w:jc w:val="center"/>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rPr>
              <w:t>浓度</w:t>
            </w:r>
            <w:r>
              <w:rPr>
                <w:rFonts w:hint="default" w:ascii="Times New Roman" w:hAnsi="Times New Roman" w:eastAsia="宋体" w:cs="Times New Roman"/>
                <w:b/>
                <w:bCs/>
                <w:color w:val="auto"/>
                <w:spacing w:val="0"/>
                <w:w w:val="100"/>
                <w:kern w:val="0"/>
                <w:position w:val="0"/>
                <w:szCs w:val="21"/>
                <w:highlight w:val="none"/>
                <w:lang w:val="en-US" w:eastAsia="zh-CN"/>
              </w:rPr>
              <w:t>(</w:t>
            </w:r>
            <w:r>
              <w:rPr>
                <w:rFonts w:hint="default" w:ascii="Times New Roman" w:hAnsi="Times New Roman" w:eastAsia="宋体" w:cs="Times New Roman"/>
                <w:b/>
                <w:bCs/>
                <w:color w:val="auto"/>
                <w:spacing w:val="0"/>
                <w:w w:val="100"/>
                <w:kern w:val="0"/>
                <w:position w:val="0"/>
                <w:szCs w:val="21"/>
                <w:highlight w:val="none"/>
              </w:rPr>
              <w:t>mg/L</w:t>
            </w:r>
            <w:r>
              <w:rPr>
                <w:rFonts w:hint="default" w:ascii="Times New Roman" w:hAnsi="Times New Roman" w:eastAsia="宋体" w:cs="Times New Roman"/>
                <w:b/>
                <w:bCs/>
                <w:color w:val="auto"/>
                <w:spacing w:val="0"/>
                <w:w w:val="100"/>
                <w:kern w:val="0"/>
                <w:position w:val="0"/>
                <w:szCs w:val="21"/>
                <w:highlight w:val="none"/>
                <w:lang w:val="en-US" w:eastAsia="zh-CN"/>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b/>
                <w:bCs/>
                <w:color w:val="auto"/>
                <w:spacing w:val="0"/>
                <w:w w:val="100"/>
                <w:kern w:val="0"/>
                <w:position w:val="0"/>
                <w:szCs w:val="21"/>
                <w:highlight w:val="none"/>
                <w:lang w:eastAsia="zh-CN"/>
              </w:rPr>
            </w:pPr>
            <w:r>
              <w:rPr>
                <w:rFonts w:hint="default" w:ascii="Times New Roman" w:hAnsi="Times New Roman" w:eastAsia="宋体" w:cs="Times New Roman"/>
                <w:b/>
                <w:bCs/>
                <w:color w:val="auto"/>
                <w:spacing w:val="0"/>
                <w:w w:val="100"/>
                <w:kern w:val="0"/>
                <w:position w:val="0"/>
                <w:szCs w:val="21"/>
                <w:highlight w:val="none"/>
              </w:rPr>
              <w:t>排放量</w:t>
            </w:r>
            <w:r>
              <w:rPr>
                <w:rFonts w:hint="default" w:ascii="Times New Roman" w:hAnsi="Times New Roman" w:eastAsia="宋体" w:cs="Times New Roman"/>
                <w:b/>
                <w:bCs/>
                <w:color w:val="auto"/>
                <w:spacing w:val="0"/>
                <w:w w:val="100"/>
                <w:kern w:val="0"/>
                <w:position w:val="0"/>
                <w:szCs w:val="21"/>
                <w:highlight w:val="none"/>
                <w:lang w:val="en-US" w:eastAsia="zh-CN"/>
              </w:rPr>
              <w:t>(</w:t>
            </w:r>
            <w:r>
              <w:rPr>
                <w:rFonts w:hint="default" w:ascii="Times New Roman" w:hAnsi="Times New Roman" w:eastAsia="宋体" w:cs="Times New Roman"/>
                <w:b/>
                <w:bCs/>
                <w:color w:val="auto"/>
                <w:spacing w:val="0"/>
                <w:w w:val="100"/>
                <w:kern w:val="0"/>
                <w:position w:val="0"/>
                <w:szCs w:val="21"/>
                <w:highlight w:val="none"/>
              </w:rPr>
              <w:t>t/a</w:t>
            </w:r>
            <w:r>
              <w:rPr>
                <w:rFonts w:hint="default" w:ascii="Times New Roman" w:hAnsi="Times New Roman" w:eastAsia="宋体" w:cs="Times New Roman"/>
                <w:b/>
                <w:bCs/>
                <w:color w:val="auto"/>
                <w:spacing w:val="0"/>
                <w:w w:val="100"/>
                <w:kern w:val="0"/>
                <w:position w:val="0"/>
                <w:szCs w:val="21"/>
                <w:highlight w:val="none"/>
                <w:lang w:val="en-US" w:eastAsia="zh-CN"/>
              </w:rPr>
              <w:t>)</w:t>
            </w:r>
          </w:p>
        </w:tc>
        <w:tc>
          <w:tcPr>
            <w:tcW w:w="1878"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907"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36"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eastAsia="zh-CN"/>
              </w:rPr>
              <w:t>清洗废水、</w:t>
            </w:r>
            <w:r>
              <w:rPr>
                <w:rFonts w:hint="default" w:ascii="Times New Roman" w:hAnsi="Times New Roman" w:eastAsia="宋体" w:cs="Times New Roman"/>
                <w:color w:val="auto"/>
                <w:spacing w:val="0"/>
                <w:w w:val="100"/>
                <w:kern w:val="0"/>
                <w:position w:val="0"/>
                <w:szCs w:val="21"/>
                <w:highlight w:val="none"/>
              </w:rPr>
              <w:t>冲洗废水</w:t>
            </w:r>
          </w:p>
        </w:tc>
        <w:tc>
          <w:tcPr>
            <w:tcW w:w="1399"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z w:val="21"/>
              </w:rPr>
              <w:t>29565</w:t>
            </w: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COD</w:t>
            </w:r>
          </w:p>
        </w:tc>
        <w:tc>
          <w:tcPr>
            <w:tcW w:w="96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5000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147.825 </w:t>
            </w:r>
          </w:p>
        </w:tc>
        <w:tc>
          <w:tcPr>
            <w:tcW w:w="971"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初沉池+调节池+压滤机+中间水池+A/O/O反应池+二沉池+消毒池</w:t>
            </w:r>
            <w:r>
              <w:rPr>
                <w:rFonts w:hint="default" w:ascii="Times New Roman" w:hAnsi="Times New Roman" w:eastAsia="宋体" w:cs="Times New Roman"/>
                <w:color w:val="auto"/>
                <w:spacing w:val="0"/>
                <w:w w:val="100"/>
                <w:kern w:val="0"/>
                <w:position w:val="0"/>
                <w:szCs w:val="21"/>
                <w:highlight w:val="none"/>
                <w:lang w:val="en-US" w:eastAsia="zh-CN"/>
              </w:rPr>
              <w:t>+氧化塘</w:t>
            </w: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BOD</w:t>
            </w:r>
            <w:r>
              <w:rPr>
                <w:rFonts w:hint="default" w:ascii="Times New Roman" w:hAnsi="Times New Roman" w:eastAsia="宋体" w:cs="Times New Roman"/>
                <w:color w:val="auto"/>
                <w:spacing w:val="0"/>
                <w:w w:val="100"/>
                <w:kern w:val="0"/>
                <w:position w:val="0"/>
                <w:sz w:val="21"/>
                <w:szCs w:val="21"/>
                <w:highlight w:val="none"/>
                <w:vertAlign w:val="subscript"/>
              </w:rPr>
              <w:t>5</w:t>
            </w:r>
          </w:p>
        </w:tc>
        <w:tc>
          <w:tcPr>
            <w:tcW w:w="96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1800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53.217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SS</w:t>
            </w:r>
          </w:p>
        </w:tc>
        <w:tc>
          <w:tcPr>
            <w:tcW w:w="96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1500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44.348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-N</w:t>
            </w:r>
          </w:p>
        </w:tc>
        <w:tc>
          <w:tcPr>
            <w:tcW w:w="96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350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10.348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TP</w:t>
            </w:r>
          </w:p>
        </w:tc>
        <w:tc>
          <w:tcPr>
            <w:tcW w:w="96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50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1.478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粪大肠菌群</w:t>
            </w:r>
          </w:p>
        </w:tc>
        <w:tc>
          <w:tcPr>
            <w:tcW w:w="1902"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4.5×10</w:t>
            </w:r>
            <w:r>
              <w:rPr>
                <w:rFonts w:hint="default" w:ascii="Times New Roman" w:hAnsi="Times New Roman" w:eastAsia="宋体" w:cs="Times New Roman"/>
                <w:color w:val="auto"/>
                <w:spacing w:val="0"/>
                <w:w w:val="100"/>
                <w:kern w:val="0"/>
                <w:position w:val="0"/>
                <w:sz w:val="21"/>
                <w:szCs w:val="21"/>
                <w:highlight w:val="none"/>
                <w:vertAlign w:val="superscript"/>
              </w:rPr>
              <w:t>5</w:t>
            </w:r>
            <w:r>
              <w:rPr>
                <w:rFonts w:hint="default" w:ascii="Times New Roman" w:hAnsi="Times New Roman" w:eastAsia="宋体" w:cs="Times New Roman"/>
                <w:color w:val="auto"/>
                <w:spacing w:val="0"/>
                <w:w w:val="100"/>
                <w:kern w:val="0"/>
                <w:position w:val="0"/>
                <w:sz w:val="21"/>
                <w:szCs w:val="21"/>
                <w:highlight w:val="none"/>
              </w:rPr>
              <w:t>个/100mL</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蛔虫卵</w:t>
            </w:r>
          </w:p>
        </w:tc>
        <w:tc>
          <w:tcPr>
            <w:tcW w:w="1902"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54</w:t>
            </w:r>
            <w:r>
              <w:rPr>
                <w:rFonts w:hint="default" w:ascii="Times New Roman" w:hAnsi="Times New Roman" w:eastAsia="宋体" w:cs="Times New Roman"/>
                <w:color w:val="auto"/>
                <w:spacing w:val="0"/>
                <w:w w:val="100"/>
                <w:kern w:val="0"/>
                <w:position w:val="0"/>
                <w:szCs w:val="21"/>
                <w:highlight w:val="none"/>
              </w:rPr>
              <w:t>个/L</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生活污水</w:t>
            </w:r>
          </w:p>
        </w:tc>
        <w:tc>
          <w:tcPr>
            <w:tcW w:w="1399"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z w:val="21"/>
                <w:lang w:val="en-US" w:eastAsia="zh-CN"/>
              </w:rPr>
              <w:t>4</w:t>
            </w:r>
            <w:r>
              <w:rPr>
                <w:rFonts w:hint="default" w:ascii="Times New Roman" w:hAnsi="Times New Roman" w:cs="Times New Roman"/>
                <w:color w:val="auto"/>
                <w:sz w:val="21"/>
              </w:rPr>
              <w:t>00</w:t>
            </w: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COD</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400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0.16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BOD</w:t>
            </w:r>
            <w:r>
              <w:rPr>
                <w:rFonts w:hint="default" w:ascii="Times New Roman" w:hAnsi="Times New Roman" w:eastAsia="宋体" w:cs="Times New Roman"/>
                <w:color w:val="auto"/>
                <w:spacing w:val="0"/>
                <w:w w:val="100"/>
                <w:kern w:val="0"/>
                <w:position w:val="0"/>
                <w:sz w:val="21"/>
                <w:szCs w:val="21"/>
                <w:highlight w:val="none"/>
                <w:vertAlign w:val="subscript"/>
              </w:rPr>
              <w:t>5</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260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0.104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SS</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280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0.112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-N</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30</w:t>
            </w:r>
          </w:p>
        </w:tc>
        <w:tc>
          <w:tcPr>
            <w:tcW w:w="9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0.012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全</w:t>
            </w:r>
            <w:r>
              <w:rPr>
                <w:rFonts w:hint="default" w:ascii="Times New Roman" w:hAnsi="Times New Roman" w:eastAsia="宋体" w:cs="Times New Roman"/>
                <w:color w:val="auto"/>
                <w:spacing w:val="0"/>
                <w:w w:val="100"/>
                <w:kern w:val="0"/>
                <w:position w:val="0"/>
                <w:szCs w:val="21"/>
                <w:highlight w:val="none"/>
                <w:lang w:eastAsia="zh-CN"/>
              </w:rPr>
              <w:t>场</w:t>
            </w:r>
            <w:r>
              <w:rPr>
                <w:rFonts w:hint="default" w:ascii="Times New Roman" w:hAnsi="Times New Roman" w:eastAsia="宋体" w:cs="Times New Roman"/>
                <w:color w:val="auto"/>
                <w:spacing w:val="0"/>
                <w:w w:val="100"/>
                <w:kern w:val="0"/>
                <w:position w:val="0"/>
                <w:szCs w:val="21"/>
                <w:highlight w:val="none"/>
              </w:rPr>
              <w:t>废水</w:t>
            </w:r>
            <w:r>
              <w:rPr>
                <w:rFonts w:hint="default" w:ascii="Times New Roman" w:hAnsi="Times New Roman" w:eastAsia="宋体" w:cs="Times New Roman"/>
                <w:color w:val="auto"/>
                <w:spacing w:val="0"/>
                <w:w w:val="100"/>
                <w:kern w:val="0"/>
                <w:position w:val="0"/>
                <w:szCs w:val="21"/>
                <w:highlight w:val="none"/>
                <w:lang w:eastAsia="zh-CN"/>
              </w:rPr>
              <w:t>处理</w:t>
            </w:r>
          </w:p>
        </w:tc>
        <w:tc>
          <w:tcPr>
            <w:tcW w:w="1399"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29965</w:t>
            </w: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COD</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4938.6 </w:t>
            </w:r>
          </w:p>
        </w:tc>
        <w:tc>
          <w:tcPr>
            <w:tcW w:w="9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147.985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 w:val="0"/>
                <w:color w:val="auto"/>
                <w:spacing w:val="0"/>
                <w:w w:val="100"/>
                <w:kern w:val="0"/>
                <w:position w:val="0"/>
                <w:sz w:val="21"/>
                <w:szCs w:val="21"/>
                <w:highlight w:val="none"/>
                <w:u w:val="none"/>
                <w:lang w:val="en-US" w:eastAsia="zh-CN" w:bidi="ar"/>
              </w:rPr>
              <w:t>96.50%</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172.9 </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5.179 </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≤200mg/L</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≤400mg/L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BOD</w:t>
            </w:r>
            <w:r>
              <w:rPr>
                <w:rFonts w:hint="default" w:ascii="Times New Roman" w:hAnsi="Times New Roman" w:eastAsia="宋体" w:cs="Times New Roman"/>
                <w:color w:val="auto"/>
                <w:spacing w:val="0"/>
                <w:w w:val="100"/>
                <w:kern w:val="0"/>
                <w:position w:val="0"/>
                <w:sz w:val="21"/>
                <w:szCs w:val="21"/>
                <w:highlight w:val="none"/>
                <w:vertAlign w:val="subscript"/>
              </w:rPr>
              <w:t>5</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1779.4 </w:t>
            </w:r>
          </w:p>
        </w:tc>
        <w:tc>
          <w:tcPr>
            <w:tcW w:w="9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53.321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 w:val="0"/>
                <w:color w:val="auto"/>
                <w:spacing w:val="0"/>
                <w:w w:val="100"/>
                <w:kern w:val="0"/>
                <w:position w:val="0"/>
                <w:sz w:val="21"/>
                <w:szCs w:val="21"/>
                <w:highlight w:val="none"/>
                <w:u w:val="none"/>
                <w:lang w:val="en-US" w:eastAsia="zh-CN" w:bidi="ar"/>
              </w:rPr>
              <w:t>97.50%</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44.5 </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1.333 </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≤100mg/L</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≤150mg/L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SS</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1483.7 </w:t>
            </w:r>
          </w:p>
        </w:tc>
        <w:tc>
          <w:tcPr>
            <w:tcW w:w="9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44.460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 w:val="0"/>
                <w:color w:val="auto"/>
                <w:spacing w:val="0"/>
                <w:w w:val="100"/>
                <w:kern w:val="0"/>
                <w:position w:val="0"/>
                <w:sz w:val="21"/>
                <w:szCs w:val="21"/>
                <w:highlight w:val="none"/>
                <w:u w:val="none"/>
                <w:lang w:val="en-US" w:eastAsia="zh-CN" w:bidi="ar"/>
              </w:rPr>
              <w:t>97.50%</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37.1 </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1.111 </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≤100mg/L</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≤200mg/L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-N</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345.7 </w:t>
            </w:r>
          </w:p>
        </w:tc>
        <w:tc>
          <w:tcPr>
            <w:tcW w:w="9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10.360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 w:val="0"/>
                <w:color w:val="auto"/>
                <w:spacing w:val="0"/>
                <w:w w:val="100"/>
                <w:kern w:val="0"/>
                <w:position w:val="0"/>
                <w:sz w:val="21"/>
                <w:szCs w:val="21"/>
                <w:highlight w:val="none"/>
                <w:u w:val="none"/>
                <w:lang w:val="en-US" w:eastAsia="zh-CN" w:bidi="ar"/>
              </w:rPr>
              <w:t>92.00%</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27.7 </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0.829 </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≤80mg/L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TP</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49.3 </w:t>
            </w:r>
          </w:p>
        </w:tc>
        <w:tc>
          <w:tcPr>
            <w:tcW w:w="9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1.478 </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i w:val="0"/>
                <w:color w:val="auto"/>
                <w:spacing w:val="0"/>
                <w:w w:val="100"/>
                <w:kern w:val="0"/>
                <w:position w:val="0"/>
                <w:sz w:val="21"/>
                <w:szCs w:val="21"/>
                <w:highlight w:val="none"/>
                <w:u w:val="none"/>
                <w:lang w:val="en-US" w:eastAsia="zh-CN" w:bidi="ar"/>
              </w:rPr>
              <w:t>86.00%</w:t>
            </w:r>
          </w:p>
        </w:tc>
        <w:tc>
          <w:tcPr>
            <w:tcW w:w="94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6.9 </w:t>
            </w:r>
          </w:p>
        </w:tc>
        <w:tc>
          <w:tcPr>
            <w:tcW w:w="832"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0.207 </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≤8.0mg/L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粪大肠菌群</w:t>
            </w:r>
          </w:p>
        </w:tc>
        <w:tc>
          <w:tcPr>
            <w:tcW w:w="1902"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val="en-US" w:eastAsia="zh-CN"/>
              </w:rPr>
              <w:t>4.43</w:t>
            </w:r>
            <w:r>
              <w:rPr>
                <w:rFonts w:hint="default" w:ascii="Times New Roman" w:hAnsi="Times New Roman" w:eastAsia="宋体" w:cs="Times New Roman"/>
                <w:color w:val="auto"/>
                <w:spacing w:val="0"/>
                <w:w w:val="100"/>
                <w:kern w:val="0"/>
                <w:position w:val="0"/>
                <w:szCs w:val="21"/>
                <w:highlight w:val="none"/>
              </w:rPr>
              <w:t>×10</w:t>
            </w:r>
            <w:r>
              <w:rPr>
                <w:rFonts w:hint="default" w:ascii="Times New Roman" w:hAnsi="Times New Roman" w:eastAsia="宋体" w:cs="Times New Roman"/>
                <w:color w:val="auto"/>
                <w:spacing w:val="0"/>
                <w:w w:val="100"/>
                <w:kern w:val="0"/>
                <w:position w:val="0"/>
                <w:szCs w:val="21"/>
                <w:highlight w:val="none"/>
                <w:vertAlign w:val="superscript"/>
              </w:rPr>
              <w:t>5</w:t>
            </w:r>
            <w:r>
              <w:rPr>
                <w:rFonts w:hint="default" w:ascii="Times New Roman" w:hAnsi="Times New Roman" w:eastAsia="宋体" w:cs="Times New Roman"/>
                <w:color w:val="auto"/>
                <w:spacing w:val="0"/>
                <w:w w:val="100"/>
                <w:kern w:val="0"/>
                <w:position w:val="0"/>
                <w:szCs w:val="21"/>
                <w:highlight w:val="none"/>
              </w:rPr>
              <w:t>个/100mL</w:t>
            </w:r>
          </w:p>
        </w:tc>
        <w:tc>
          <w:tcPr>
            <w:tcW w:w="971"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99.8%</w:t>
            </w:r>
          </w:p>
        </w:tc>
        <w:tc>
          <w:tcPr>
            <w:tcW w:w="1778"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val="en-US" w:eastAsia="zh-CN"/>
              </w:rPr>
              <w:t>886</w:t>
            </w:r>
            <w:r>
              <w:rPr>
                <w:rFonts w:hint="default" w:ascii="Times New Roman" w:hAnsi="Times New Roman" w:eastAsia="宋体" w:cs="Times New Roman"/>
                <w:color w:val="auto"/>
                <w:spacing w:val="0"/>
                <w:w w:val="100"/>
                <w:kern w:val="0"/>
                <w:position w:val="0"/>
                <w:szCs w:val="21"/>
                <w:highlight w:val="none"/>
              </w:rPr>
              <w:t>个/100mL</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≤4000个/100mL</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≤1000个/100mL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≤1000个/100mL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1399"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880"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1"/>
                <w:szCs w:val="21"/>
                <w:highlight w:val="none"/>
                <w:lang w:eastAsia="zh-CN"/>
              </w:rPr>
              <w:t>蛔虫卵</w:t>
            </w:r>
          </w:p>
        </w:tc>
        <w:tc>
          <w:tcPr>
            <w:tcW w:w="1902"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53</w:t>
            </w:r>
            <w:r>
              <w:rPr>
                <w:rFonts w:hint="default" w:ascii="Times New Roman" w:hAnsi="Times New Roman" w:eastAsia="宋体" w:cs="Times New Roman"/>
                <w:color w:val="auto"/>
                <w:spacing w:val="0"/>
                <w:w w:val="100"/>
                <w:kern w:val="0"/>
                <w:position w:val="0"/>
                <w:szCs w:val="21"/>
                <w:highlight w:val="none"/>
              </w:rPr>
              <w:t>个/L</w:t>
            </w:r>
          </w:p>
        </w:tc>
        <w:tc>
          <w:tcPr>
            <w:tcW w:w="971" w:type="dxa"/>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Cs w:val="21"/>
                <w:highlight w:val="none"/>
              </w:rPr>
            </w:pPr>
          </w:p>
        </w:tc>
        <w:tc>
          <w:tcPr>
            <w:tcW w:w="951"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98%</w:t>
            </w:r>
          </w:p>
        </w:tc>
        <w:tc>
          <w:tcPr>
            <w:tcW w:w="1778" w:type="dxa"/>
            <w:gridSpan w:val="2"/>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个/L</w:t>
            </w:r>
          </w:p>
        </w:tc>
        <w:tc>
          <w:tcPr>
            <w:tcW w:w="1878"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c>
          <w:tcPr>
            <w:tcW w:w="1907"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c>
          <w:tcPr>
            <w:tcW w:w="1336" w:type="dxa"/>
            <w:tcBorders>
              <w:tl2br w:val="nil"/>
              <w:tr2bl w:val="nil"/>
            </w:tcBorders>
            <w:noWrap w:val="0"/>
            <w:vAlign w:val="center"/>
          </w:tcPr>
          <w:p>
            <w:pPr>
              <w:widowControl/>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pacing w:val="0"/>
          <w:w w:val="100"/>
          <w:kern w:val="0"/>
          <w:position w:val="0"/>
          <w:sz w:val="24"/>
          <w:szCs w:val="22"/>
          <w:highlight w:val="none"/>
          <w:lang w:eastAsia="zh-CN"/>
        </w:rPr>
        <w:sectPr>
          <w:headerReference r:id="rId9"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74" w:name="_Toc14579"/>
      <w:bookmarkStart w:id="575" w:name="_Toc25018"/>
      <w:r>
        <w:rPr>
          <w:rFonts w:hint="default" w:ascii="Times New Roman" w:hAnsi="Times New Roman" w:eastAsia="宋体" w:cs="Times New Roman"/>
          <w:snapToGrid w:val="0"/>
          <w:color w:val="auto"/>
          <w:spacing w:val="0"/>
          <w:w w:val="100"/>
          <w:kern w:val="0"/>
          <w:position w:val="0"/>
          <w:sz w:val="28"/>
          <w:szCs w:val="28"/>
          <w:highlight w:val="none"/>
          <w:lang w:val="en-US" w:eastAsia="zh-CN"/>
        </w:rPr>
        <w:t>2.4.3噪声</w:t>
      </w:r>
      <w:bookmarkEnd w:id="574"/>
      <w:bookmarkEnd w:id="575"/>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2"/>
          <w:highlight w:val="none"/>
        </w:rPr>
        <w:t>本项目噪声主要来自TMR搅拌站内饲料配料混合设备、粉碎机、水泵及牛群活动叫声等。噪声声级在</w:t>
      </w:r>
      <w:r>
        <w:rPr>
          <w:rFonts w:hint="default" w:ascii="Times New Roman" w:hAnsi="Times New Roman" w:eastAsia="宋体" w:cs="Times New Roman"/>
          <w:color w:val="auto"/>
          <w:spacing w:val="0"/>
          <w:w w:val="100"/>
          <w:kern w:val="0"/>
          <w:position w:val="0"/>
          <w:sz w:val="24"/>
          <w:szCs w:val="22"/>
          <w:highlight w:val="none"/>
          <w:lang w:val="en-US" w:eastAsia="zh-CN"/>
        </w:rPr>
        <w:t>60</w:t>
      </w:r>
      <w:r>
        <w:rPr>
          <w:rFonts w:hint="default" w:ascii="Times New Roman" w:hAnsi="Times New Roman" w:eastAsia="宋体" w:cs="Times New Roman"/>
          <w:color w:val="auto"/>
          <w:spacing w:val="0"/>
          <w:w w:val="100"/>
          <w:kern w:val="0"/>
          <w:position w:val="0"/>
          <w:sz w:val="24"/>
          <w:szCs w:val="22"/>
          <w:highlight w:val="none"/>
        </w:rPr>
        <w:t>~90dB（A）。为有效控制噪声污染，通过选择低噪声设备，对设备进行科学布置，将水泵等设备安装于专用房间内，通过墙体隔声降噪，并对振动较大的设备安装减振垫圈等综合降噪措施，可有效降低机械噪声对项目区域及周围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7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主要噪声设备源强及治理效果一览表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83"/>
        <w:gridCol w:w="1269"/>
        <w:gridCol w:w="969"/>
        <w:gridCol w:w="1797"/>
        <w:gridCol w:w="1111"/>
        <w:gridCol w:w="22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83"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种类</w:t>
            </w:r>
          </w:p>
        </w:tc>
        <w:tc>
          <w:tcPr>
            <w:tcW w:w="126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污染物来源</w:t>
            </w:r>
          </w:p>
        </w:tc>
        <w:tc>
          <w:tcPr>
            <w:tcW w:w="969"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产生方式</w:t>
            </w:r>
          </w:p>
        </w:tc>
        <w:tc>
          <w:tcPr>
            <w:tcW w:w="1797"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源强（dB（A））</w:t>
            </w:r>
          </w:p>
        </w:tc>
        <w:tc>
          <w:tcPr>
            <w:tcW w:w="111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治理措施</w:t>
            </w:r>
          </w:p>
        </w:tc>
        <w:tc>
          <w:tcPr>
            <w:tcW w:w="2217" w:type="dxa"/>
            <w:noWrap w:val="0"/>
            <w:vAlign w:val="top"/>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降噪后源强（dB（A））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8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牛叫</w:t>
            </w:r>
          </w:p>
        </w:tc>
        <w:tc>
          <w:tcPr>
            <w:tcW w:w="12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eastAsia="zh-CN"/>
              </w:rPr>
              <w:t>牛舍</w:t>
            </w:r>
          </w:p>
        </w:tc>
        <w:tc>
          <w:tcPr>
            <w:tcW w:w="9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79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60-70</w:t>
            </w:r>
          </w:p>
        </w:tc>
        <w:tc>
          <w:tcPr>
            <w:tcW w:w="111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22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8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TMR混合搅</w:t>
            </w: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拌机</w:t>
            </w:r>
          </w:p>
        </w:tc>
        <w:tc>
          <w:tcPr>
            <w:tcW w:w="12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w:t>
            </w:r>
          </w:p>
        </w:tc>
        <w:tc>
          <w:tcPr>
            <w:tcW w:w="9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79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111" w:type="dxa"/>
            <w:vMerge w:val="restart"/>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基础减振、墙体隔声等措施</w:t>
            </w:r>
          </w:p>
        </w:tc>
        <w:tc>
          <w:tcPr>
            <w:tcW w:w="22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8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粉碎机</w:t>
            </w:r>
          </w:p>
        </w:tc>
        <w:tc>
          <w:tcPr>
            <w:tcW w:w="12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w:t>
            </w:r>
          </w:p>
        </w:tc>
        <w:tc>
          <w:tcPr>
            <w:tcW w:w="9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79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11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22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83"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水泵</w:t>
            </w:r>
          </w:p>
        </w:tc>
        <w:tc>
          <w:tcPr>
            <w:tcW w:w="12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污水处理区</w:t>
            </w:r>
          </w:p>
        </w:tc>
        <w:tc>
          <w:tcPr>
            <w:tcW w:w="969"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w:t>
            </w:r>
          </w:p>
        </w:tc>
        <w:tc>
          <w:tcPr>
            <w:tcW w:w="179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11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2217"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76" w:name="_Toc23899"/>
      <w:bookmarkStart w:id="577" w:name="_Toc18404"/>
      <w:r>
        <w:rPr>
          <w:rFonts w:hint="default" w:ascii="Times New Roman" w:hAnsi="Times New Roman" w:eastAsia="宋体" w:cs="Times New Roman"/>
          <w:snapToGrid w:val="0"/>
          <w:color w:val="auto"/>
          <w:spacing w:val="0"/>
          <w:w w:val="100"/>
          <w:kern w:val="0"/>
          <w:position w:val="0"/>
          <w:sz w:val="28"/>
          <w:szCs w:val="28"/>
          <w:highlight w:val="none"/>
          <w:lang w:val="en-US" w:eastAsia="zh-CN"/>
        </w:rPr>
        <w:t>2.4.4固体废物</w:t>
      </w:r>
      <w:bookmarkEnd w:id="576"/>
      <w:bookmarkEnd w:id="577"/>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本项目运营后，固体废物主要有牛粪、病死牛尸体及胎盘、污水处理站污泥、兽医站少量医疗废物、除尘器</w:t>
      </w:r>
      <w:r>
        <w:rPr>
          <w:rFonts w:hint="default" w:ascii="Times New Roman" w:hAnsi="Times New Roman" w:eastAsia="宋体" w:cs="Times New Roman"/>
          <w:color w:val="auto"/>
          <w:spacing w:val="0"/>
          <w:w w:val="100"/>
          <w:kern w:val="0"/>
          <w:position w:val="0"/>
          <w:sz w:val="24"/>
          <w:szCs w:val="24"/>
          <w:highlight w:val="none"/>
          <w:lang w:eastAsia="zh-CN"/>
        </w:rPr>
        <w:t>收尘灰</w:t>
      </w:r>
      <w:r>
        <w:rPr>
          <w:rFonts w:hint="default" w:ascii="Times New Roman" w:hAnsi="Times New Roman" w:eastAsia="宋体" w:cs="Times New Roman"/>
          <w:color w:val="auto"/>
          <w:spacing w:val="0"/>
          <w:w w:val="100"/>
          <w:kern w:val="0"/>
          <w:position w:val="0"/>
          <w:sz w:val="24"/>
          <w:szCs w:val="24"/>
          <w:highlight w:val="none"/>
        </w:rPr>
        <w:t>及生活垃圾。</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牛粪</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rPr>
        <w:t>本项目采取干法清粪工艺，</w:t>
      </w:r>
      <w:r>
        <w:rPr>
          <w:rFonts w:hint="default" w:ascii="Times New Roman" w:hAnsi="Times New Roman" w:eastAsia="宋体" w:cs="Times New Roman"/>
          <w:color w:val="auto"/>
          <w:spacing w:val="0"/>
          <w:w w:val="100"/>
          <w:kern w:val="0"/>
          <w:position w:val="0"/>
          <w:sz w:val="24"/>
          <w:szCs w:val="24"/>
          <w:highlight w:val="none"/>
          <w:lang w:val="zh-CN"/>
        </w:rPr>
        <w:t>根据</w:t>
      </w:r>
      <w:r>
        <w:rPr>
          <w:rFonts w:hint="default" w:ascii="Times New Roman" w:hAnsi="Times New Roman" w:eastAsia="宋体" w:cs="Times New Roman"/>
          <w:color w:val="auto"/>
          <w:spacing w:val="0"/>
          <w:w w:val="100"/>
          <w:kern w:val="0"/>
          <w:position w:val="0"/>
          <w:sz w:val="24"/>
          <w:highlight w:val="none"/>
          <w:lang w:val="zh-CN"/>
        </w:rPr>
        <w:t>《排污许可证申请与核发技术规范 畜禽养殖行业》</w:t>
      </w:r>
      <w:r>
        <w:rPr>
          <w:rFonts w:hint="default" w:ascii="Times New Roman" w:hAnsi="Times New Roman" w:eastAsia="宋体" w:cs="Times New Roman"/>
          <w:color w:val="auto"/>
          <w:spacing w:val="0"/>
          <w:w w:val="100"/>
          <w:kern w:val="0"/>
          <w:position w:val="0"/>
          <w:sz w:val="24"/>
          <w:szCs w:val="24"/>
          <w:highlight w:val="none"/>
          <w:lang w:val="zh-CN"/>
        </w:rPr>
        <w:t>各类污染物产生量中奶牛，牛粪（含尿液）量为</w:t>
      </w:r>
      <w:r>
        <w:rPr>
          <w:rFonts w:hint="default" w:ascii="Times New Roman" w:hAnsi="Times New Roman" w:eastAsia="宋体" w:cs="Times New Roman"/>
          <w:color w:val="auto"/>
          <w:spacing w:val="0"/>
          <w:w w:val="100"/>
          <w:kern w:val="0"/>
          <w:position w:val="0"/>
          <w:sz w:val="24"/>
          <w:szCs w:val="24"/>
          <w:highlight w:val="none"/>
        </w:rPr>
        <w:t>25.71</w:t>
      </w:r>
      <w:r>
        <w:rPr>
          <w:rFonts w:hint="default" w:ascii="Times New Roman" w:hAnsi="Times New Roman" w:eastAsia="宋体" w:cs="Times New Roman"/>
          <w:color w:val="auto"/>
          <w:spacing w:val="0"/>
          <w:w w:val="100"/>
          <w:kern w:val="0"/>
          <w:position w:val="0"/>
          <w:sz w:val="24"/>
          <w:szCs w:val="24"/>
          <w:highlight w:val="none"/>
          <w:lang w:val="zh-CN"/>
        </w:rPr>
        <w:t>kg/头·d（奶牛），本项目养殖奶牛数量3000头，牛粪（含尿液）总产生量约为</w:t>
      </w:r>
      <w:r>
        <w:rPr>
          <w:rFonts w:hint="default" w:ascii="Times New Roman" w:hAnsi="Times New Roman" w:cs="Times New Roman"/>
          <w:color w:val="auto"/>
          <w:spacing w:val="0"/>
          <w:w w:val="100"/>
          <w:kern w:val="0"/>
          <w:position w:val="0"/>
          <w:sz w:val="24"/>
          <w:szCs w:val="24"/>
          <w:highlight w:val="none"/>
          <w:lang w:val="zh-CN"/>
        </w:rPr>
        <w:t>46920.75</w:t>
      </w:r>
      <w:r>
        <w:rPr>
          <w:rFonts w:hint="default" w:ascii="Times New Roman" w:hAnsi="Times New Roman" w:eastAsia="宋体" w:cs="Times New Roman"/>
          <w:color w:val="auto"/>
          <w:spacing w:val="0"/>
          <w:w w:val="100"/>
          <w:kern w:val="0"/>
          <w:position w:val="0"/>
          <w:sz w:val="24"/>
          <w:szCs w:val="24"/>
          <w:highlight w:val="none"/>
          <w:lang w:val="zh-CN"/>
        </w:rPr>
        <w:t>t/a</w:t>
      </w:r>
      <w:r>
        <w:rPr>
          <w:rFonts w:hint="default" w:ascii="Times New Roman" w:hAnsi="Times New Roman" w:cs="Times New Roman"/>
          <w:color w:val="auto"/>
          <w:spacing w:val="0"/>
          <w:w w:val="100"/>
          <w:kern w:val="0"/>
          <w:position w:val="0"/>
          <w:sz w:val="24"/>
          <w:szCs w:val="24"/>
          <w:highlight w:val="none"/>
          <w:lang w:val="zh-CN"/>
        </w:rPr>
        <w:t>，</w:t>
      </w:r>
      <w:r>
        <w:rPr>
          <w:rFonts w:hint="default" w:ascii="Times New Roman" w:hAnsi="Times New Roman" w:eastAsia="宋体" w:cs="Times New Roman"/>
          <w:color w:val="auto"/>
          <w:spacing w:val="0"/>
          <w:w w:val="100"/>
          <w:kern w:val="0"/>
          <w:position w:val="0"/>
          <w:sz w:val="24"/>
          <w:szCs w:val="24"/>
          <w:highlight w:val="none"/>
          <w:lang w:val="zh-CN"/>
        </w:rPr>
        <w:t>送到</w:t>
      </w:r>
      <w:r>
        <w:rPr>
          <w:rFonts w:hint="default" w:ascii="Times New Roman" w:hAnsi="Times New Roman" w:cs="Times New Roman"/>
          <w:color w:val="auto"/>
          <w:spacing w:val="0"/>
          <w:w w:val="100"/>
          <w:kern w:val="0"/>
          <w:position w:val="0"/>
          <w:sz w:val="24"/>
          <w:szCs w:val="24"/>
          <w:highlight w:val="none"/>
          <w:lang w:val="zh-CN"/>
        </w:rPr>
        <w:t>堆粪棚</w:t>
      </w:r>
      <w:r>
        <w:rPr>
          <w:rFonts w:hint="default" w:ascii="Times New Roman" w:hAnsi="Times New Roman" w:eastAsia="宋体" w:cs="Times New Roman"/>
          <w:color w:val="auto"/>
          <w:spacing w:val="0"/>
          <w:w w:val="100"/>
          <w:kern w:val="0"/>
          <w:position w:val="0"/>
          <w:sz w:val="24"/>
          <w:szCs w:val="24"/>
          <w:highlight w:val="none"/>
          <w:lang w:val="zh-CN"/>
        </w:rPr>
        <w:t>进行堆存。</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eastAsia="zh-CN"/>
        </w:rPr>
      </w:pPr>
      <w:r>
        <w:rPr>
          <w:rFonts w:hint="default" w:ascii="Times New Roman" w:hAnsi="Times New Roman" w:eastAsia="宋体" w:cs="Times New Roman"/>
          <w:color w:val="auto"/>
          <w:spacing w:val="0"/>
          <w:w w:val="100"/>
          <w:kern w:val="0"/>
          <w:position w:val="0"/>
          <w:sz w:val="24"/>
          <w:szCs w:val="22"/>
          <w:highlight w:val="none"/>
        </w:rPr>
        <w:t>本项目建设1座</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（采取防雨、防漏、防渗措施），牛舍牛粪采取日产日清，清理至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暂存，</w:t>
      </w:r>
      <w:r>
        <w:rPr>
          <w:rFonts w:hint="eastAsia" w:ascii="Times New Roman" w:hAnsi="Times New Roman" w:cs="Times New Roman"/>
          <w:color w:val="auto"/>
          <w:spacing w:val="0"/>
          <w:w w:val="100"/>
          <w:kern w:val="0"/>
          <w:position w:val="0"/>
          <w:sz w:val="24"/>
          <w:szCs w:val="22"/>
          <w:highlight w:val="none"/>
          <w:lang w:eastAsia="zh-CN"/>
        </w:rPr>
        <w:t>出售给周边农户，还田利用</w:t>
      </w:r>
      <w:r>
        <w:rPr>
          <w:rFonts w:hint="default" w:ascii="Times New Roman" w:hAnsi="Times New Roman" w:eastAsia="宋体" w:cs="Times New Roman"/>
          <w:color w:val="auto"/>
          <w:spacing w:val="0"/>
          <w:w w:val="100"/>
          <w:kern w:val="0"/>
          <w:position w:val="0"/>
          <w:sz w:val="24"/>
          <w:szCs w:val="22"/>
          <w:highlight w:val="none"/>
          <w:lang w:eastAsia="zh-CN"/>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病死牛尸体及胎盘</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目前病死尸体的数量是无法计算的，这和养殖场本身的生产管理水平，疫情灾害发生情况以及防疫水平都有直接关联，本项目根据本地区同行业现已运行的奶牛养殖场病死尸产生情况估算病死尸体产生情况，病死牛尸体产生量约为30t/a，胎盘产生量为6.3t/a。</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按照《国家危险废物名录》（</w:t>
      </w:r>
      <w:r>
        <w:rPr>
          <w:rFonts w:hint="default" w:ascii="Times New Roman" w:hAnsi="Times New Roman" w:eastAsia="宋体" w:cs="Times New Roman"/>
          <w:color w:val="auto"/>
          <w:spacing w:val="0"/>
          <w:w w:val="100"/>
          <w:kern w:val="0"/>
          <w:position w:val="0"/>
          <w:sz w:val="24"/>
          <w:szCs w:val="22"/>
          <w:highlight w:val="none"/>
          <w:lang w:val="en-US" w:eastAsia="zh-CN"/>
        </w:rPr>
        <w:t>2021版</w:t>
      </w:r>
      <w:r>
        <w:rPr>
          <w:rFonts w:hint="default" w:ascii="Times New Roman" w:hAnsi="Times New Roman" w:eastAsia="宋体" w:cs="Times New Roman"/>
          <w:color w:val="auto"/>
          <w:spacing w:val="0"/>
          <w:w w:val="100"/>
          <w:kern w:val="0"/>
          <w:position w:val="0"/>
          <w:sz w:val="24"/>
          <w:szCs w:val="22"/>
          <w:highlight w:val="none"/>
        </w:rPr>
        <w:t>），病死牛尸体属危险废物，危险废物类别为HW01医疗废物，废物代码</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-001-01（为防治动物传染病而需要收集和处置的废物）。本项目将病死牛尸体及胎盘由</w:t>
      </w:r>
      <w:r>
        <w:rPr>
          <w:rFonts w:hint="default" w:ascii="Times New Roman" w:hAnsi="Times New Roman" w:eastAsia="宋体" w:cs="Times New Roman"/>
          <w:color w:val="auto"/>
          <w:spacing w:val="0"/>
          <w:w w:val="100"/>
          <w:kern w:val="0"/>
          <w:position w:val="0"/>
          <w:sz w:val="24"/>
          <w:szCs w:val="22"/>
          <w:highlight w:val="none"/>
          <w:lang w:eastAsia="zh-CN"/>
        </w:rPr>
        <w:t>防疫部门</w:t>
      </w:r>
      <w:r>
        <w:rPr>
          <w:rFonts w:hint="default" w:ascii="Times New Roman" w:hAnsi="Times New Roman" w:eastAsia="宋体" w:cs="Times New Roman"/>
          <w:color w:val="auto"/>
          <w:spacing w:val="0"/>
          <w:w w:val="100"/>
          <w:kern w:val="0"/>
          <w:position w:val="0"/>
          <w:sz w:val="24"/>
          <w:szCs w:val="22"/>
          <w:highlight w:val="none"/>
        </w:rPr>
        <w:t>专用车辆送往无害化处置中心处置。</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污水处理站污泥</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2"/>
          <w:highlight w:val="none"/>
          <w:lang w:val="en-US" w:eastAsia="zh-CN" w:bidi="ar-SA"/>
        </w:rPr>
      </w:pPr>
      <w:bookmarkStart w:id="578" w:name="_Toc10431_WPSOffice_Level3"/>
      <w:bookmarkStart w:id="579" w:name="_Toc13344_WPSOffice_Level3"/>
      <w:r>
        <w:rPr>
          <w:rFonts w:hint="default" w:ascii="Times New Roman" w:hAnsi="Times New Roman" w:eastAsia="宋体" w:cs="Times New Roman"/>
          <w:color w:val="auto"/>
          <w:spacing w:val="0"/>
          <w:w w:val="100"/>
          <w:kern w:val="0"/>
          <w:position w:val="0"/>
          <w:sz w:val="24"/>
          <w:szCs w:val="24"/>
          <w:highlight w:val="none"/>
          <w:lang w:eastAsia="zh-CN"/>
        </w:rPr>
        <w:t>污水处理站污泥的主要成分为粪渣，根据污水产生的SS浓度1415.71mg/L，处理后SS浓度35.26mg/L，处理废水量</w:t>
      </w:r>
      <w:r>
        <w:rPr>
          <w:rFonts w:hint="eastAsia" w:ascii="Times New Roman" w:hAnsi="Times New Roman" w:cs="Times New Roman"/>
          <w:color w:val="auto"/>
          <w:spacing w:val="0"/>
          <w:w w:val="100"/>
          <w:kern w:val="0"/>
          <w:position w:val="0"/>
          <w:sz w:val="24"/>
          <w:szCs w:val="24"/>
          <w:highlight w:val="none"/>
          <w:lang w:eastAsia="zh-CN"/>
        </w:rPr>
        <w:t>29965</w:t>
      </w:r>
      <w:r>
        <w:rPr>
          <w:rFonts w:hint="default" w:ascii="Times New Roman" w:hAnsi="Times New Roman" w:eastAsia="宋体" w:cs="Times New Roman"/>
          <w:color w:val="auto"/>
          <w:spacing w:val="0"/>
          <w:w w:val="100"/>
          <w:kern w:val="0"/>
          <w:position w:val="0"/>
          <w:sz w:val="24"/>
          <w:szCs w:val="24"/>
          <w:highlight w:val="none"/>
          <w:lang w:eastAsia="zh-CN"/>
        </w:rPr>
        <w:t>m</w:t>
      </w:r>
      <w:r>
        <w:rPr>
          <w:rFonts w:hint="default" w:ascii="Times New Roman" w:hAnsi="Times New Roman" w:eastAsia="宋体" w:cs="Times New Roman"/>
          <w:color w:val="auto"/>
          <w:spacing w:val="0"/>
          <w:w w:val="100"/>
          <w:kern w:val="0"/>
          <w:position w:val="0"/>
          <w:sz w:val="24"/>
          <w:szCs w:val="24"/>
          <w:highlight w:val="none"/>
          <w:vertAlign w:val="superscript"/>
          <w:lang w:eastAsia="zh-CN"/>
        </w:rPr>
        <w:t>3</w:t>
      </w:r>
      <w:r>
        <w:rPr>
          <w:rFonts w:hint="default" w:ascii="Times New Roman" w:hAnsi="Times New Roman" w:eastAsia="宋体" w:cs="Times New Roman"/>
          <w:color w:val="auto"/>
          <w:spacing w:val="0"/>
          <w:w w:val="100"/>
          <w:kern w:val="0"/>
          <w:position w:val="0"/>
          <w:sz w:val="24"/>
          <w:szCs w:val="24"/>
          <w:highlight w:val="none"/>
          <w:lang w:eastAsia="zh-CN"/>
        </w:rPr>
        <w:t>/a，计算得到污泥产生量约为43.46t/a，定期清运，将其进行脱水处理后，运至堆粪场储存，与牛粪一同发酵腐熟后外售周边农民还田综合利用。</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bookmarkEnd w:id="578"/>
      <w:bookmarkEnd w:id="579"/>
      <w:r>
        <w:rPr>
          <w:rFonts w:hint="default" w:ascii="Times New Roman" w:hAnsi="Times New Roman" w:eastAsia="宋体" w:cs="Times New Roman"/>
          <w:color w:val="auto"/>
          <w:spacing w:val="0"/>
          <w:w w:val="100"/>
          <w:kern w:val="0"/>
          <w:position w:val="0"/>
          <w:sz w:val="24"/>
          <w:szCs w:val="24"/>
          <w:highlight w:val="none"/>
          <w:lang w:eastAsia="zh-CN"/>
        </w:rPr>
        <w:t>收尘灰</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本项目玉米秸秆、苜蓿、稻草等饲草料在加工过程会产生一定量的粉尘，粉尘产生量为</w:t>
      </w:r>
      <w:r>
        <w:rPr>
          <w:rFonts w:hint="default" w:ascii="Times New Roman" w:hAnsi="Times New Roman" w:cs="Times New Roman"/>
          <w:color w:val="auto"/>
          <w:spacing w:val="0"/>
          <w:w w:val="100"/>
          <w:kern w:val="0"/>
          <w:position w:val="0"/>
          <w:sz w:val="24"/>
          <w:szCs w:val="22"/>
          <w:highlight w:val="none"/>
          <w:lang w:val="en-US" w:eastAsia="zh-CN"/>
        </w:rPr>
        <w:t>1.096</w:t>
      </w:r>
      <w:r>
        <w:rPr>
          <w:rFonts w:hint="default" w:ascii="Times New Roman" w:hAnsi="Times New Roman" w:eastAsia="宋体" w:cs="Times New Roman"/>
          <w:color w:val="auto"/>
          <w:spacing w:val="0"/>
          <w:w w:val="100"/>
          <w:kern w:val="0"/>
          <w:position w:val="0"/>
          <w:sz w:val="24"/>
          <w:szCs w:val="22"/>
          <w:highlight w:val="none"/>
        </w:rPr>
        <w:t>t/a，本项目采用半封闭日粮混合搅拌设备，设备自带收尘设施。除尘效率为95%，则粉尘的</w:t>
      </w:r>
      <w:r>
        <w:rPr>
          <w:rFonts w:hint="default" w:ascii="Times New Roman" w:hAnsi="Times New Roman" w:eastAsia="宋体" w:cs="Times New Roman"/>
          <w:color w:val="auto"/>
          <w:spacing w:val="0"/>
          <w:w w:val="100"/>
          <w:kern w:val="0"/>
          <w:position w:val="0"/>
          <w:sz w:val="24"/>
          <w:szCs w:val="22"/>
          <w:highlight w:val="none"/>
          <w:lang w:eastAsia="zh-CN"/>
        </w:rPr>
        <w:t>收集</w:t>
      </w:r>
      <w:r>
        <w:rPr>
          <w:rFonts w:hint="default" w:ascii="Times New Roman" w:hAnsi="Times New Roman" w:eastAsia="宋体" w:cs="Times New Roman"/>
          <w:color w:val="auto"/>
          <w:spacing w:val="0"/>
          <w:w w:val="100"/>
          <w:kern w:val="0"/>
          <w:position w:val="0"/>
          <w:sz w:val="24"/>
          <w:szCs w:val="22"/>
          <w:highlight w:val="none"/>
        </w:rPr>
        <w:t>量为</w:t>
      </w:r>
      <w:r>
        <w:rPr>
          <w:rFonts w:hint="default" w:ascii="Times New Roman" w:hAnsi="Times New Roman" w:cs="Times New Roman"/>
          <w:color w:val="auto"/>
          <w:spacing w:val="0"/>
          <w:w w:val="100"/>
          <w:kern w:val="0"/>
          <w:position w:val="0"/>
          <w:sz w:val="24"/>
          <w:szCs w:val="22"/>
          <w:highlight w:val="none"/>
          <w:lang w:val="en-US" w:eastAsia="zh-CN"/>
        </w:rPr>
        <w:t>1.085</w:t>
      </w:r>
      <w:r>
        <w:rPr>
          <w:rFonts w:hint="default" w:ascii="Times New Roman" w:hAnsi="Times New Roman" w:eastAsia="宋体" w:cs="Times New Roman"/>
          <w:color w:val="auto"/>
          <w:spacing w:val="0"/>
          <w:w w:val="100"/>
          <w:kern w:val="0"/>
          <w:position w:val="0"/>
          <w:sz w:val="24"/>
          <w:szCs w:val="22"/>
          <w:highlight w:val="none"/>
        </w:rPr>
        <w:t>t/a，可全部重新混入原料中加工成饲料，回收利用。</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5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⑸</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医疗废物</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项目产生的医疗废物主要为废一次性注射器以及废弃的药品等。根据建设单位提供，类比同类养殖场就诊规模，项目建成后，在防治牛传染病医治过程中产生的医疗废物约为</w:t>
      </w:r>
      <w:r>
        <w:rPr>
          <w:rFonts w:hint="default" w:ascii="Times New Roman" w:hAnsi="Times New Roman" w:cs="Times New Roman"/>
          <w:color w:val="auto"/>
          <w:spacing w:val="0"/>
          <w:w w:val="100"/>
          <w:kern w:val="0"/>
          <w:position w:val="0"/>
          <w:sz w:val="24"/>
          <w:szCs w:val="22"/>
          <w:highlight w:val="none"/>
          <w:lang w:val="en-US" w:eastAsia="zh-CN"/>
        </w:rPr>
        <w:t>1.67</w:t>
      </w:r>
      <w:r>
        <w:rPr>
          <w:rFonts w:hint="default" w:ascii="Times New Roman" w:hAnsi="Times New Roman" w:eastAsia="宋体" w:cs="Times New Roman"/>
          <w:color w:val="auto"/>
          <w:spacing w:val="0"/>
          <w:w w:val="100"/>
          <w:kern w:val="0"/>
          <w:position w:val="0"/>
          <w:sz w:val="24"/>
          <w:szCs w:val="22"/>
          <w:highlight w:val="none"/>
        </w:rPr>
        <w:t>t/a。这部分医疗废物属于《国家危险废物名录》（</w:t>
      </w:r>
      <w:r>
        <w:rPr>
          <w:rFonts w:hint="default" w:ascii="Times New Roman" w:hAnsi="Times New Roman" w:eastAsia="宋体" w:cs="Times New Roman"/>
          <w:color w:val="auto"/>
          <w:spacing w:val="0"/>
          <w:w w:val="100"/>
          <w:kern w:val="0"/>
          <w:position w:val="0"/>
          <w:sz w:val="24"/>
          <w:szCs w:val="22"/>
          <w:highlight w:val="none"/>
          <w:lang w:val="en-US" w:eastAsia="zh-CN"/>
        </w:rPr>
        <w:t>2021版</w:t>
      </w:r>
      <w:r>
        <w:rPr>
          <w:rFonts w:hint="default" w:ascii="Times New Roman" w:hAnsi="Times New Roman" w:eastAsia="宋体" w:cs="Times New Roman"/>
          <w:color w:val="auto"/>
          <w:spacing w:val="0"/>
          <w:w w:val="100"/>
          <w:kern w:val="0"/>
          <w:position w:val="0"/>
          <w:sz w:val="24"/>
          <w:szCs w:val="22"/>
          <w:highlight w:val="none"/>
        </w:rPr>
        <w:t>），废物类别为HW01，废物代码为</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-001-01）所规定的危险废物。医疗废物集中收集后委托有危废处理资质的单位集中处理。</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6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⑹</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生活垃圾</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本项目劳动定员</w:t>
      </w:r>
      <w:r>
        <w:rPr>
          <w:rFonts w:hint="default" w:ascii="Times New Roman" w:hAnsi="Times New Roman"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人，人均生活垃圾产生量按照0.5kg/d计算，则生活垃圾的产生量为</w:t>
      </w:r>
      <w:r>
        <w:rPr>
          <w:rFonts w:hint="default" w:ascii="Times New Roman" w:hAnsi="Times New Roman" w:cs="Times New Roman"/>
          <w:color w:val="auto"/>
          <w:spacing w:val="0"/>
          <w:w w:val="100"/>
          <w:kern w:val="0"/>
          <w:position w:val="0"/>
          <w:sz w:val="24"/>
          <w:szCs w:val="22"/>
          <w:highlight w:val="none"/>
          <w:lang w:val="en-US" w:eastAsia="zh-CN"/>
        </w:rPr>
        <w:t>3.65t/a</w:t>
      </w:r>
      <w:r>
        <w:rPr>
          <w:rFonts w:hint="default" w:ascii="Times New Roman" w:hAnsi="Times New Roman" w:eastAsia="宋体" w:cs="Times New Roman"/>
          <w:color w:val="auto"/>
          <w:spacing w:val="0"/>
          <w:w w:val="100"/>
          <w:kern w:val="0"/>
          <w:position w:val="0"/>
          <w:sz w:val="24"/>
          <w:szCs w:val="22"/>
          <w:highlight w:val="none"/>
        </w:rPr>
        <w:t>，设垃圾收集设施，收集后送至</w:t>
      </w:r>
      <w:r>
        <w:rPr>
          <w:rFonts w:hint="default" w:ascii="Times New Roman" w:hAnsi="Times New Roman" w:eastAsia="宋体" w:cs="Times New Roman"/>
          <w:color w:val="auto"/>
          <w:spacing w:val="0"/>
          <w:w w:val="100"/>
          <w:kern w:val="0"/>
          <w:position w:val="0"/>
          <w:sz w:val="24"/>
          <w:szCs w:val="22"/>
          <w:highlight w:val="none"/>
          <w:lang w:eastAsia="zh-CN"/>
        </w:rPr>
        <w:t>附近</w:t>
      </w:r>
      <w:r>
        <w:rPr>
          <w:rFonts w:hint="default" w:ascii="Times New Roman" w:hAnsi="Times New Roman" w:eastAsia="宋体" w:cs="Times New Roman"/>
          <w:color w:val="auto"/>
          <w:spacing w:val="0"/>
          <w:w w:val="100"/>
          <w:kern w:val="0"/>
          <w:position w:val="0"/>
          <w:sz w:val="24"/>
          <w:szCs w:val="22"/>
          <w:highlight w:val="none"/>
        </w:rPr>
        <w:t>生活垃圾填埋场处理。</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80" w:name="_Toc6604"/>
      <w:bookmarkStart w:id="581" w:name="_Toc24963"/>
      <w:r>
        <w:rPr>
          <w:rFonts w:hint="default" w:ascii="Times New Roman" w:hAnsi="Times New Roman" w:eastAsia="宋体" w:cs="Times New Roman"/>
          <w:snapToGrid w:val="0"/>
          <w:color w:val="auto"/>
          <w:spacing w:val="0"/>
          <w:w w:val="100"/>
          <w:kern w:val="0"/>
          <w:position w:val="0"/>
          <w:sz w:val="28"/>
          <w:szCs w:val="28"/>
          <w:highlight w:val="none"/>
          <w:lang w:val="en-US" w:eastAsia="zh-CN"/>
        </w:rPr>
        <w:t>2.4.5污染物源强汇总</w:t>
      </w:r>
      <w:bookmarkEnd w:id="580"/>
      <w:bookmarkEnd w:id="581"/>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sectPr>
          <w:headerReference r:id="rId10" w:type="default"/>
          <w:pgSz w:w="11906" w:h="16838"/>
          <w:pgMar w:top="1701" w:right="1587" w:bottom="1587" w:left="1587" w:header="1134" w:footer="1020"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pacing w:val="0"/>
          <w:w w:val="100"/>
          <w:kern w:val="0"/>
          <w:position w:val="0"/>
          <w:sz w:val="24"/>
          <w:szCs w:val="22"/>
          <w:highlight w:val="none"/>
        </w:rPr>
        <w:t>本项目运营后污染物源强汇总见表2.</w:t>
      </w:r>
      <w:r>
        <w:rPr>
          <w:rFonts w:hint="default" w:ascii="Times New Roman" w:hAnsi="Times New Roman" w:eastAsia="宋体"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rPr>
        <w:t>-</w:t>
      </w:r>
      <w:r>
        <w:rPr>
          <w:rFonts w:hint="eastAsia" w:ascii="Times New Roman" w:hAnsi="Times New Roman" w:cs="Times New Roman"/>
          <w:color w:val="auto"/>
          <w:spacing w:val="0"/>
          <w:w w:val="100"/>
          <w:kern w:val="0"/>
          <w:position w:val="0"/>
          <w:sz w:val="24"/>
          <w:szCs w:val="22"/>
          <w:highlight w:val="none"/>
          <w:lang w:val="en-US" w:eastAsia="zh-CN"/>
        </w:rPr>
        <w:t>8</w:t>
      </w:r>
      <w:r>
        <w:rPr>
          <w:rFonts w:hint="default" w:ascii="Times New Roman" w:hAnsi="Times New Roman" w:eastAsia="宋体" w:cs="Times New Roman"/>
          <w:color w:val="auto"/>
          <w:spacing w:val="0"/>
          <w:w w:val="100"/>
          <w:kern w:val="0"/>
          <w:position w:val="0"/>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表2.4-</w:t>
      </w:r>
      <w:r>
        <w:rPr>
          <w:rFonts w:hint="eastAsia" w:ascii="Times New Roman" w:hAnsi="Times New Roman" w:cs="Times New Roman"/>
          <w:b/>
          <w:bCs w:val="0"/>
          <w:color w:val="auto"/>
          <w:spacing w:val="0"/>
          <w:w w:val="100"/>
          <w:kern w:val="0"/>
          <w:position w:val="0"/>
          <w:sz w:val="24"/>
          <w:szCs w:val="24"/>
          <w:highlight w:val="none"/>
          <w:lang w:val="en-US" w:eastAsia="zh-CN" w:bidi="ar-SA"/>
        </w:rPr>
        <w:t>8</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本项目主要污染物产生及排放情况汇总一览表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205"/>
        <w:gridCol w:w="1624"/>
        <w:gridCol w:w="1494"/>
        <w:gridCol w:w="1496"/>
        <w:gridCol w:w="1298"/>
        <w:gridCol w:w="1473"/>
        <w:gridCol w:w="980"/>
        <w:gridCol w:w="2105"/>
        <w:gridCol w:w="1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要素</w:t>
            </w: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污染源</w:t>
            </w:r>
          </w:p>
        </w:tc>
        <w:tc>
          <w:tcPr>
            <w:tcW w:w="162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主要污染物</w:t>
            </w:r>
          </w:p>
        </w:tc>
        <w:tc>
          <w:tcPr>
            <w:tcW w:w="29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产生情况</w:t>
            </w:r>
          </w:p>
        </w:tc>
        <w:tc>
          <w:tcPr>
            <w:tcW w:w="3751" w:type="dxa"/>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排放情况</w:t>
            </w:r>
          </w:p>
        </w:tc>
        <w:tc>
          <w:tcPr>
            <w:tcW w:w="21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标准值</w:t>
            </w:r>
          </w:p>
        </w:tc>
        <w:tc>
          <w:tcPr>
            <w:tcW w:w="159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62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产生量</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产生速率</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排放量</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排放速率</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效率</w:t>
            </w:r>
          </w:p>
        </w:tc>
        <w:tc>
          <w:tcPr>
            <w:tcW w:w="21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废气</w:t>
            </w: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lang w:eastAsia="zh-CN"/>
              </w:rPr>
              <w:t>奶牛</w:t>
            </w:r>
            <w:r>
              <w:rPr>
                <w:rFonts w:hint="eastAsia" w:ascii="Times New Roman" w:hAnsi="Times New Roman" w:cs="Times New Roman"/>
                <w:bCs/>
                <w:snapToGrid w:val="0"/>
                <w:color w:val="auto"/>
                <w:spacing w:val="0"/>
                <w:w w:val="100"/>
                <w:kern w:val="0"/>
                <w:position w:val="0"/>
                <w:sz w:val="21"/>
                <w:szCs w:val="21"/>
                <w:highlight w:val="none"/>
                <w:lang w:eastAsia="zh-CN"/>
              </w:rPr>
              <w:t>牛舍</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cs="Times New Roman"/>
                <w:bCs/>
                <w:color w:val="auto"/>
                <w:spacing w:val="0"/>
                <w:w w:val="100"/>
                <w:kern w:val="0"/>
                <w:position w:val="0"/>
                <w:sz w:val="21"/>
                <w:szCs w:val="21"/>
                <w:highlight w:val="none"/>
                <w:lang w:val="en-US" w:eastAsia="zh-CN"/>
              </w:rPr>
              <w:t>0.845</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96</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254</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29</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70%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94</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107</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28</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3</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70%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lang w:eastAsia="zh-CN"/>
              </w:rPr>
              <w:t>堆粪棚</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624</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7</w:t>
            </w:r>
            <w:r>
              <w:rPr>
                <w:rFonts w:hint="default" w:ascii="Times New Roman" w:hAnsi="Times New Roman" w:eastAsia="宋体" w:cs="Times New Roman"/>
                <w:bCs/>
                <w:color w:val="auto"/>
                <w:spacing w:val="0"/>
                <w:w w:val="100"/>
                <w:kern w:val="0"/>
                <w:position w:val="0"/>
                <w:sz w:val="21"/>
                <w:szCs w:val="21"/>
                <w:highlight w:val="none"/>
              </w:rPr>
              <w:t>3kg/h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312</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36</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95%</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57</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68</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29</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0.000</w:t>
            </w:r>
            <w:r>
              <w:rPr>
                <w:rFonts w:hint="eastAsia" w:ascii="Times New Roman" w:hAnsi="Times New Roman" w:cs="Times New Roman"/>
                <w:bCs/>
                <w:color w:val="auto"/>
                <w:spacing w:val="0"/>
                <w:w w:val="100"/>
                <w:kern w:val="0"/>
                <w:position w:val="0"/>
                <w:sz w:val="21"/>
                <w:szCs w:val="21"/>
                <w:highlight w:val="none"/>
                <w:lang w:val="en-US" w:eastAsia="zh-CN"/>
              </w:rPr>
              <w:t>34</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95%</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污水处理站</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262</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3</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105</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60%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102</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4</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05</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60%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饲料</w:t>
            </w:r>
            <w:r>
              <w:rPr>
                <w:rFonts w:hint="default" w:ascii="Times New Roman" w:hAnsi="Times New Roman" w:eastAsia="宋体" w:cs="Times New Roman"/>
                <w:bCs/>
                <w:snapToGrid w:val="0"/>
                <w:color w:val="auto"/>
                <w:spacing w:val="0"/>
                <w:w w:val="100"/>
                <w:kern w:val="0"/>
                <w:position w:val="0"/>
                <w:sz w:val="21"/>
                <w:szCs w:val="21"/>
                <w:highlight w:val="none"/>
                <w:lang w:eastAsia="zh-CN"/>
              </w:rPr>
              <w:t>粉碎</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粉尘</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default" w:ascii="Times New Roman" w:hAnsi="Times New Roman" w:eastAsia="宋体" w:cs="Times New Roman"/>
                <w:bCs/>
                <w:color w:val="auto"/>
                <w:spacing w:val="0"/>
                <w:w w:val="100"/>
                <w:kern w:val="0"/>
                <w:position w:val="0"/>
                <w:sz w:val="21"/>
                <w:szCs w:val="21"/>
                <w:highlight w:val="none"/>
              </w:rPr>
              <w:t>1.</w:t>
            </w:r>
            <w:r>
              <w:rPr>
                <w:rFonts w:hint="eastAsia" w:ascii="Times New Roman" w:hAnsi="Times New Roman" w:cs="Times New Roman"/>
                <w:bCs/>
                <w:color w:val="auto"/>
                <w:spacing w:val="0"/>
                <w:w w:val="100"/>
                <w:kern w:val="0"/>
                <w:position w:val="0"/>
                <w:sz w:val="21"/>
                <w:szCs w:val="21"/>
                <w:highlight w:val="none"/>
                <w:lang w:val="en-US" w:eastAsia="zh-CN"/>
              </w:rPr>
              <w:t>827</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eastAsia" w:ascii="Times New Roman" w:hAnsi="Times New Roman" w:cs="Times New Roman"/>
                <w:bCs/>
                <w:color w:val="auto"/>
                <w:spacing w:val="0"/>
                <w:w w:val="100"/>
                <w:kern w:val="0"/>
                <w:position w:val="0"/>
                <w:sz w:val="21"/>
                <w:szCs w:val="21"/>
                <w:highlight w:val="none"/>
                <w:lang w:val="en-US" w:eastAsia="zh-CN"/>
              </w:rPr>
              <w:t>0.626</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18</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06</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99%</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&lt;1mg/m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要素</w:t>
            </w:r>
          </w:p>
        </w:tc>
        <w:tc>
          <w:tcPr>
            <w:tcW w:w="12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32" w:leftChars="0" w:hanging="32" w:hangingChars="1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污染源</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主要污染物</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b/>
                <w:bCs w:val="0"/>
                <w:color w:val="auto"/>
                <w:spacing w:val="0"/>
                <w:w w:val="100"/>
                <w:kern w:val="0"/>
                <w:position w:val="0"/>
                <w:sz w:val="21"/>
                <w:szCs w:val="21"/>
                <w:highlight w:val="none"/>
                <w:lang w:eastAsia="zh-CN"/>
              </w:rPr>
            </w:pPr>
            <w:r>
              <w:rPr>
                <w:rFonts w:hint="eastAsia" w:ascii="Times New Roman" w:hAnsi="Times New Roman" w:cs="Times New Roman"/>
                <w:b/>
                <w:bCs w:val="0"/>
                <w:color w:val="auto"/>
                <w:spacing w:val="0"/>
                <w:w w:val="100"/>
                <w:kern w:val="0"/>
                <w:position w:val="0"/>
                <w:sz w:val="21"/>
                <w:szCs w:val="21"/>
                <w:highlight w:val="none"/>
                <w:lang w:eastAsia="zh-CN"/>
              </w:rPr>
              <w:t>产生浓度</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eastAsia" w:ascii="Times New Roman" w:hAnsi="Times New Roman" w:cs="Times New Roman"/>
                <w:b/>
                <w:bCs w:val="0"/>
                <w:color w:val="auto"/>
                <w:spacing w:val="0"/>
                <w:w w:val="100"/>
                <w:kern w:val="0"/>
                <w:position w:val="0"/>
                <w:sz w:val="21"/>
                <w:szCs w:val="21"/>
                <w:highlight w:val="none"/>
                <w:lang w:val="en-US" w:eastAsia="zh-CN"/>
              </w:rPr>
            </w:pPr>
            <w:r>
              <w:rPr>
                <w:rFonts w:hint="eastAsia" w:ascii="Times New Roman" w:hAnsi="Times New Roman" w:cs="Times New Roman"/>
                <w:b/>
                <w:bCs w:val="0"/>
                <w:color w:val="auto"/>
                <w:spacing w:val="0"/>
                <w:w w:val="100"/>
                <w:kern w:val="0"/>
                <w:position w:val="0"/>
                <w:sz w:val="21"/>
                <w:szCs w:val="21"/>
                <w:highlight w:val="none"/>
                <w:lang w:val="en-US" w:eastAsia="zh-CN"/>
              </w:rPr>
              <w:t>产生量</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b/>
                <w:bCs w:val="0"/>
                <w:color w:val="auto"/>
                <w:spacing w:val="0"/>
                <w:w w:val="100"/>
                <w:kern w:val="0"/>
                <w:position w:val="0"/>
                <w:sz w:val="21"/>
                <w:szCs w:val="21"/>
                <w:highlight w:val="none"/>
                <w:lang w:eastAsia="zh-CN"/>
              </w:rPr>
            </w:pPr>
            <w:r>
              <w:rPr>
                <w:rFonts w:hint="eastAsia" w:ascii="Times New Roman" w:hAnsi="Times New Roman" w:cs="Times New Roman"/>
                <w:b/>
                <w:bCs w:val="0"/>
                <w:color w:val="auto"/>
                <w:spacing w:val="0"/>
                <w:w w:val="100"/>
                <w:kern w:val="0"/>
                <w:position w:val="0"/>
                <w:sz w:val="21"/>
                <w:szCs w:val="21"/>
                <w:highlight w:val="none"/>
                <w:lang w:eastAsia="zh-CN"/>
              </w:rPr>
              <w:t>排放浓度</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snapToGrid w:val="0"/>
                <w:color w:val="auto"/>
                <w:spacing w:val="0"/>
                <w:w w:val="100"/>
                <w:kern w:val="0"/>
                <w:position w:val="0"/>
                <w:sz w:val="21"/>
                <w:szCs w:val="21"/>
                <w:highlight w:val="none"/>
              </w:rPr>
              <w:t>排放量</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效率</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标准值</w:t>
            </w:r>
          </w:p>
        </w:tc>
        <w:tc>
          <w:tcPr>
            <w:tcW w:w="15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废水</w:t>
            </w: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污水处理站</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COD</w:t>
            </w:r>
          </w:p>
        </w:tc>
        <w:tc>
          <w:tcPr>
            <w:tcW w:w="1494"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eastAsia" w:ascii="Times New Roman" w:hAnsi="Times New Roman" w:eastAsia="宋体" w:cs="Times New Roman"/>
                <w:color w:val="auto"/>
                <w:spacing w:val="0"/>
                <w:w w:val="100"/>
                <w:kern w:val="0"/>
                <w:position w:val="0"/>
                <w:sz w:val="21"/>
                <w:szCs w:val="21"/>
                <w:highlight w:val="none"/>
                <w:lang w:val="en-US" w:eastAsia="zh-CN"/>
              </w:rPr>
              <w:t>4938.6</w:t>
            </w:r>
            <w:r>
              <w:rPr>
                <w:rFonts w:hint="eastAsia" w:ascii="Times New Roman" w:hAnsi="Times New Roman" w:cs="Times New Roman"/>
                <w:color w:val="auto"/>
                <w:spacing w:val="0"/>
                <w:w w:val="100"/>
                <w:kern w:val="0"/>
                <w:position w:val="0"/>
                <w:sz w:val="21"/>
                <w:szCs w:val="21"/>
                <w:highlight w:val="none"/>
                <w:lang w:val="en-US" w:eastAsia="zh-CN"/>
              </w:rPr>
              <w:t>mg/L</w:t>
            </w:r>
          </w:p>
        </w:tc>
        <w:tc>
          <w:tcPr>
            <w:tcW w:w="1496"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147.985</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298"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172.9</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73"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5.179</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96.50%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≤200mg/L</w:t>
            </w:r>
          </w:p>
        </w:tc>
        <w:tc>
          <w:tcPr>
            <w:tcW w:w="159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BOD</w:t>
            </w:r>
            <w:r>
              <w:rPr>
                <w:rFonts w:hint="default" w:ascii="Times New Roman" w:hAnsi="Times New Roman" w:eastAsia="宋体" w:cs="Times New Roman"/>
                <w:color w:val="auto"/>
                <w:spacing w:val="0"/>
                <w:w w:val="100"/>
                <w:kern w:val="0"/>
                <w:position w:val="0"/>
                <w:sz w:val="21"/>
                <w:szCs w:val="21"/>
                <w:highlight w:val="none"/>
                <w:vertAlign w:val="subscript"/>
              </w:rPr>
              <w:t>5</w:t>
            </w:r>
          </w:p>
        </w:tc>
        <w:tc>
          <w:tcPr>
            <w:tcW w:w="1494"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 xml:space="preserve">1779.4 </w:t>
            </w:r>
            <w:r>
              <w:rPr>
                <w:rFonts w:hint="eastAsia" w:ascii="Times New Roman" w:hAnsi="Times New Roman" w:cs="Times New Roman"/>
                <w:color w:val="auto"/>
                <w:spacing w:val="0"/>
                <w:w w:val="100"/>
                <w:kern w:val="0"/>
                <w:position w:val="0"/>
                <w:sz w:val="21"/>
                <w:szCs w:val="21"/>
                <w:highlight w:val="none"/>
                <w:lang w:val="en-US" w:eastAsia="zh-CN"/>
              </w:rPr>
              <w:t>mg/L</w:t>
            </w:r>
          </w:p>
        </w:tc>
        <w:tc>
          <w:tcPr>
            <w:tcW w:w="1496"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53.321</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298"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44.5</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73"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1.333</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97.50%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SS</w:t>
            </w:r>
          </w:p>
        </w:tc>
        <w:tc>
          <w:tcPr>
            <w:tcW w:w="1494"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1483.7</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96"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44.460</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298"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37.1</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73"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1.111</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97.50%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-N</w:t>
            </w:r>
          </w:p>
        </w:tc>
        <w:tc>
          <w:tcPr>
            <w:tcW w:w="1494"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345.7</w:t>
            </w:r>
            <w:r>
              <w:rPr>
                <w:rFonts w:hint="eastAsia" w:ascii="Times New Roman" w:hAnsi="Times New Roman" w:cs="Times New Roman"/>
                <w:color w:val="auto"/>
                <w:spacing w:val="0"/>
                <w:w w:val="100"/>
                <w:kern w:val="0"/>
                <w:position w:val="0"/>
                <w:sz w:val="21"/>
                <w:szCs w:val="21"/>
                <w:highlight w:val="none"/>
                <w:lang w:val="en-US" w:eastAsia="zh-CN"/>
              </w:rPr>
              <w:t>mg/L</w:t>
            </w:r>
          </w:p>
        </w:tc>
        <w:tc>
          <w:tcPr>
            <w:tcW w:w="1496"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10.360</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298"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27.7</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73"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0.829</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92.00%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≤80mg/L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TP</w:t>
            </w:r>
          </w:p>
        </w:tc>
        <w:tc>
          <w:tcPr>
            <w:tcW w:w="1494"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49.3</w:t>
            </w:r>
            <w:r>
              <w:rPr>
                <w:rFonts w:hint="eastAsia" w:ascii="Times New Roman" w:hAnsi="Times New Roman" w:cs="Times New Roman"/>
                <w:color w:val="auto"/>
                <w:spacing w:val="0"/>
                <w:w w:val="100"/>
                <w:kern w:val="0"/>
                <w:position w:val="0"/>
                <w:sz w:val="21"/>
                <w:szCs w:val="21"/>
                <w:highlight w:val="none"/>
                <w:lang w:val="en-US" w:eastAsia="zh-CN"/>
              </w:rPr>
              <w:t>mg/L</w:t>
            </w:r>
          </w:p>
        </w:tc>
        <w:tc>
          <w:tcPr>
            <w:tcW w:w="1496"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1.478</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298"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6.9</w:t>
            </w:r>
            <w:r>
              <w:rPr>
                <w:rFonts w:hint="eastAsia" w:ascii="Times New Roman" w:hAnsi="Times New Roman" w:cs="Times New Roman"/>
                <w:color w:val="auto"/>
                <w:spacing w:val="0"/>
                <w:w w:val="100"/>
                <w:kern w:val="0"/>
                <w:position w:val="0"/>
                <w:sz w:val="21"/>
                <w:szCs w:val="21"/>
                <w:highlight w:val="none"/>
                <w:lang w:val="en-US" w:eastAsia="zh-CN"/>
              </w:rPr>
              <w:t>mg/L</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1473" w:type="dxa"/>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0.207</w:t>
            </w:r>
            <w:r>
              <w:rPr>
                <w:rFonts w:hint="eastAsia" w:ascii="Times New Roman" w:hAnsi="Times New Roman" w:cs="Times New Roman"/>
                <w:color w:val="auto"/>
                <w:spacing w:val="0"/>
                <w:w w:val="100"/>
                <w:kern w:val="0"/>
                <w:position w:val="0"/>
                <w:sz w:val="21"/>
                <w:szCs w:val="21"/>
                <w:highlight w:val="none"/>
                <w:lang w:val="en-US" w:eastAsia="zh-CN"/>
              </w:rPr>
              <w:t>t/a</w:t>
            </w:r>
            <w:r>
              <w:rPr>
                <w:rFonts w:hint="eastAsia" w:ascii="Times New Roman" w:hAnsi="Times New Roman" w:eastAsia="宋体" w:cs="Times New Roman"/>
                <w:color w:val="auto"/>
                <w:spacing w:val="0"/>
                <w:w w:val="100"/>
                <w:kern w:val="0"/>
                <w:position w:val="0"/>
                <w:sz w:val="21"/>
                <w:szCs w:val="21"/>
                <w:highlight w:val="none"/>
                <w:lang w:val="en-US" w:eastAsia="zh-CN"/>
              </w:rPr>
              <w:t xml:space="preserve"> </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86.00%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≤8.0mg/L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粪大肠菌群</w:t>
            </w:r>
          </w:p>
        </w:tc>
        <w:tc>
          <w:tcPr>
            <w:tcW w:w="2990" w:type="dxa"/>
            <w:gridSpan w:val="2"/>
            <w:tcBorders>
              <w:tl2br w:val="nil"/>
              <w:tr2bl w:val="nil"/>
            </w:tcBorders>
            <w:noWrap w:val="0"/>
            <w:vAlign w:val="center"/>
          </w:tcPr>
          <w:p>
            <w:pPr>
              <w:pStyle w:val="49"/>
              <w:keepNext w:val="0"/>
              <w:keepLines w:val="0"/>
              <w:pageBreakBefore w:val="0"/>
              <w:kinsoku/>
              <w:wordWrap/>
              <w:overflowPunct/>
              <w:topLinePunct w:val="0"/>
              <w:bidi w:val="0"/>
              <w:adjustRightInd w:val="0"/>
              <w:snapToGrid w:val="0"/>
              <w:spacing w:line="240" w:lineRule="auto"/>
              <w:ind w:left="0"/>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cs="Times New Roman"/>
                <w:bCs/>
                <w:color w:val="auto"/>
                <w:spacing w:val="0"/>
                <w:w w:val="100"/>
                <w:kern w:val="0"/>
                <w:position w:val="0"/>
                <w:sz w:val="21"/>
                <w:szCs w:val="21"/>
                <w:highlight w:val="none"/>
                <w:lang w:val="en-US" w:eastAsia="zh-CN"/>
              </w:rPr>
              <w:t>4.43</w:t>
            </w:r>
            <w:r>
              <w:rPr>
                <w:rFonts w:hint="default" w:ascii="Times New Roman" w:hAnsi="Times New Roman" w:eastAsia="宋体" w:cs="Times New Roman"/>
                <w:bCs/>
                <w:color w:val="auto"/>
                <w:spacing w:val="0"/>
                <w:w w:val="100"/>
                <w:kern w:val="0"/>
                <w:position w:val="0"/>
                <w:sz w:val="21"/>
                <w:szCs w:val="21"/>
                <w:highlight w:val="none"/>
              </w:rPr>
              <w:t>×10</w:t>
            </w:r>
            <w:r>
              <w:rPr>
                <w:rFonts w:hint="default" w:ascii="Times New Roman" w:hAnsi="Times New Roman" w:eastAsia="宋体" w:cs="Times New Roman"/>
                <w:bCs/>
                <w:color w:val="auto"/>
                <w:spacing w:val="0"/>
                <w:w w:val="100"/>
                <w:kern w:val="0"/>
                <w:position w:val="0"/>
                <w:sz w:val="21"/>
                <w:szCs w:val="21"/>
                <w:highlight w:val="none"/>
                <w:vertAlign w:val="superscript"/>
              </w:rPr>
              <w:t>5</w:t>
            </w:r>
            <w:r>
              <w:rPr>
                <w:rFonts w:hint="default" w:ascii="Times New Roman" w:hAnsi="Times New Roman" w:eastAsia="宋体" w:cs="Times New Roman"/>
                <w:bCs/>
                <w:color w:val="auto"/>
                <w:spacing w:val="0"/>
                <w:w w:val="100"/>
                <w:kern w:val="0"/>
                <w:position w:val="0"/>
                <w:sz w:val="21"/>
                <w:szCs w:val="21"/>
                <w:highlight w:val="none"/>
              </w:rPr>
              <w:t>个/100mL</w:t>
            </w:r>
          </w:p>
        </w:tc>
        <w:tc>
          <w:tcPr>
            <w:tcW w:w="2771" w:type="dxa"/>
            <w:gridSpan w:val="2"/>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eastAsia" w:ascii="Times New Roman" w:hAnsi="Times New Roman" w:cs="Times New Roman"/>
                <w:color w:val="auto"/>
                <w:spacing w:val="0"/>
                <w:w w:val="100"/>
                <w:kern w:val="0"/>
                <w:position w:val="0"/>
                <w:szCs w:val="21"/>
                <w:highlight w:val="none"/>
                <w:lang w:val="en-US" w:eastAsia="zh-CN"/>
              </w:rPr>
              <w:t>886</w:t>
            </w:r>
            <w:r>
              <w:rPr>
                <w:rFonts w:hint="default" w:ascii="Times New Roman" w:hAnsi="Times New Roman" w:eastAsia="宋体" w:cs="Times New Roman"/>
                <w:color w:val="auto"/>
                <w:spacing w:val="0"/>
                <w:w w:val="100"/>
                <w:kern w:val="0"/>
                <w:position w:val="0"/>
                <w:szCs w:val="21"/>
                <w:highlight w:val="none"/>
              </w:rPr>
              <w:t>个/100mL</w:t>
            </w:r>
          </w:p>
        </w:tc>
        <w:tc>
          <w:tcPr>
            <w:tcW w:w="980" w:type="dxa"/>
            <w:tcBorders>
              <w:tl2br w:val="nil"/>
              <w:tr2bl w:val="nil"/>
            </w:tcBorders>
            <w:noWrap w:val="0"/>
            <w:vAlign w:val="center"/>
          </w:tcPr>
          <w:p>
            <w:pPr>
              <w:widowControl/>
              <w:spacing w:line="240" w:lineRule="auto"/>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99.8%</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≤1000个/100mL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蛔虫卵</w:t>
            </w:r>
          </w:p>
        </w:tc>
        <w:tc>
          <w:tcPr>
            <w:tcW w:w="2990" w:type="dxa"/>
            <w:gridSpan w:val="2"/>
            <w:tcBorders>
              <w:tl2br w:val="nil"/>
              <w:tr2bl w:val="nil"/>
            </w:tcBorders>
            <w:noWrap w:val="0"/>
            <w:vAlign w:val="center"/>
          </w:tcPr>
          <w:p>
            <w:pPr>
              <w:pStyle w:val="49"/>
              <w:keepNext w:val="0"/>
              <w:keepLines w:val="0"/>
              <w:pageBreakBefore w:val="0"/>
              <w:kinsoku/>
              <w:wordWrap/>
              <w:overflowPunct/>
              <w:topLinePunct w:val="0"/>
              <w:bidi w:val="0"/>
              <w:adjustRightInd w:val="0"/>
              <w:snapToGrid w:val="0"/>
              <w:spacing w:line="240" w:lineRule="auto"/>
              <w:ind w:left="0"/>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53</w:t>
            </w:r>
            <w:r>
              <w:rPr>
                <w:rFonts w:hint="default" w:ascii="Times New Roman" w:hAnsi="Times New Roman" w:eastAsia="宋体" w:cs="Times New Roman"/>
                <w:color w:val="auto"/>
                <w:spacing w:val="0"/>
                <w:w w:val="100"/>
                <w:kern w:val="0"/>
                <w:position w:val="0"/>
                <w:szCs w:val="21"/>
                <w:highlight w:val="none"/>
              </w:rPr>
              <w:t>个/L</w:t>
            </w:r>
          </w:p>
        </w:tc>
        <w:tc>
          <w:tcPr>
            <w:tcW w:w="2771" w:type="dxa"/>
            <w:gridSpan w:val="2"/>
            <w:tcBorders>
              <w:tl2br w:val="nil"/>
              <w:tr2bl w:val="nil"/>
            </w:tcBorders>
            <w:noWrap w:val="0"/>
            <w:vAlign w:val="center"/>
          </w:tcPr>
          <w:p>
            <w:pPr>
              <w:widowControl/>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default" w:ascii="Times New Roman" w:hAnsi="Times New Roman" w:eastAsia="宋体" w:cs="Times New Roman"/>
                <w:color w:val="auto"/>
                <w:spacing w:val="0"/>
                <w:w w:val="100"/>
                <w:kern w:val="0"/>
                <w:position w:val="0"/>
                <w:szCs w:val="21"/>
                <w:highlight w:val="none"/>
              </w:rPr>
              <w:t>个/L</w:t>
            </w:r>
          </w:p>
        </w:tc>
        <w:tc>
          <w:tcPr>
            <w:tcW w:w="98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98%</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bl>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ind w:firstLine="480" w:firstLineChars="200"/>
        <w:jc w:val="both"/>
        <w:textAlignment w:val="auto"/>
        <w:outlineLvl w:val="9"/>
        <w:rPr>
          <w:rFonts w:hint="default" w:ascii="Times New Roman" w:hAnsi="Times New Roman" w:eastAsia="宋体" w:cs="Times New Roman"/>
          <w:b w:val="0"/>
          <w:bCs/>
          <w:color w:val="auto"/>
          <w:spacing w:val="0"/>
          <w:w w:val="100"/>
          <w:kern w:val="0"/>
          <w:position w:val="0"/>
          <w:sz w:val="24"/>
          <w:szCs w:val="24"/>
          <w:highlight w:val="none"/>
          <w:lang w:eastAsia="zh-CN"/>
        </w:rPr>
      </w:pPr>
      <w:bookmarkStart w:id="582" w:name="_Toc25090"/>
      <w:bookmarkStart w:id="583" w:name="_Toc5867"/>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ind w:firstLine="480" w:firstLineChars="200"/>
        <w:jc w:val="both"/>
        <w:textAlignment w:val="auto"/>
        <w:outlineLvl w:val="9"/>
        <w:rPr>
          <w:rFonts w:hint="default" w:ascii="Times New Roman" w:hAnsi="Times New Roman" w:eastAsia="宋体" w:cs="Times New Roman"/>
          <w:b w:val="0"/>
          <w:bCs/>
          <w:color w:val="auto"/>
          <w:spacing w:val="0"/>
          <w:w w:val="100"/>
          <w:kern w:val="0"/>
          <w:position w:val="0"/>
          <w:sz w:val="24"/>
          <w:szCs w:val="24"/>
          <w:highlight w:val="none"/>
          <w:lang w:eastAsia="zh-CN"/>
        </w:rPr>
        <w:sectPr>
          <w:headerReference r:id="rId11"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续表2.4-</w:t>
      </w:r>
      <w:r>
        <w:rPr>
          <w:rFonts w:hint="eastAsia" w:ascii="Times New Roman" w:hAnsi="Times New Roman" w:cs="Times New Roman"/>
          <w:b/>
          <w:bCs w:val="0"/>
          <w:color w:val="auto"/>
          <w:spacing w:val="0"/>
          <w:w w:val="100"/>
          <w:kern w:val="0"/>
          <w:position w:val="0"/>
          <w:sz w:val="24"/>
          <w:szCs w:val="24"/>
          <w:highlight w:val="none"/>
          <w:lang w:val="en-US" w:eastAsia="zh-CN" w:bidi="ar-SA"/>
        </w:rPr>
        <w:t>8</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本项目主要污染物产生及排放情况汇总一览表</w:t>
      </w:r>
      <w:bookmarkEnd w:id="582"/>
      <w:bookmarkEnd w:id="583"/>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82"/>
        <w:gridCol w:w="2028"/>
        <w:gridCol w:w="2331"/>
        <w:gridCol w:w="3464"/>
        <w:gridCol w:w="2392"/>
        <w:gridCol w:w="15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要素</w:t>
            </w:r>
          </w:p>
        </w:tc>
        <w:tc>
          <w:tcPr>
            <w:tcW w:w="12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hanging="32" w:hangingChars="15"/>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污染源</w:t>
            </w:r>
          </w:p>
        </w:tc>
        <w:tc>
          <w:tcPr>
            <w:tcW w:w="20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主要污染物</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处理前</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处理后</w:t>
            </w:r>
          </w:p>
        </w:tc>
        <w:tc>
          <w:tcPr>
            <w:tcW w:w="239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标准值</w:t>
            </w:r>
          </w:p>
        </w:tc>
        <w:tc>
          <w:tcPr>
            <w:tcW w:w="15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p>
        </w:tc>
        <w:tc>
          <w:tcPr>
            <w:tcW w:w="12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hanging="32" w:hangingChars="15"/>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p>
        </w:tc>
        <w:tc>
          <w:tcPr>
            <w:tcW w:w="20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eastAsia" w:ascii="Times New Roman" w:hAnsi="Times New Roman" w:eastAsia="宋体" w:cs="Times New Roman"/>
                <w:b/>
                <w:bCs/>
                <w:snapToGrid w:val="0"/>
                <w:color w:val="auto"/>
                <w:spacing w:val="0"/>
                <w:w w:val="100"/>
                <w:kern w:val="0"/>
                <w:position w:val="0"/>
                <w:szCs w:val="21"/>
                <w:highlight w:val="none"/>
                <w:lang w:eastAsia="zh-CN"/>
              </w:rPr>
            </w:pPr>
            <w:r>
              <w:rPr>
                <w:rFonts w:hint="default" w:ascii="Times New Roman" w:hAnsi="Times New Roman" w:eastAsia="宋体" w:cs="Times New Roman"/>
                <w:b/>
                <w:bCs/>
                <w:snapToGrid w:val="0"/>
                <w:color w:val="auto"/>
                <w:spacing w:val="0"/>
                <w:w w:val="100"/>
                <w:kern w:val="0"/>
                <w:position w:val="0"/>
                <w:szCs w:val="21"/>
                <w:highlight w:val="none"/>
              </w:rPr>
              <w:t>产生量</w:t>
            </w:r>
            <w:r>
              <w:rPr>
                <w:rFonts w:hint="eastAsia" w:ascii="Times New Roman" w:hAnsi="Times New Roman" w:cs="Times New Roman"/>
                <w:b/>
                <w:bCs/>
                <w:snapToGrid w:val="0"/>
                <w:color w:val="auto"/>
                <w:spacing w:val="0"/>
                <w:w w:val="100"/>
                <w:kern w:val="0"/>
                <w:position w:val="0"/>
                <w:szCs w:val="21"/>
                <w:highlight w:val="none"/>
                <w:lang w:val="en-US" w:eastAsia="zh-CN"/>
              </w:rPr>
              <w:t xml:space="preserve"> </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排放量</w:t>
            </w:r>
            <w:r>
              <w:rPr>
                <w:rFonts w:hint="eastAsia" w:ascii="Times New Roman" w:hAnsi="Times New Roman" w:cs="Times New Roman"/>
                <w:b/>
                <w:bCs/>
                <w:snapToGrid w:val="0"/>
                <w:color w:val="auto"/>
                <w:spacing w:val="0"/>
                <w:w w:val="100"/>
                <w:kern w:val="0"/>
                <w:position w:val="0"/>
                <w:szCs w:val="21"/>
                <w:highlight w:val="none"/>
                <w:lang w:val="en-US" w:eastAsia="zh-CN"/>
              </w:rPr>
              <w:t xml:space="preserve"> </w:t>
            </w:r>
          </w:p>
        </w:tc>
        <w:tc>
          <w:tcPr>
            <w:tcW w:w="23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p>
        </w:tc>
        <w:tc>
          <w:tcPr>
            <w:tcW w:w="15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
                <w:bCs/>
                <w:snapToGrid w:val="0"/>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r>
              <w:rPr>
                <w:rFonts w:hint="default" w:ascii="Times New Roman" w:hAnsi="Times New Roman" w:eastAsia="宋体" w:cs="Times New Roman"/>
                <w:bCs/>
                <w:snapToGrid w:val="0"/>
                <w:color w:val="auto"/>
                <w:spacing w:val="0"/>
                <w:w w:val="100"/>
                <w:kern w:val="0"/>
                <w:position w:val="0"/>
                <w:szCs w:val="21"/>
                <w:highlight w:val="none"/>
              </w:rPr>
              <w:t>噪声</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r>
              <w:rPr>
                <w:rFonts w:hint="default" w:ascii="Times New Roman" w:hAnsi="Times New Roman" w:eastAsia="宋体" w:cs="Times New Roman"/>
                <w:bCs/>
                <w:snapToGrid w:val="0"/>
                <w:color w:val="auto"/>
                <w:spacing w:val="0"/>
                <w:w w:val="100"/>
                <w:kern w:val="0"/>
                <w:position w:val="0"/>
                <w:szCs w:val="21"/>
                <w:highlight w:val="none"/>
              </w:rPr>
              <w:t>牛场</w:t>
            </w:r>
          </w:p>
        </w:tc>
        <w:tc>
          <w:tcPr>
            <w:tcW w:w="202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TMR混合搅</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拌机</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bCs/>
                <w:snapToGrid w:val="0"/>
                <w:color w:val="auto"/>
                <w:spacing w:val="0"/>
                <w:w w:val="100"/>
                <w:kern w:val="0"/>
                <w:position w:val="0"/>
                <w:szCs w:val="21"/>
                <w:highlight w:val="none"/>
              </w:rPr>
              <w:t>粉碎机、污水站泵及牛群活动叫声等</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60～90dB(A)</w:t>
            </w:r>
          </w:p>
        </w:tc>
        <w:tc>
          <w:tcPr>
            <w:tcW w:w="3464"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昼间≤</w:t>
            </w:r>
            <w:r>
              <w:rPr>
                <w:rFonts w:hint="default" w:ascii="Times New Roman" w:hAnsi="Times New Roman" w:eastAsia="宋体" w:cs="Times New Roman"/>
                <w:bCs/>
                <w:color w:val="auto"/>
                <w:spacing w:val="0"/>
                <w:w w:val="100"/>
                <w:kern w:val="0"/>
                <w:position w:val="0"/>
                <w:sz w:val="21"/>
                <w:szCs w:val="21"/>
                <w:highlight w:val="none"/>
                <w:lang w:val="en-US" w:eastAsia="zh-CN"/>
              </w:rPr>
              <w:t>55</w:t>
            </w:r>
            <w:r>
              <w:rPr>
                <w:rFonts w:hint="default" w:ascii="Times New Roman" w:hAnsi="Times New Roman" w:eastAsia="宋体" w:cs="Times New Roman"/>
                <w:bCs/>
                <w:color w:val="auto"/>
                <w:spacing w:val="0"/>
                <w:w w:val="100"/>
                <w:kern w:val="0"/>
                <w:position w:val="0"/>
                <w:sz w:val="21"/>
                <w:szCs w:val="21"/>
                <w:highlight w:val="none"/>
              </w:rPr>
              <w:t>dB(A)</w:t>
            </w:r>
          </w:p>
          <w:p>
            <w:pPr>
              <w:pStyle w:val="50"/>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夜间≤</w:t>
            </w:r>
            <w:r>
              <w:rPr>
                <w:rFonts w:hint="default" w:ascii="Times New Roman" w:hAnsi="Times New Roman" w:eastAsia="宋体" w:cs="Times New Roman"/>
                <w:bCs/>
                <w:color w:val="auto"/>
                <w:spacing w:val="0"/>
                <w:w w:val="100"/>
                <w:kern w:val="0"/>
                <w:position w:val="0"/>
                <w:sz w:val="21"/>
                <w:szCs w:val="21"/>
                <w:highlight w:val="none"/>
                <w:lang w:val="en-US" w:eastAsia="zh-CN"/>
              </w:rPr>
              <w:t>45</w:t>
            </w:r>
            <w:r>
              <w:rPr>
                <w:rFonts w:hint="default" w:ascii="Times New Roman" w:hAnsi="Times New Roman" w:eastAsia="宋体" w:cs="Times New Roman"/>
                <w:bCs/>
                <w:color w:val="auto"/>
                <w:spacing w:val="0"/>
                <w:w w:val="100"/>
                <w:kern w:val="0"/>
                <w:position w:val="0"/>
                <w:sz w:val="21"/>
                <w:szCs w:val="21"/>
                <w:highlight w:val="none"/>
              </w:rPr>
              <w:t>dB(A)</w:t>
            </w:r>
          </w:p>
        </w:tc>
        <w:tc>
          <w:tcPr>
            <w:tcW w:w="3991" w:type="dxa"/>
            <w:gridSpan w:val="2"/>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r>
              <w:rPr>
                <w:rFonts w:hint="default" w:ascii="Times New Roman" w:hAnsi="Times New Roman" w:eastAsia="宋体" w:cs="Times New Roman"/>
                <w:bCs/>
                <w:snapToGrid w:val="0"/>
                <w:color w:val="auto"/>
                <w:spacing w:val="0"/>
                <w:w w:val="100"/>
                <w:kern w:val="0"/>
                <w:position w:val="0"/>
                <w:szCs w:val="21"/>
                <w:highlight w:val="none"/>
              </w:rPr>
              <w:t>固体废物</w:t>
            </w:r>
          </w:p>
        </w:tc>
        <w:tc>
          <w:tcPr>
            <w:tcW w:w="12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eastAsia="宋体" w:cs="Times New Roman"/>
                <w:bCs/>
                <w:color w:val="auto"/>
                <w:spacing w:val="0"/>
                <w:w w:val="100"/>
                <w:kern w:val="0"/>
                <w:position w:val="0"/>
                <w:szCs w:val="21"/>
                <w:highlight w:val="none"/>
              </w:rPr>
              <w:t>牛舍</w:t>
            </w: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牛粪</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cs="Times New Roman"/>
                <w:bCs/>
                <w:color w:val="auto"/>
                <w:spacing w:val="0"/>
                <w:w w:val="100"/>
                <w:kern w:val="0"/>
                <w:position w:val="0"/>
                <w:szCs w:val="21"/>
                <w:highlight w:val="none"/>
                <w:lang w:eastAsia="zh-CN"/>
              </w:rPr>
              <w:t>46920.75</w:t>
            </w:r>
            <w:r>
              <w:rPr>
                <w:rFonts w:hint="default" w:ascii="Times New Roman" w:hAnsi="Times New Roman" w:eastAsia="宋体" w:cs="Times New Roman"/>
                <w:bCs/>
                <w:color w:val="auto"/>
                <w:spacing w:val="0"/>
                <w:w w:val="100"/>
                <w:kern w:val="0"/>
                <w:position w:val="0"/>
                <w:szCs w:val="21"/>
                <w:highlight w:val="none"/>
              </w:rPr>
              <w:t>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top"/>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eastAsia" w:ascii="Times New Roman" w:hAnsi="Times New Roman" w:cs="Times New Roman"/>
                <w:color w:val="auto"/>
                <w:spacing w:val="0"/>
                <w:w w:val="100"/>
                <w:kern w:val="0"/>
                <w:position w:val="0"/>
                <w:highlight w:val="none"/>
                <w:lang w:eastAsia="zh-CN"/>
              </w:rPr>
              <w:t>出售给周边农户，还田利用</w:t>
            </w:r>
            <w:r>
              <w:rPr>
                <w:rFonts w:hint="eastAsia" w:ascii="Times New Roman" w:hAnsi="Times New Roman" w:cs="Times New Roman"/>
                <w:color w:val="auto"/>
                <w:spacing w:val="0"/>
                <w:w w:val="100"/>
                <w:kern w:val="0"/>
                <w:position w:val="0"/>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p>
        </w:tc>
        <w:tc>
          <w:tcPr>
            <w:tcW w:w="12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病死牛及胎盘</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36.3t/a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top"/>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outlineLvl w:val="9"/>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本项目将病死牛尸体及胎盘由</w:t>
            </w:r>
            <w:r>
              <w:rPr>
                <w:rFonts w:hint="default" w:ascii="Times New Roman" w:hAnsi="Times New Roman" w:eastAsia="宋体" w:cs="Times New Roman"/>
                <w:color w:val="auto"/>
                <w:spacing w:val="0"/>
                <w:w w:val="100"/>
                <w:kern w:val="0"/>
                <w:position w:val="0"/>
                <w:highlight w:val="none"/>
                <w:lang w:eastAsia="zh-CN"/>
              </w:rPr>
              <w:t>防疫部门</w:t>
            </w:r>
            <w:r>
              <w:rPr>
                <w:rFonts w:hint="default" w:ascii="Times New Roman" w:hAnsi="Times New Roman" w:eastAsia="宋体" w:cs="Times New Roman"/>
                <w:color w:val="auto"/>
                <w:spacing w:val="0"/>
                <w:w w:val="100"/>
                <w:kern w:val="0"/>
                <w:position w:val="0"/>
                <w:highlight w:val="none"/>
              </w:rPr>
              <w:t>专用车辆送往无害化处置中心处置</w:t>
            </w:r>
            <w:r>
              <w:rPr>
                <w:rFonts w:hint="default" w:ascii="Times New Roman" w:hAnsi="Times New Roman" w:eastAsia="宋体" w:cs="Times New Roman"/>
                <w:color w:val="auto"/>
                <w:spacing w:val="0"/>
                <w:w w:val="100"/>
                <w:kern w:val="0"/>
                <w:position w:val="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eastAsia="宋体" w:cs="Times New Roman"/>
                <w:bCs/>
                <w:color w:val="auto"/>
                <w:spacing w:val="0"/>
                <w:w w:val="100"/>
                <w:kern w:val="0"/>
                <w:position w:val="0"/>
                <w:szCs w:val="21"/>
                <w:highlight w:val="none"/>
              </w:rPr>
              <w:t>兽医室</w:t>
            </w: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医疗废物</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1.67t/a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outlineLvl w:val="9"/>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outlineLvl w:val="9"/>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按危废管理，定期交由有资质的单位处理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污水处理站</w:t>
            </w: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污泥</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43.46t/a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textAlignment w:val="auto"/>
              <w:outlineLvl w:val="9"/>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与牛粪一起</w:t>
            </w:r>
            <w:r>
              <w:rPr>
                <w:rFonts w:hint="eastAsia" w:ascii="Times New Roman" w:hAnsi="Times New Roman" w:cs="Times New Roman"/>
                <w:color w:val="auto"/>
                <w:spacing w:val="0"/>
                <w:w w:val="100"/>
                <w:kern w:val="0"/>
                <w:position w:val="0"/>
                <w:highlight w:val="none"/>
                <w:lang w:eastAsia="zh-CN"/>
              </w:rPr>
              <w:t>出售给周边农户，还田利用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color w:val="auto"/>
                <w:spacing w:val="0"/>
                <w:w w:val="100"/>
                <w:kern w:val="0"/>
                <w:position w:val="0"/>
              </w:rPr>
              <w:t>饲料加工</w:t>
            </w: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粉尘</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1.085t/a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作为饲料利用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snapToGrid w:val="0"/>
                <w:color w:val="auto"/>
                <w:spacing w:val="0"/>
                <w:w w:val="100"/>
                <w:kern w:val="0"/>
                <w:position w:val="0"/>
                <w:szCs w:val="21"/>
                <w:highlight w:val="none"/>
              </w:rPr>
            </w:pP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color w:val="auto"/>
                <w:spacing w:val="0"/>
                <w:w w:val="100"/>
                <w:kern w:val="0"/>
                <w:position w:val="0"/>
              </w:rPr>
              <w:t>办公生活区</w:t>
            </w:r>
          </w:p>
        </w:tc>
        <w:tc>
          <w:tcPr>
            <w:tcW w:w="2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生活垃圾</w:t>
            </w:r>
          </w:p>
        </w:tc>
        <w:tc>
          <w:tcPr>
            <w:tcW w:w="2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9"/>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cs="Times New Roman"/>
                <w:bCs/>
                <w:color w:val="auto"/>
                <w:spacing w:val="0"/>
                <w:w w:val="100"/>
                <w:kern w:val="0"/>
                <w:position w:val="0"/>
                <w:szCs w:val="21"/>
                <w:highlight w:val="none"/>
                <w:lang w:eastAsia="zh-CN"/>
              </w:rPr>
              <w:t>3.65t/a</w:t>
            </w:r>
          </w:p>
        </w:tc>
        <w:tc>
          <w:tcPr>
            <w:tcW w:w="3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outlineLvl w:val="9"/>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rPr>
              <w:t>0</w:t>
            </w:r>
          </w:p>
        </w:tc>
        <w:tc>
          <w:tcPr>
            <w:tcW w:w="3991" w:type="dxa"/>
            <w:gridSpan w:val="2"/>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及时清运至</w:t>
            </w:r>
            <w:r>
              <w:rPr>
                <w:rFonts w:hint="default" w:ascii="Times New Roman" w:hAnsi="Times New Roman" w:eastAsia="宋体" w:cs="Times New Roman"/>
                <w:bCs/>
                <w:color w:val="auto"/>
                <w:spacing w:val="0"/>
                <w:w w:val="100"/>
                <w:kern w:val="0"/>
                <w:position w:val="0"/>
                <w:sz w:val="21"/>
                <w:szCs w:val="21"/>
                <w:highlight w:val="none"/>
                <w:lang w:eastAsia="zh-CN"/>
              </w:rPr>
              <w:t>附近</w:t>
            </w:r>
            <w:r>
              <w:rPr>
                <w:rFonts w:hint="default" w:ascii="Times New Roman" w:hAnsi="Times New Roman" w:eastAsia="宋体" w:cs="Times New Roman"/>
                <w:bCs/>
                <w:color w:val="auto"/>
                <w:spacing w:val="0"/>
                <w:w w:val="100"/>
                <w:kern w:val="0"/>
                <w:position w:val="0"/>
                <w:sz w:val="21"/>
                <w:szCs w:val="21"/>
                <w:highlight w:val="none"/>
              </w:rPr>
              <w:t>垃圾收集站统一处理</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eastAsia="zh-CN"/>
        </w:rPr>
      </w:pP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eastAsia="zh-CN"/>
        </w:rPr>
        <w:sectPr>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keepLines/>
        <w:pageBreakBefore w:val="0"/>
        <w:widowControl w:val="0"/>
        <w:kinsoku/>
        <w:wordWrap/>
        <w:overflowPunct/>
        <w:topLinePunct w:val="0"/>
        <w:autoSpaceDE/>
        <w:autoSpaceDN/>
        <w:bidi w:val="0"/>
        <w:adjustRightInd/>
        <w:snapToGrid w:val="0"/>
        <w:spacing w:before="312" w:beforeLines="100" w:after="156" w:afterLines="50"/>
        <w:contextualSpacing/>
        <w:textAlignment w:val="auto"/>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584" w:name="_Toc9144"/>
      <w:bookmarkStart w:id="585" w:name="_Toc1773"/>
      <w:bookmarkStart w:id="586" w:name="_Toc11177"/>
      <w:bookmarkStart w:id="587" w:name="_Toc1482"/>
      <w:bookmarkStart w:id="588" w:name="_Toc23029"/>
      <w:bookmarkStart w:id="589" w:name="_Toc12830"/>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3环境概况及环境质量现状评价</w:t>
      </w:r>
      <w:bookmarkEnd w:id="584"/>
      <w:bookmarkEnd w:id="585"/>
      <w:bookmarkEnd w:id="586"/>
      <w:bookmarkEnd w:id="587"/>
      <w:bookmarkEnd w:id="588"/>
      <w:bookmarkEnd w:id="589"/>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590" w:name="_Toc17591"/>
      <w:bookmarkStart w:id="591" w:name="_Toc30439"/>
      <w:bookmarkStart w:id="592" w:name="_Toc3321"/>
      <w:bookmarkStart w:id="593" w:name="_Toc20115"/>
      <w:bookmarkStart w:id="594" w:name="_Toc15358"/>
      <w:bookmarkStart w:id="595" w:name="_Toc27879"/>
      <w:bookmarkStart w:id="596" w:name="_Toc5769"/>
      <w:bookmarkStart w:id="597" w:name="_Toc11169"/>
      <w:bookmarkStart w:id="598" w:name="_Toc13513"/>
      <w:r>
        <w:rPr>
          <w:rFonts w:hint="default" w:ascii="Times New Roman" w:hAnsi="Times New Roman" w:eastAsia="宋体" w:cs="Times New Roman"/>
          <w:snapToGrid w:val="0"/>
          <w:color w:val="auto"/>
          <w:spacing w:val="0"/>
          <w:w w:val="100"/>
          <w:kern w:val="0"/>
          <w:position w:val="0"/>
          <w:highlight w:val="none"/>
          <w:lang w:val="en-US" w:eastAsia="zh-CN"/>
        </w:rPr>
        <w:t>3.1区域环境概况</w:t>
      </w:r>
      <w:bookmarkEnd w:id="590"/>
      <w:bookmarkEnd w:id="591"/>
      <w:bookmarkEnd w:id="592"/>
      <w:bookmarkEnd w:id="593"/>
      <w:bookmarkEnd w:id="594"/>
      <w:bookmarkEnd w:id="595"/>
      <w:bookmarkEnd w:id="596"/>
      <w:bookmarkEnd w:id="597"/>
      <w:bookmarkEnd w:id="598"/>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599" w:name="_Toc30649"/>
      <w:r>
        <w:rPr>
          <w:rFonts w:hint="default" w:ascii="Times New Roman" w:hAnsi="Times New Roman" w:eastAsia="宋体" w:cs="Times New Roman"/>
          <w:snapToGrid w:val="0"/>
          <w:color w:val="auto"/>
          <w:spacing w:val="0"/>
          <w:w w:val="100"/>
          <w:kern w:val="0"/>
          <w:position w:val="0"/>
          <w:sz w:val="28"/>
          <w:szCs w:val="28"/>
          <w:highlight w:val="none"/>
          <w:lang w:val="en-US" w:eastAsia="zh-CN"/>
        </w:rPr>
        <w:t>3.1.1地理位置</w:t>
      </w:r>
      <w:bookmarkEnd w:id="599"/>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同心县位于宁夏回族自治区中南部，属吴忠市管辖。地理东与盐池县、甘肃庆阳市环县接壤，南与固原市原州区毗连，西与中卫市沙坡头区、中宁县、海原县为邻，北与吴忠市红寺堡区交界。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highlight w:val="green"/>
          <w:lang w:eastAsia="zh-CN"/>
        </w:rPr>
      </w:pPr>
      <w:r>
        <w:rPr>
          <w:rFonts w:hint="default" w:ascii="Times New Roman" w:hAnsi="Times New Roman" w:eastAsia="宋体" w:cs="Times New Roman"/>
          <w:color w:val="auto"/>
          <w:spacing w:val="0"/>
          <w:w w:val="100"/>
          <w:kern w:val="0"/>
          <w:position w:val="0"/>
          <w:sz w:val="24"/>
          <w:szCs w:val="24"/>
          <w:lang w:val="en-US" w:eastAsia="zh-CN" w:bidi="ar"/>
        </w:rPr>
        <w:t>本项目位于</w:t>
      </w:r>
      <w:r>
        <w:rPr>
          <w:rFonts w:hint="default" w:ascii="Times New Roman" w:hAnsi="Times New Roman" w:eastAsia="宋体" w:cs="Times New Roman"/>
          <w:b w:val="0"/>
          <w:bCs w:val="0"/>
          <w:color w:val="auto"/>
          <w:spacing w:val="0"/>
          <w:w w:val="100"/>
          <w:kern w:val="0"/>
          <w:position w:val="0"/>
          <w:sz w:val="24"/>
          <w:szCs w:val="24"/>
          <w:lang w:val="en-US" w:eastAsia="zh-CN"/>
        </w:rPr>
        <w:t>同心县下马关镇上垣村</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en-US" w:eastAsia="zh-CN"/>
        </w:rPr>
        <w:t>拟建厂区四周现状为农田。</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600" w:name="_Toc740"/>
      <w:r>
        <w:rPr>
          <w:rFonts w:hint="default" w:ascii="Times New Roman" w:hAnsi="Times New Roman" w:eastAsia="宋体" w:cs="Times New Roman"/>
          <w:snapToGrid w:val="0"/>
          <w:color w:val="auto"/>
          <w:spacing w:val="0"/>
          <w:w w:val="100"/>
          <w:kern w:val="0"/>
          <w:position w:val="0"/>
          <w:sz w:val="28"/>
          <w:szCs w:val="28"/>
          <w:highlight w:val="none"/>
          <w:lang w:val="en-US" w:eastAsia="zh-CN"/>
        </w:rPr>
        <w:t>3.1.2地形地貌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spacing w:val="0"/>
          <w:w w:val="100"/>
          <w:kern w:val="0"/>
          <w:position w:val="0"/>
          <w:sz w:val="24"/>
          <w:lang w:val="en-US" w:eastAsia="zh-CN"/>
        </w:rPr>
      </w:pPr>
      <w:r>
        <w:rPr>
          <w:rFonts w:hint="default" w:ascii="Times New Roman" w:hAnsi="Times New Roman" w:cs="Times New Roman"/>
          <w:color w:val="auto"/>
          <w:spacing w:val="0"/>
          <w:w w:val="100"/>
          <w:kern w:val="0"/>
          <w:position w:val="0"/>
          <w:sz w:val="24"/>
          <w:lang w:val="en-US" w:eastAsia="zh-CN"/>
        </w:rPr>
        <w:t>同心县地处黄土高原与内蒙古高原的交界在带，地势由南向北逐渐倾斜（南高北低）。海拔高度1260-2625米，县城在地海拔1344米。地貌类型为：丘陵、沟壑地、山地、川地、塬地、涧地、黄土地、土石丘陵地和洪积扇地交错分布。以山地为主、地型复杂、沟壑纵横。项目所属同心县同心县县境内沟壑纵横，按照地质地貌和开发程度的不同，可分为“西部扬黄灌区、中部干旱山区、东部旱作塬区”三块区域。中部丘陵、沟壑、山地、沙漠等地貌类型占总面积的65.4%。</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lang w:val="en-US" w:eastAsia="zh-CN" w:bidi="ar"/>
        </w:rPr>
        <w:t>本项目所在区域地处黄河东岸鄂尔多斯台地西南缘及毛乌素沙地西南缘，北邻毛乌素沙地南缘，南至宁南黄土丘陵北界，海拔在1176～1813m之间，地形波状起伏，以低山丘陵为主。东北部及西南部主要为沙漠滩地或低缓沙丘，区内无中生代基岩出露，南部见有古近系地层零星出露，地表多被风积沙覆盖，多为固定沙丘，其次为半固定沙丘，多呈链状分布，大部分被沙漠植物固定，少量为随季风流动的新月形及垄状流动沙丘。拟建场地为闲置用地，勘察场区所处地貌单元属黄土丘陵沟壑区。</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3.1.3</w:t>
      </w:r>
      <w:r>
        <w:rPr>
          <w:rFonts w:hint="default" w:ascii="Times New Roman" w:hAnsi="Times New Roman" w:eastAsia="宋体" w:cs="Times New Roman"/>
          <w:snapToGrid w:val="0"/>
          <w:color w:val="auto"/>
          <w:spacing w:val="0"/>
          <w:w w:val="100"/>
          <w:kern w:val="0"/>
          <w:position w:val="0"/>
          <w:sz w:val="28"/>
          <w:szCs w:val="28"/>
          <w:highlight w:val="none"/>
          <w:lang w:val="zh-CN" w:eastAsia="zh-CN"/>
        </w:rPr>
        <w:t>水文地质条件</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601" w:name="_Toc10638"/>
      <w:r>
        <w:rPr>
          <w:rFonts w:hint="eastAsia" w:ascii="Times New Roman" w:hAnsi="Times New Roman" w:eastAsia="宋体" w:cs="Times New Roman"/>
          <w:b/>
          <w:color w:val="auto"/>
          <w:spacing w:val="0"/>
          <w:w w:val="100"/>
          <w:kern w:val="0"/>
          <w:position w:val="0"/>
          <w:sz w:val="24"/>
          <w:highlight w:val="none"/>
          <w:lang w:val="en-US" w:eastAsia="zh-CN"/>
        </w:rPr>
        <w:t>3.1.3.1</w:t>
      </w:r>
      <w:r>
        <w:rPr>
          <w:rFonts w:hint="default" w:ascii="Times New Roman" w:hAnsi="Times New Roman" w:eastAsia="宋体" w:cs="Times New Roman"/>
          <w:b/>
          <w:color w:val="auto"/>
          <w:spacing w:val="0"/>
          <w:w w:val="100"/>
          <w:kern w:val="0"/>
          <w:position w:val="0"/>
          <w:sz w:val="24"/>
          <w:highlight w:val="none"/>
          <w:lang w:val="en-US" w:eastAsia="zh-CN"/>
        </w:rPr>
        <w:t>地表水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项目所在区域位于苦水河流域内，主要河流为苦水河上游干流及其一级支流甜水河与小河。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苦水河：发源于甘肃省环县沙坡子沟脑，总集水面积5218km²(自治区内4942km²)，河长224km，由甘肃环县进入我区，经盐池、同心、灵武、利通区四县，由灵武市新华桥汇入黄河。由东向西流经太阳山北部，于卖家河湾向西北出本区后注入黄河，日径流量1万m³左右。洪流最大可达4.32万m³以上，洪水水深达5m。水质类型为氯化物硫酸钠镁水，总硬度150.95德国度，溶解性总固体7.99g/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甜水河：发源于同心县下马关南约2km，由南向北纵贯宁东太阳山能源材料基地南北，流经韦州、巴庄子，于红沟窑注入苦水河，径流量小于苦水河，水质类型为氯化物硫酸钠镁水，总硬度48.59德国度，溶解性总固体3.26g/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小河：发源于盐池县草原站北贺坊，由东向西汇入苦水河干流。水质较差，水量很小。总集水面积603km²，河长53.3km，平均坡降5.05‰。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苦水河和甜水河在惠安堡镇西南的太阳水镇附近交汇后流入黄河。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lang w:val="en-US" w:eastAsia="zh-CN" w:bidi="ar"/>
        </w:rPr>
        <w:t>距离项目最近的地表水体为</w:t>
      </w:r>
      <w:r>
        <w:rPr>
          <w:rFonts w:hint="default" w:ascii="Times New Roman" w:hAnsi="Times New Roman" w:cs="Times New Roman"/>
          <w:color w:val="auto"/>
          <w:spacing w:val="0"/>
          <w:w w:val="100"/>
          <w:kern w:val="0"/>
          <w:position w:val="0"/>
          <w:sz w:val="24"/>
          <w:szCs w:val="24"/>
          <w:lang w:val="en-US" w:eastAsia="zh-CN" w:bidi="ar"/>
        </w:rPr>
        <w:t>甜</w:t>
      </w:r>
      <w:r>
        <w:rPr>
          <w:rFonts w:hint="default" w:ascii="Times New Roman" w:hAnsi="Times New Roman" w:eastAsia="宋体" w:cs="Times New Roman"/>
          <w:color w:val="auto"/>
          <w:spacing w:val="0"/>
          <w:w w:val="100"/>
          <w:kern w:val="0"/>
          <w:position w:val="0"/>
          <w:sz w:val="24"/>
          <w:szCs w:val="24"/>
          <w:lang w:val="en-US" w:eastAsia="zh-CN" w:bidi="ar"/>
        </w:rPr>
        <w:t>水河，位于本项目东侧</w:t>
      </w:r>
      <w:r>
        <w:rPr>
          <w:rFonts w:hint="eastAsia" w:ascii="Times New Roman" w:hAnsi="Times New Roman" w:cs="Times New Roman"/>
          <w:color w:val="auto"/>
          <w:spacing w:val="0"/>
          <w:w w:val="100"/>
          <w:kern w:val="0"/>
          <w:position w:val="0"/>
          <w:sz w:val="24"/>
          <w:szCs w:val="24"/>
          <w:lang w:val="en-US" w:eastAsia="zh-CN" w:bidi="ar"/>
        </w:rPr>
        <w:t>5</w:t>
      </w:r>
      <w:r>
        <w:rPr>
          <w:rFonts w:hint="default" w:ascii="Times New Roman" w:hAnsi="Times New Roman" w:eastAsia="宋体" w:cs="Times New Roman"/>
          <w:color w:val="auto"/>
          <w:spacing w:val="0"/>
          <w:w w:val="100"/>
          <w:kern w:val="0"/>
          <w:position w:val="0"/>
          <w:sz w:val="24"/>
          <w:szCs w:val="24"/>
          <w:lang w:val="en-US" w:eastAsia="zh-CN" w:bidi="ar"/>
        </w:rPr>
        <w:t>.5km处。</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eastAsia" w:ascii="Times New Roman" w:hAnsi="Times New Roman" w:eastAsia="宋体" w:cs="Times New Roman"/>
          <w:b/>
          <w:color w:val="auto"/>
          <w:spacing w:val="0"/>
          <w:w w:val="100"/>
          <w:kern w:val="0"/>
          <w:position w:val="0"/>
          <w:sz w:val="24"/>
          <w:highlight w:val="none"/>
          <w:lang w:val="en-US" w:eastAsia="zh-CN"/>
        </w:rPr>
        <w:t>3.1.3.2</w:t>
      </w:r>
      <w:r>
        <w:rPr>
          <w:rFonts w:hint="default" w:ascii="Times New Roman" w:hAnsi="Times New Roman" w:eastAsia="宋体" w:cs="Times New Roman"/>
          <w:b/>
          <w:color w:val="auto"/>
          <w:spacing w:val="0"/>
          <w:w w:val="100"/>
          <w:kern w:val="0"/>
          <w:position w:val="0"/>
          <w:sz w:val="24"/>
          <w:highlight w:val="none"/>
          <w:lang w:val="en-US" w:eastAsia="zh-CN"/>
        </w:rPr>
        <w:t>地下水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eastAsia" w:ascii="Times New Roman" w:hAnsi="Times New Roman" w:cs="Times New Roman"/>
          <w:snapToGrid w:val="0"/>
          <w:color w:val="auto"/>
          <w:spacing w:val="0"/>
          <w:w w:val="100"/>
          <w:kern w:val="0"/>
          <w:position w:val="0"/>
          <w:sz w:val="24"/>
          <w:szCs w:val="32"/>
          <w:highlight w:val="none"/>
          <w:lang w:val="zh-CN"/>
        </w:rPr>
        <w:t>（</w:t>
      </w:r>
      <w:r>
        <w:rPr>
          <w:rFonts w:hint="eastAsia" w:ascii="Times New Roman" w:hAnsi="Times New Roman" w:cs="Times New Roman"/>
          <w:snapToGrid w:val="0"/>
          <w:color w:val="auto"/>
          <w:spacing w:val="0"/>
          <w:w w:val="100"/>
          <w:kern w:val="0"/>
          <w:position w:val="0"/>
          <w:sz w:val="24"/>
          <w:szCs w:val="32"/>
          <w:highlight w:val="none"/>
          <w:lang w:val="en-US" w:eastAsia="zh-CN"/>
        </w:rPr>
        <w:t>1</w:t>
      </w:r>
      <w:r>
        <w:rPr>
          <w:rFonts w:hint="eastAsia" w:ascii="Times New Roman" w:hAnsi="Times New Roman" w:cs="Times New Roman"/>
          <w:snapToGrid w:val="0"/>
          <w:color w:val="auto"/>
          <w:spacing w:val="0"/>
          <w:w w:val="100"/>
          <w:kern w:val="0"/>
          <w:position w:val="0"/>
          <w:sz w:val="24"/>
          <w:szCs w:val="32"/>
          <w:highlight w:val="none"/>
          <w:lang w:val="zh-CN"/>
        </w:rPr>
        <w:t>）</w:t>
      </w:r>
      <w:r>
        <w:rPr>
          <w:rFonts w:hint="default" w:ascii="Times New Roman" w:hAnsi="Times New Roman" w:eastAsia="宋体" w:cs="Times New Roman"/>
          <w:snapToGrid w:val="0"/>
          <w:color w:val="auto"/>
          <w:spacing w:val="0"/>
          <w:w w:val="100"/>
          <w:kern w:val="0"/>
          <w:position w:val="0"/>
          <w:sz w:val="24"/>
          <w:szCs w:val="32"/>
          <w:highlight w:val="none"/>
          <w:lang w:val="zh-CN"/>
        </w:rPr>
        <w:t>水文地质条件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评价区在大的地貌单元上为下马关-韦州盆地。西依大、小罗山，南邻青龙山；向南地势逐渐升高；北部过渡为丘陵地形。大、小罗山南北绵延40km，山体宽2~5km，为强烈隆起山系。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地层组成主要为寒武系浅海相轻变质的灰绿色，灰黄色粗砂岩、细砂岩夹薄层状紫红色砂质页岩。南部青龙山南北长38km，山势低平狭窄，海拔高度1600~1700m，地层由震旦系、寒武系-奥陶系深灰色中厚层竹叶状灰岩、鲡状灰岩。紫红色硅质灰岩及石英岩组成。北部丘陵区一般海拔高度1300-1500m；长期以来，受构造的影响，第四系不发育。地层主要由二迭系（P）、三迭系（T）及第三系（E）地层组成。二迭系（P）为灰白，紫红色中粗砂岩；三迭系（T）地层为紫色细砂岩；第三系（E）地层为紫红色、桔红色泥岩、砂质泥岩和泥质砂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第四系（Q）松散堆积物在评价区内广泛分布，其岩性、厚度变化受古地形、构造影响颇为显著，表现出明显的地区差异。总之，评价区第四系松散堆积物按时代可分为以下两层：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项目区以西第四系厚度由于受构造的控制，厚度一般在60~120m之间，含水岩组富水性好。项目区以西，有以西大、小罗山山前洪积扇的前缘红城水水源地。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eastAsia" w:ascii="Times New Roman" w:hAnsi="Times New Roman" w:cs="Times New Roman"/>
          <w:snapToGrid w:val="0"/>
          <w:color w:val="auto"/>
          <w:spacing w:val="0"/>
          <w:w w:val="100"/>
          <w:kern w:val="0"/>
          <w:position w:val="0"/>
          <w:sz w:val="24"/>
          <w:szCs w:val="32"/>
          <w:highlight w:val="none"/>
          <w:lang w:val="zh-CN"/>
        </w:rPr>
        <w:t>（</w:t>
      </w:r>
      <w:r>
        <w:rPr>
          <w:rFonts w:hint="eastAsia" w:ascii="Times New Roman" w:hAnsi="Times New Roman" w:cs="Times New Roman"/>
          <w:snapToGrid w:val="0"/>
          <w:color w:val="auto"/>
          <w:spacing w:val="0"/>
          <w:w w:val="100"/>
          <w:kern w:val="0"/>
          <w:position w:val="0"/>
          <w:sz w:val="24"/>
          <w:szCs w:val="32"/>
          <w:highlight w:val="none"/>
          <w:lang w:val="en-US" w:eastAsia="zh-CN"/>
        </w:rPr>
        <w:t>2</w:t>
      </w:r>
      <w:r>
        <w:rPr>
          <w:rFonts w:hint="eastAsia" w:ascii="Times New Roman" w:hAnsi="Times New Roman" w:cs="Times New Roman"/>
          <w:snapToGrid w:val="0"/>
          <w:color w:val="auto"/>
          <w:spacing w:val="0"/>
          <w:w w:val="100"/>
          <w:kern w:val="0"/>
          <w:position w:val="0"/>
          <w:sz w:val="24"/>
          <w:szCs w:val="32"/>
          <w:highlight w:val="none"/>
          <w:lang w:val="zh-CN"/>
        </w:rPr>
        <w:t>）</w:t>
      </w:r>
      <w:r>
        <w:rPr>
          <w:rFonts w:hint="default" w:ascii="Times New Roman" w:hAnsi="Times New Roman" w:eastAsia="宋体" w:cs="Times New Roman"/>
          <w:snapToGrid w:val="0"/>
          <w:color w:val="auto"/>
          <w:spacing w:val="0"/>
          <w:w w:val="100"/>
          <w:kern w:val="0"/>
          <w:position w:val="0"/>
          <w:sz w:val="24"/>
          <w:szCs w:val="32"/>
          <w:highlight w:val="none"/>
          <w:lang w:val="zh-CN"/>
        </w:rPr>
        <w:t>水文地质条件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评价区地处鄂尔多斯盆地西缘灵盐台地。该地区总体水文地质特征为大部分第四系不含地下水，只在丘间洼地和较大的并且第四系沉积较厚的丘陵间碟形地带赋存少量的地下水，丘间洼地地下水成独立的地下水系统相互间不存在水力联系，地下水多为苦咸水；第三系广泛分布在第四系之下，但由于其岩性以及气候条件因素限制，透水性较差含水性弱，地下水贫乏，且水质普遍较差，一些地区在砂岩夹层中含有少量的层间孔隙水；而深埋于第三系之下的前第三系地层赋存有一定量的地下水，但水质均较差，多为苦咸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eastAsia" w:ascii="Times New Roman" w:hAnsi="Times New Roman" w:cs="Times New Roman"/>
          <w:snapToGrid w:val="0"/>
          <w:color w:val="auto"/>
          <w:spacing w:val="0"/>
          <w:w w:val="100"/>
          <w:kern w:val="0"/>
          <w:position w:val="0"/>
          <w:sz w:val="24"/>
          <w:szCs w:val="32"/>
          <w:highlight w:val="none"/>
          <w:lang w:val="zh-CN"/>
        </w:rPr>
        <w:t>（</w:t>
      </w:r>
      <w:r>
        <w:rPr>
          <w:rFonts w:hint="eastAsia" w:ascii="Times New Roman" w:hAnsi="Times New Roman" w:cs="Times New Roman"/>
          <w:snapToGrid w:val="0"/>
          <w:color w:val="auto"/>
          <w:spacing w:val="0"/>
          <w:w w:val="100"/>
          <w:kern w:val="0"/>
          <w:position w:val="0"/>
          <w:sz w:val="24"/>
          <w:szCs w:val="32"/>
          <w:highlight w:val="none"/>
          <w:lang w:val="en-US" w:eastAsia="zh-CN"/>
        </w:rPr>
        <w:t>3</w:t>
      </w:r>
      <w:r>
        <w:rPr>
          <w:rFonts w:hint="eastAsia" w:ascii="Times New Roman" w:hAnsi="Times New Roman" w:cs="Times New Roman"/>
          <w:snapToGrid w:val="0"/>
          <w:color w:val="auto"/>
          <w:spacing w:val="0"/>
          <w:w w:val="100"/>
          <w:kern w:val="0"/>
          <w:position w:val="0"/>
          <w:sz w:val="24"/>
          <w:szCs w:val="32"/>
          <w:highlight w:val="none"/>
          <w:lang w:val="zh-CN"/>
        </w:rPr>
        <w:t>）</w:t>
      </w:r>
      <w:r>
        <w:rPr>
          <w:rFonts w:hint="default" w:ascii="Times New Roman" w:hAnsi="Times New Roman" w:eastAsia="宋体" w:cs="Times New Roman"/>
          <w:snapToGrid w:val="0"/>
          <w:color w:val="auto"/>
          <w:spacing w:val="0"/>
          <w:w w:val="100"/>
          <w:kern w:val="0"/>
          <w:position w:val="0"/>
          <w:sz w:val="24"/>
          <w:szCs w:val="32"/>
          <w:highlight w:val="none"/>
          <w:lang w:val="zh-CN"/>
        </w:rPr>
        <w:t>地下水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szCs w:val="32"/>
          <w:highlight w:val="none"/>
          <w:lang w:val="zh-CN"/>
        </w:rPr>
      </w:pPr>
      <w:r>
        <w:rPr>
          <w:rFonts w:hint="default" w:ascii="Times New Roman" w:hAnsi="Times New Roman" w:eastAsia="宋体" w:cs="Times New Roman"/>
          <w:snapToGrid w:val="0"/>
          <w:color w:val="auto"/>
          <w:spacing w:val="0"/>
          <w:w w:val="100"/>
          <w:kern w:val="0"/>
          <w:position w:val="0"/>
          <w:sz w:val="24"/>
          <w:szCs w:val="32"/>
          <w:highlight w:val="none"/>
          <w:lang w:val="zh-CN"/>
        </w:rPr>
        <w:t>项目区属于黄河一级支流苦水河流域，苦水河沿途切穿表部浅层第四系松散层以古近系、新近系泥岩作为河床基地，河岸高3</w:t>
      </w:r>
      <w:r>
        <w:rPr>
          <w:rFonts w:hint="eastAsia" w:ascii="Times New Roman" w:hAnsi="Times New Roman" w:cs="Times New Roman"/>
          <w:snapToGrid w:val="0"/>
          <w:color w:val="auto"/>
          <w:spacing w:val="0"/>
          <w:w w:val="100"/>
          <w:kern w:val="0"/>
          <w:position w:val="0"/>
          <w:sz w:val="24"/>
          <w:szCs w:val="32"/>
          <w:highlight w:val="none"/>
          <w:lang w:val="en-US" w:eastAsia="zh-CN"/>
        </w:rPr>
        <w:t>~</w:t>
      </w:r>
      <w:r>
        <w:rPr>
          <w:rFonts w:hint="default" w:ascii="Times New Roman" w:hAnsi="Times New Roman" w:eastAsia="宋体" w:cs="Times New Roman"/>
          <w:snapToGrid w:val="0"/>
          <w:color w:val="auto"/>
          <w:spacing w:val="0"/>
          <w:w w:val="100"/>
          <w:kern w:val="0"/>
          <w:position w:val="0"/>
          <w:sz w:val="24"/>
          <w:szCs w:val="32"/>
          <w:highlight w:val="none"/>
          <w:lang w:val="zh-CN"/>
        </w:rPr>
        <w:t>24m，由上游向下游呈降低趋势，宽50</w:t>
      </w:r>
      <w:r>
        <w:rPr>
          <w:rFonts w:hint="eastAsia" w:ascii="Times New Roman" w:hAnsi="Times New Roman" w:cs="Times New Roman"/>
          <w:snapToGrid w:val="0"/>
          <w:color w:val="auto"/>
          <w:spacing w:val="0"/>
          <w:w w:val="100"/>
          <w:kern w:val="0"/>
          <w:position w:val="0"/>
          <w:sz w:val="24"/>
          <w:szCs w:val="32"/>
          <w:highlight w:val="none"/>
          <w:lang w:val="en-US" w:eastAsia="zh-CN"/>
        </w:rPr>
        <w:t>~</w:t>
      </w:r>
      <w:r>
        <w:rPr>
          <w:rFonts w:hint="default" w:ascii="Times New Roman" w:hAnsi="Times New Roman" w:eastAsia="宋体" w:cs="Times New Roman"/>
          <w:snapToGrid w:val="0"/>
          <w:color w:val="auto"/>
          <w:spacing w:val="0"/>
          <w:w w:val="100"/>
          <w:kern w:val="0"/>
          <w:position w:val="0"/>
          <w:sz w:val="24"/>
          <w:szCs w:val="32"/>
          <w:highlight w:val="none"/>
          <w:lang w:val="zh-CN"/>
        </w:rPr>
        <w:t>100m，属于长流性河流。其补给常年主要靠上游第四系地下水侧向径流排泄补给，中下游沿途第四系基本不含水，无补给，降雨季节有雨水和洪水补给。两河水质差别较大，北部的苦水河水质差，中下游基本为苦咸水，主要是中下游沿途高矿化地下水补给所致；南部大河由于其补给为南部山区黄土地下水补给，水质较好。</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3.1.3气象、气候</w:t>
      </w:r>
      <w:bookmarkEnd w:id="601"/>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szCs w:val="32"/>
          <w:highlight w:val="none"/>
          <w:lang w:val="sq-AL"/>
        </w:rPr>
      </w:pPr>
      <w:bookmarkStart w:id="602" w:name="_Toc17532005"/>
      <w:bookmarkStart w:id="603" w:name="_Toc35661785"/>
      <w:bookmarkStart w:id="604" w:name="_Toc17881021"/>
      <w:bookmarkStart w:id="605" w:name="_Toc246597979"/>
      <w:bookmarkStart w:id="606" w:name="_Toc17880807"/>
      <w:bookmarkStart w:id="607" w:name="_Toc17618533"/>
      <w:bookmarkStart w:id="608" w:name="_Toc181004691"/>
      <w:bookmarkStart w:id="609" w:name="_Toc125100119"/>
      <w:bookmarkStart w:id="610" w:name="_Toc17531347"/>
      <w:bookmarkStart w:id="611" w:name="_Toc276"/>
      <w:r>
        <w:rPr>
          <w:rFonts w:hint="default" w:ascii="Times New Roman" w:hAnsi="Times New Roman" w:eastAsia="宋体" w:cs="Times New Roman"/>
          <w:snapToGrid w:val="0"/>
          <w:color w:val="auto"/>
          <w:spacing w:val="0"/>
          <w:w w:val="100"/>
          <w:kern w:val="0"/>
          <w:position w:val="0"/>
          <w:sz w:val="24"/>
          <w:szCs w:val="32"/>
          <w:highlight w:val="none"/>
          <w:lang w:val="en-US" w:eastAsia="zh-CN"/>
        </w:rPr>
        <w:t>项目所在区域属中温带半干旱气候区，四季分明，气候干燥，冬长夏短，温差较大，少雨多风，蒸发强烈，降雨集中。大气透明度好，云量少，日照充分，热量丰富，无霜期短。全年主导风向S，年平均风速2.72m/s，最大风速22.25m/s，年平均气温9.99℃，极端最高气温38.2℃，极端最低气温-26.8℃。年平均降雨量302.17mm，多集中在7-9月份；年均相对湿度47.11%。常年气象资料采用韦州气象站资料，具体气象条件见表3</w:t>
      </w:r>
      <w:r>
        <w:rPr>
          <w:rFonts w:hint="default" w:ascii="Times New Roman" w:hAnsi="Times New Roman" w:eastAsia="宋体" w:cs="Times New Roman"/>
          <w:snapToGrid w:val="0"/>
          <w:color w:val="auto"/>
          <w:spacing w:val="0"/>
          <w:w w:val="100"/>
          <w:kern w:val="0"/>
          <w:position w:val="0"/>
          <w:sz w:val="24"/>
          <w:szCs w:val="32"/>
          <w:highlight w:val="none"/>
          <w:lang w:val="sq-AL"/>
        </w:rPr>
        <w:t>.1-1。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eastAsia" w:ascii="Times New Roman" w:hAnsi="Times New Roman" w:cs="Times New Roman"/>
          <w:snapToGrid w:val="0"/>
          <w:color w:val="auto"/>
          <w:spacing w:val="0"/>
          <w:w w:val="100"/>
          <w:kern w:val="0"/>
          <w:position w:val="0"/>
          <w:sz w:val="24"/>
          <w:szCs w:val="32"/>
          <w:highlight w:val="none"/>
          <w:lang w:val="en-US" w:eastAsia="zh-CN"/>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表3.1-1 </w:t>
      </w:r>
      <w:bookmarkEnd w:id="602"/>
      <w:bookmarkEnd w:id="603"/>
      <w:bookmarkEnd w:id="604"/>
      <w:bookmarkEnd w:id="605"/>
      <w:bookmarkEnd w:id="606"/>
      <w:bookmarkEnd w:id="607"/>
      <w:bookmarkEnd w:id="608"/>
      <w:bookmarkEnd w:id="609"/>
      <w:bookmarkEnd w:id="610"/>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韦州气象站常规气象项目统计（2000-2019）</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723"/>
        <w:gridCol w:w="1290"/>
        <w:gridCol w:w="1816"/>
        <w:gridCol w:w="2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统计项目</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统计值</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极值出现时间</w:t>
            </w: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多年平均气温（℃）</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9.99</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累年极端最高气温（℃）</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36.11</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2015-07-28</w:t>
            </w: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累年极端最低气温（℃）</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-20.36</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2008-01-29</w:t>
            </w: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多年平均气压（hPa）</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862.15</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bookmarkStart w:id="612" w:name="_Toc31364"/>
            <w:bookmarkStart w:id="613" w:name="_Toc19400"/>
            <w:bookmarkStart w:id="614" w:name="_Toc13843"/>
            <w:r>
              <w:rPr>
                <w:rFonts w:hint="default" w:ascii="Times New Roman" w:hAnsi="Times New Roman" w:eastAsia="宋体" w:cs="Times New Roman"/>
                <w:color w:val="auto"/>
                <w:spacing w:val="0"/>
                <w:w w:val="100"/>
                <w:kern w:val="0"/>
                <w:position w:val="0"/>
                <w:sz w:val="21"/>
                <w:szCs w:val="21"/>
              </w:rPr>
              <w:t>多年平均水气压（hPa）</w:t>
            </w:r>
            <w:bookmarkEnd w:id="612"/>
            <w:bookmarkEnd w:id="613"/>
            <w:bookmarkEnd w:id="614"/>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6.83</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多年平均相对湿度（%）</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47.11</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bookmarkStart w:id="615" w:name="_Toc31976"/>
            <w:bookmarkStart w:id="616" w:name="_Toc19443"/>
            <w:bookmarkStart w:id="617" w:name="_Toc13498"/>
            <w:r>
              <w:rPr>
                <w:rFonts w:hint="default" w:ascii="Times New Roman" w:hAnsi="Times New Roman" w:eastAsia="宋体" w:cs="Times New Roman"/>
                <w:color w:val="auto"/>
                <w:spacing w:val="0"/>
                <w:w w:val="100"/>
                <w:kern w:val="0"/>
                <w:position w:val="0"/>
                <w:sz w:val="21"/>
                <w:szCs w:val="21"/>
              </w:rPr>
              <w:t>多年平均降雨量（mm）</w:t>
            </w:r>
            <w:bookmarkEnd w:id="615"/>
            <w:bookmarkEnd w:id="616"/>
            <w:bookmarkEnd w:id="617"/>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302.17</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灾害天气统计</w:t>
            </w:r>
          </w:p>
        </w:tc>
        <w:tc>
          <w:tcPr>
            <w:tcW w:w="272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bookmarkStart w:id="618" w:name="_Toc1738"/>
            <w:bookmarkStart w:id="619" w:name="_Toc32165"/>
            <w:r>
              <w:rPr>
                <w:rFonts w:hint="default" w:ascii="Times New Roman" w:hAnsi="Times New Roman" w:eastAsia="宋体" w:cs="Times New Roman"/>
                <w:color w:val="auto"/>
                <w:spacing w:val="0"/>
                <w:w w:val="100"/>
                <w:kern w:val="0"/>
                <w:position w:val="0"/>
                <w:sz w:val="21"/>
                <w:szCs w:val="21"/>
              </w:rPr>
              <w:t>多年平均沙暴日数（d）</w:t>
            </w:r>
            <w:bookmarkEnd w:id="618"/>
            <w:bookmarkEnd w:id="619"/>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1.7</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72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bookmarkStart w:id="620" w:name="_Toc18615"/>
            <w:bookmarkStart w:id="621" w:name="_Toc22016"/>
            <w:bookmarkStart w:id="622" w:name="_Toc28115"/>
            <w:r>
              <w:rPr>
                <w:rFonts w:hint="default" w:ascii="Times New Roman" w:hAnsi="Times New Roman" w:eastAsia="宋体" w:cs="Times New Roman"/>
                <w:color w:val="auto"/>
                <w:spacing w:val="0"/>
                <w:w w:val="100"/>
                <w:kern w:val="0"/>
                <w:position w:val="0"/>
                <w:sz w:val="21"/>
                <w:szCs w:val="21"/>
              </w:rPr>
              <w:t>多年平均雷暴日数（d）</w:t>
            </w:r>
            <w:bookmarkEnd w:id="620"/>
            <w:bookmarkEnd w:id="621"/>
            <w:bookmarkEnd w:id="622"/>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13.12</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72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多年平均冰雹日数（d）</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0.35</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72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多年平均大风日数（d）</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bookmarkStart w:id="623" w:name="_Toc31206"/>
            <w:bookmarkStart w:id="624" w:name="_Toc13349"/>
            <w:bookmarkStart w:id="625" w:name="_Toc14381"/>
            <w:r>
              <w:rPr>
                <w:rFonts w:hint="default" w:ascii="Times New Roman" w:hAnsi="Times New Roman" w:eastAsia="宋体" w:cs="Times New Roman"/>
                <w:color w:val="auto"/>
                <w:spacing w:val="0"/>
                <w:w w:val="100"/>
                <w:kern w:val="0"/>
                <w:position w:val="0"/>
                <w:sz w:val="21"/>
                <w:szCs w:val="21"/>
              </w:rPr>
              <w:t>13.7</w:t>
            </w:r>
            <w:bookmarkEnd w:id="623"/>
            <w:bookmarkEnd w:id="624"/>
            <w:bookmarkEnd w:id="625"/>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多年实测极大风速（m/s）</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22.25</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2000-04-13</w:t>
            </w: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25.8S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多年平均风速</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2.72</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多年主导风向、风向频率（%）</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S19.54%</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多年平均蒸发量（mm）</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2364.5</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9"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最大冻土深度（m）</w:t>
            </w:r>
          </w:p>
        </w:tc>
        <w:tc>
          <w:tcPr>
            <w:tcW w:w="129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1.02</w:t>
            </w:r>
          </w:p>
        </w:tc>
        <w:tc>
          <w:tcPr>
            <w:tcW w:w="18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c>
          <w:tcPr>
            <w:tcW w:w="248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rPr>
            </w:pPr>
          </w:p>
        </w:tc>
      </w:tr>
    </w:tbl>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3.1.4</w:t>
      </w:r>
      <w:bookmarkEnd w:id="611"/>
      <w:bookmarkStart w:id="626" w:name="_Toc24097"/>
      <w:r>
        <w:rPr>
          <w:rFonts w:hint="default" w:ascii="Times New Roman" w:hAnsi="Times New Roman" w:eastAsia="宋体" w:cs="Times New Roman"/>
          <w:snapToGrid w:val="0"/>
          <w:color w:val="auto"/>
          <w:spacing w:val="0"/>
          <w:w w:val="100"/>
          <w:kern w:val="0"/>
          <w:position w:val="0"/>
          <w:sz w:val="28"/>
          <w:szCs w:val="28"/>
          <w:highlight w:val="none"/>
          <w:lang w:val="en-US" w:eastAsia="zh-CN"/>
        </w:rPr>
        <w:t>土壤植被</w:t>
      </w:r>
      <w:bookmarkEnd w:id="626"/>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627" w:name="_Toc22541"/>
      <w:r>
        <w:rPr>
          <w:rFonts w:hint="default" w:ascii="Times New Roman" w:hAnsi="Times New Roman" w:eastAsia="宋体" w:cs="Times New Roman"/>
          <w:color w:val="auto"/>
          <w:spacing w:val="0"/>
          <w:w w:val="100"/>
          <w:kern w:val="0"/>
          <w:position w:val="0"/>
          <w:sz w:val="24"/>
          <w:szCs w:val="24"/>
          <w:highlight w:val="none"/>
        </w:rPr>
        <w:t>⑴土壤</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建设项目所在区域土壤类型主要是灰钙土和风沙土，腐殖质积累很低，有机质含量仅为0.5～0.8%，土壤中碳酸钙以灰白色石灰斑块状沉积形成钙积层，此处多为流动风沙土、半固定风沙土和固定风沙土，沙层厚度10cm到20cm不等。以固定、半固定沙为主。</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⑵植被</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color w:val="auto"/>
          <w:spacing w:val="0"/>
          <w:w w:val="100"/>
          <w:kern w:val="0"/>
          <w:position w:val="0"/>
          <w:sz w:val="24"/>
          <w:szCs w:val="24"/>
          <w:highlight w:val="none"/>
        </w:rPr>
        <w:t>项目区植被类型为旱草原植被，以旱生化的植被种类为特征，其中，猫头刺、刺旋花、油蒿、短花针茅、荒漠锦鸡儿等是该区域最有代表性的植物。近年来，随着自治区实施封山禁牧，该区域天然草原植被得到有效恢复，植被覆盖率比以往提高10～20%，植被覆盖率在30%左右。</w:t>
      </w:r>
      <w:bookmarkEnd w:id="627"/>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9"/>
        <w:rPr>
          <w:rFonts w:hint="default" w:ascii="Times New Roman" w:hAnsi="Times New Roman" w:eastAsia="宋体" w:cs="Times New Roman"/>
          <w:snapToGrid w:val="0"/>
          <w:color w:val="auto"/>
          <w:spacing w:val="0"/>
          <w:w w:val="100"/>
          <w:kern w:val="0"/>
          <w:position w:val="0"/>
          <w:highlight w:val="none"/>
          <w:lang w:val="en-US" w:eastAsia="zh-CN"/>
        </w:rPr>
        <w:sectPr>
          <w:headerReference r:id="rId12"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bookmarkStart w:id="628" w:name="_Toc17968"/>
      <w:bookmarkStart w:id="629" w:name="_Toc25440"/>
    </w:p>
    <w:bookmarkEnd w:id="600"/>
    <w:bookmarkEnd w:id="628"/>
    <w:bookmarkEnd w:id="629"/>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630" w:name="_Toc30441"/>
      <w:bookmarkStart w:id="631" w:name="_Toc7775"/>
      <w:bookmarkStart w:id="632" w:name="_Toc24692"/>
      <w:bookmarkStart w:id="633" w:name="_Toc7463"/>
      <w:r>
        <w:rPr>
          <w:rFonts w:hint="default" w:ascii="Times New Roman" w:hAnsi="Times New Roman" w:eastAsia="宋体" w:cs="Times New Roman"/>
          <w:snapToGrid w:val="0"/>
          <w:color w:val="auto"/>
          <w:spacing w:val="0"/>
          <w:w w:val="100"/>
          <w:kern w:val="0"/>
          <w:position w:val="0"/>
          <w:highlight w:val="none"/>
          <w:lang w:val="en-US" w:eastAsia="zh-CN"/>
        </w:rPr>
        <w:t>3.2环境质量现状监测与评价</w:t>
      </w:r>
      <w:bookmarkEnd w:id="630"/>
      <w:bookmarkEnd w:id="631"/>
      <w:bookmarkEnd w:id="632"/>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634" w:name="_Toc25010"/>
      <w:bookmarkStart w:id="635" w:name="_Toc337"/>
      <w:bookmarkStart w:id="636" w:name="_Toc25918"/>
      <w:r>
        <w:rPr>
          <w:rFonts w:hint="default" w:ascii="Times New Roman" w:hAnsi="Times New Roman" w:eastAsia="宋体" w:cs="Times New Roman"/>
          <w:snapToGrid w:val="0"/>
          <w:color w:val="auto"/>
          <w:spacing w:val="0"/>
          <w:w w:val="100"/>
          <w:kern w:val="0"/>
          <w:position w:val="0"/>
          <w:sz w:val="28"/>
          <w:szCs w:val="28"/>
          <w:highlight w:val="none"/>
          <w:lang w:val="en-US" w:eastAsia="zh-CN"/>
        </w:rPr>
        <w:t>3.2.1环境空气质量现状监测与评价</w:t>
      </w:r>
      <w:bookmarkEnd w:id="634"/>
      <w:bookmarkEnd w:id="635"/>
      <w:bookmarkEnd w:id="636"/>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3.2.1.1项目所在区域达标判定</w:t>
      </w:r>
    </w:p>
    <w:p>
      <w:pPr>
        <w:pStyle w:val="35"/>
        <w:adjustRightInd/>
        <w:ind w:firstLine="480"/>
        <w:jc w:val="both"/>
        <w:rPr>
          <w:rFonts w:hint="default" w:ascii="Times New Roman" w:hAnsi="Times New Roman" w:eastAsia="宋体" w:cs="Times New Roman"/>
          <w:color w:val="auto"/>
          <w:spacing w:val="0"/>
          <w:w w:val="100"/>
          <w:kern w:val="0"/>
          <w:position w:val="0"/>
          <w:highlight w:val="none"/>
        </w:rPr>
      </w:pPr>
      <w:bookmarkStart w:id="637" w:name="_Toc5897"/>
      <w:r>
        <w:rPr>
          <w:rFonts w:hint="default" w:ascii="Times New Roman" w:hAnsi="Times New Roman" w:eastAsia="宋体" w:cs="Times New Roman"/>
          <w:color w:val="auto"/>
          <w:spacing w:val="0"/>
          <w:w w:val="100"/>
          <w:kern w:val="0"/>
          <w:position w:val="0"/>
          <w:highlight w:val="none"/>
        </w:rPr>
        <w:t>⑴项目所在区域达标判定</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sq-AL"/>
        </w:rPr>
      </w:pPr>
      <w:r>
        <w:rPr>
          <w:rFonts w:hint="default" w:ascii="Times New Roman" w:hAnsi="Times New Roman" w:eastAsia="宋体" w:cs="Times New Roman"/>
          <w:color w:val="auto"/>
          <w:spacing w:val="0"/>
          <w:w w:val="100"/>
          <w:kern w:val="0"/>
          <w:position w:val="0"/>
          <w:sz w:val="24"/>
          <w:highlight w:val="none"/>
          <w:lang w:val="sq-AL"/>
        </w:rPr>
        <w:t>根据《环境影响评价技术导则 大气环境》（HJ2.2-2018）中6.2.1.1规定“项目所在区域达标判定，优先采用国家或地方生态环境主管部门公开发布的评价基准年环境，质量公告或环境质量报告中的数据或结论”以及6.2.1.3规定“评价范围内没有环境空气质量监测网数据或公开发布的环境空气质量现状数据的，可选择符合HJ664规定，并且与评价范围地理位置邻近，地形、气候条件相近的环境空气质量城市点或区域点监测数据”。</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sq-AL"/>
        </w:rPr>
      </w:pPr>
      <w:r>
        <w:rPr>
          <w:rFonts w:hint="default" w:ascii="Times New Roman" w:hAnsi="Times New Roman" w:eastAsia="宋体" w:cs="Times New Roman"/>
          <w:color w:val="auto"/>
          <w:spacing w:val="0"/>
          <w:w w:val="100"/>
          <w:kern w:val="0"/>
          <w:position w:val="0"/>
          <w:sz w:val="24"/>
          <w:highlight w:val="none"/>
          <w:lang w:val="sq-AL" w:eastAsia="zh-CN"/>
        </w:rPr>
        <w:t>本项目位于吴忠市</w:t>
      </w:r>
      <w:r>
        <w:rPr>
          <w:rFonts w:hint="default" w:ascii="Times New Roman" w:hAnsi="Times New Roman" w:eastAsia="宋体" w:cs="Times New Roman"/>
          <w:color w:val="auto"/>
          <w:spacing w:val="0"/>
          <w:w w:val="100"/>
          <w:kern w:val="0"/>
          <w:position w:val="0"/>
          <w:sz w:val="24"/>
          <w:highlight w:val="none"/>
          <w:lang w:val="en-US" w:eastAsia="zh-CN"/>
        </w:rPr>
        <w:t>同心县下马关镇上垣村，</w:t>
      </w:r>
      <w:r>
        <w:rPr>
          <w:rFonts w:hint="default" w:ascii="Times New Roman" w:hAnsi="Times New Roman" w:eastAsia="宋体" w:cs="Times New Roman"/>
          <w:color w:val="auto"/>
          <w:spacing w:val="0"/>
          <w:w w:val="100"/>
          <w:kern w:val="0"/>
          <w:position w:val="0"/>
          <w:sz w:val="24"/>
          <w:highlight w:val="none"/>
          <w:lang w:val="sq-AL"/>
        </w:rPr>
        <w:t>区域环境空气质量现状评价直接引用《2020年宁夏生态环境质量状况》公布的吴忠市的监测数据对项目达标区判定。所在区域公布的环境空气质量现状评价具体见表3.2-1。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表3.2-1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区域公布的环境空气质量现状评价表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7"/>
        <w:gridCol w:w="2202"/>
        <w:gridCol w:w="1653"/>
        <w:gridCol w:w="1516"/>
        <w:gridCol w:w="1379"/>
        <w:gridCol w:w="1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37" w:type="dxa"/>
            <w:tcBorders>
              <w:top w:val="single" w:color="auto" w:sz="12"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污染物</w:t>
            </w:r>
          </w:p>
        </w:tc>
        <w:tc>
          <w:tcPr>
            <w:tcW w:w="2202" w:type="dxa"/>
            <w:tcBorders>
              <w:top w:val="single" w:color="auto" w:sz="12"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年评价指标</w:t>
            </w:r>
          </w:p>
        </w:tc>
        <w:tc>
          <w:tcPr>
            <w:tcW w:w="1653" w:type="dxa"/>
            <w:tcBorders>
              <w:top w:val="single" w:color="auto" w:sz="12"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现状浓度（μg/m</w:t>
            </w:r>
            <w:r>
              <w:rPr>
                <w:rFonts w:hint="default" w:ascii="Times New Roman" w:hAnsi="Times New Roman" w:eastAsia="宋体" w:cs="Times New Roman"/>
                <w:b/>
                <w:bCs/>
                <w:snapToGrid w:val="0"/>
                <w:color w:val="auto"/>
                <w:spacing w:val="0"/>
                <w:w w:val="100"/>
                <w:kern w:val="0"/>
                <w:position w:val="0"/>
                <w:szCs w:val="21"/>
                <w:highlight w:val="none"/>
                <w:vertAlign w:val="superscript"/>
              </w:rPr>
              <w:t>3</w:t>
            </w:r>
            <w:r>
              <w:rPr>
                <w:rFonts w:hint="default" w:ascii="Times New Roman" w:hAnsi="Times New Roman" w:eastAsia="宋体" w:cs="Times New Roman"/>
                <w:b/>
                <w:bCs/>
                <w:snapToGrid w:val="0"/>
                <w:color w:val="auto"/>
                <w:spacing w:val="0"/>
                <w:w w:val="100"/>
                <w:kern w:val="0"/>
                <w:position w:val="0"/>
                <w:szCs w:val="21"/>
                <w:highlight w:val="none"/>
              </w:rPr>
              <w:t>）</w:t>
            </w:r>
          </w:p>
        </w:tc>
        <w:tc>
          <w:tcPr>
            <w:tcW w:w="1516" w:type="dxa"/>
            <w:tcBorders>
              <w:top w:val="single" w:color="auto" w:sz="12"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标准值（μg/m</w:t>
            </w:r>
            <w:r>
              <w:rPr>
                <w:rFonts w:hint="default" w:ascii="Times New Roman" w:hAnsi="Times New Roman" w:eastAsia="宋体" w:cs="Times New Roman"/>
                <w:b/>
                <w:bCs/>
                <w:snapToGrid w:val="0"/>
                <w:color w:val="auto"/>
                <w:spacing w:val="0"/>
                <w:w w:val="100"/>
                <w:kern w:val="0"/>
                <w:position w:val="0"/>
                <w:szCs w:val="21"/>
                <w:highlight w:val="none"/>
                <w:vertAlign w:val="superscript"/>
              </w:rPr>
              <w:t>3</w:t>
            </w:r>
            <w:r>
              <w:rPr>
                <w:rFonts w:hint="default" w:ascii="Times New Roman" w:hAnsi="Times New Roman" w:eastAsia="宋体" w:cs="Times New Roman"/>
                <w:b/>
                <w:bCs/>
                <w:snapToGrid w:val="0"/>
                <w:color w:val="auto"/>
                <w:spacing w:val="0"/>
                <w:w w:val="100"/>
                <w:kern w:val="0"/>
                <w:position w:val="0"/>
                <w:szCs w:val="21"/>
                <w:highlight w:val="none"/>
              </w:rPr>
              <w:t>）</w:t>
            </w:r>
          </w:p>
        </w:tc>
        <w:tc>
          <w:tcPr>
            <w:tcW w:w="1379" w:type="dxa"/>
            <w:tcBorders>
              <w:top w:val="single" w:color="auto" w:sz="12"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占标率/%</w:t>
            </w:r>
          </w:p>
        </w:tc>
        <w:tc>
          <w:tcPr>
            <w:tcW w:w="1261" w:type="dxa"/>
            <w:tcBorders>
              <w:top w:val="single" w:color="auto" w:sz="12"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b/>
                <w:bCs/>
                <w:snapToGrid w:val="0"/>
                <w:color w:val="auto"/>
                <w:spacing w:val="0"/>
                <w:w w:val="100"/>
                <w:kern w:val="0"/>
                <w:position w:val="0"/>
                <w:szCs w:val="21"/>
                <w:highlight w:val="none"/>
              </w:rPr>
            </w:pPr>
            <w:r>
              <w:rPr>
                <w:rFonts w:hint="default" w:ascii="Times New Roman" w:hAnsi="Times New Roman" w:eastAsia="宋体" w:cs="Times New Roman"/>
                <w:b/>
                <w:bCs/>
                <w:snapToGrid w:val="0"/>
                <w:color w:val="auto"/>
                <w:spacing w:val="0"/>
                <w:w w:val="100"/>
                <w:kern w:val="0"/>
                <w:position w:val="0"/>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37" w:type="dxa"/>
            <w:tcBorders>
              <w:top w:val="single" w:color="auto" w:sz="6"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PM</w:t>
            </w:r>
            <w:r>
              <w:rPr>
                <w:rFonts w:hint="default" w:ascii="Times New Roman" w:hAnsi="Times New Roman" w:eastAsia="宋体" w:cs="Times New Roman"/>
                <w:snapToGrid w:val="0"/>
                <w:color w:val="auto"/>
                <w:spacing w:val="0"/>
                <w:w w:val="100"/>
                <w:kern w:val="0"/>
                <w:position w:val="0"/>
                <w:szCs w:val="21"/>
                <w:highlight w:val="none"/>
                <w:vertAlign w:val="subscript"/>
              </w:rPr>
              <w:t>10</w:t>
            </w:r>
          </w:p>
        </w:tc>
        <w:tc>
          <w:tcPr>
            <w:tcW w:w="2202"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年平均质量浓度</w:t>
            </w:r>
          </w:p>
        </w:tc>
        <w:tc>
          <w:tcPr>
            <w:tcW w:w="1653"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81</w:t>
            </w:r>
          </w:p>
        </w:tc>
        <w:tc>
          <w:tcPr>
            <w:tcW w:w="1516"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70</w:t>
            </w: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115.7</w:t>
            </w:r>
          </w:p>
        </w:tc>
        <w:tc>
          <w:tcPr>
            <w:tcW w:w="1261" w:type="dxa"/>
            <w:tcBorders>
              <w:top w:val="single" w:color="auto" w:sz="6"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37" w:type="dxa"/>
            <w:tcBorders>
              <w:top w:val="single" w:color="auto" w:sz="6"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PM</w:t>
            </w:r>
            <w:r>
              <w:rPr>
                <w:rFonts w:hint="default" w:ascii="Times New Roman" w:hAnsi="Times New Roman" w:eastAsia="宋体" w:cs="Times New Roman"/>
                <w:snapToGrid w:val="0"/>
                <w:color w:val="auto"/>
                <w:spacing w:val="0"/>
                <w:w w:val="100"/>
                <w:kern w:val="0"/>
                <w:position w:val="0"/>
                <w:szCs w:val="21"/>
                <w:highlight w:val="none"/>
                <w:vertAlign w:val="subscript"/>
              </w:rPr>
              <w:t>2.5</w:t>
            </w:r>
          </w:p>
        </w:tc>
        <w:tc>
          <w:tcPr>
            <w:tcW w:w="2202"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年平均质量浓度</w:t>
            </w:r>
          </w:p>
        </w:tc>
        <w:tc>
          <w:tcPr>
            <w:tcW w:w="1653"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36</w:t>
            </w:r>
          </w:p>
        </w:tc>
        <w:tc>
          <w:tcPr>
            <w:tcW w:w="1516"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35</w:t>
            </w: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102.9</w:t>
            </w:r>
          </w:p>
        </w:tc>
        <w:tc>
          <w:tcPr>
            <w:tcW w:w="1261" w:type="dxa"/>
            <w:tcBorders>
              <w:top w:val="single" w:color="auto" w:sz="6"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37" w:type="dxa"/>
            <w:tcBorders>
              <w:top w:val="single" w:color="auto" w:sz="6"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SO</w:t>
            </w:r>
            <w:r>
              <w:rPr>
                <w:rFonts w:hint="default" w:ascii="Times New Roman" w:hAnsi="Times New Roman" w:eastAsia="宋体" w:cs="Times New Roman"/>
                <w:snapToGrid w:val="0"/>
                <w:color w:val="auto"/>
                <w:spacing w:val="0"/>
                <w:w w:val="100"/>
                <w:kern w:val="0"/>
                <w:position w:val="0"/>
                <w:szCs w:val="21"/>
                <w:highlight w:val="none"/>
                <w:vertAlign w:val="subscript"/>
              </w:rPr>
              <w:t>2</w:t>
            </w:r>
          </w:p>
        </w:tc>
        <w:tc>
          <w:tcPr>
            <w:tcW w:w="2202"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年平均质量浓度</w:t>
            </w:r>
          </w:p>
        </w:tc>
        <w:tc>
          <w:tcPr>
            <w:tcW w:w="1653"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14</w:t>
            </w:r>
          </w:p>
        </w:tc>
        <w:tc>
          <w:tcPr>
            <w:tcW w:w="1516"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60</w:t>
            </w: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23.3</w:t>
            </w:r>
          </w:p>
        </w:tc>
        <w:tc>
          <w:tcPr>
            <w:tcW w:w="1261" w:type="dxa"/>
            <w:tcBorders>
              <w:top w:val="single" w:color="auto" w:sz="6"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37" w:type="dxa"/>
            <w:tcBorders>
              <w:top w:val="single" w:color="auto" w:sz="6"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NO</w:t>
            </w:r>
            <w:r>
              <w:rPr>
                <w:rFonts w:hint="default" w:ascii="Times New Roman" w:hAnsi="Times New Roman" w:eastAsia="宋体" w:cs="Times New Roman"/>
                <w:snapToGrid w:val="0"/>
                <w:color w:val="auto"/>
                <w:spacing w:val="0"/>
                <w:w w:val="100"/>
                <w:kern w:val="0"/>
                <w:position w:val="0"/>
                <w:szCs w:val="21"/>
                <w:highlight w:val="none"/>
                <w:vertAlign w:val="subscript"/>
              </w:rPr>
              <w:t>2</w:t>
            </w:r>
          </w:p>
        </w:tc>
        <w:tc>
          <w:tcPr>
            <w:tcW w:w="2202"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年平均质量浓度</w:t>
            </w:r>
          </w:p>
        </w:tc>
        <w:tc>
          <w:tcPr>
            <w:tcW w:w="1653"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26</w:t>
            </w:r>
          </w:p>
        </w:tc>
        <w:tc>
          <w:tcPr>
            <w:tcW w:w="1516"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40</w:t>
            </w: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65.0</w:t>
            </w:r>
          </w:p>
        </w:tc>
        <w:tc>
          <w:tcPr>
            <w:tcW w:w="1261" w:type="dxa"/>
            <w:tcBorders>
              <w:top w:val="single" w:color="auto" w:sz="6"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937" w:type="dxa"/>
            <w:tcBorders>
              <w:top w:val="single" w:color="auto" w:sz="6" w:space="0"/>
              <w:left w:val="single" w:color="auto" w:sz="12"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CO</w:t>
            </w:r>
          </w:p>
        </w:tc>
        <w:tc>
          <w:tcPr>
            <w:tcW w:w="2202"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24小时平均第95百分数（mg/m</w:t>
            </w:r>
            <w:r>
              <w:rPr>
                <w:rFonts w:hint="default" w:ascii="Times New Roman" w:hAnsi="Times New Roman" w:eastAsia="宋体" w:cs="Times New Roman"/>
                <w:snapToGrid w:val="0"/>
                <w:color w:val="auto"/>
                <w:spacing w:val="0"/>
                <w:w w:val="100"/>
                <w:kern w:val="0"/>
                <w:position w:val="0"/>
                <w:szCs w:val="21"/>
                <w:highlight w:val="none"/>
                <w:vertAlign w:val="superscript"/>
              </w:rPr>
              <w:t>3</w:t>
            </w:r>
            <w:r>
              <w:rPr>
                <w:rFonts w:hint="default" w:ascii="Times New Roman" w:hAnsi="Times New Roman" w:eastAsia="宋体" w:cs="Times New Roman"/>
                <w:snapToGrid w:val="0"/>
                <w:color w:val="auto"/>
                <w:spacing w:val="0"/>
                <w:w w:val="100"/>
                <w:kern w:val="0"/>
                <w:position w:val="0"/>
                <w:szCs w:val="21"/>
                <w:highlight w:val="none"/>
              </w:rPr>
              <w:t>）</w:t>
            </w:r>
          </w:p>
        </w:tc>
        <w:tc>
          <w:tcPr>
            <w:tcW w:w="1653"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1.1</w:t>
            </w:r>
          </w:p>
        </w:tc>
        <w:tc>
          <w:tcPr>
            <w:tcW w:w="1516"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4</w:t>
            </w: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27.5</w:t>
            </w:r>
          </w:p>
        </w:tc>
        <w:tc>
          <w:tcPr>
            <w:tcW w:w="1261" w:type="dxa"/>
            <w:tcBorders>
              <w:top w:val="single" w:color="auto" w:sz="6" w:space="0"/>
              <w:left w:val="single" w:color="auto" w:sz="6" w:space="0"/>
              <w:bottom w:val="single" w:color="auto" w:sz="6"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937" w:type="dxa"/>
            <w:tcBorders>
              <w:top w:val="single" w:color="auto" w:sz="6" w:space="0"/>
              <w:left w:val="single" w:color="auto" w:sz="12" w:space="0"/>
              <w:bottom w:val="single" w:color="auto" w:sz="12"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O</w:t>
            </w:r>
            <w:r>
              <w:rPr>
                <w:rFonts w:hint="default" w:ascii="Times New Roman" w:hAnsi="Times New Roman" w:eastAsia="宋体" w:cs="Times New Roman"/>
                <w:snapToGrid w:val="0"/>
                <w:color w:val="auto"/>
                <w:spacing w:val="0"/>
                <w:w w:val="100"/>
                <w:kern w:val="0"/>
                <w:position w:val="0"/>
                <w:szCs w:val="21"/>
                <w:highlight w:val="none"/>
                <w:vertAlign w:val="subscript"/>
              </w:rPr>
              <w:t>3</w:t>
            </w:r>
          </w:p>
        </w:tc>
        <w:tc>
          <w:tcPr>
            <w:tcW w:w="2202" w:type="dxa"/>
            <w:tcBorders>
              <w:top w:val="single" w:color="auto" w:sz="6" w:space="0"/>
              <w:left w:val="single" w:color="auto" w:sz="6" w:space="0"/>
              <w:bottom w:val="single" w:color="auto" w:sz="12"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日最大8小时滑动平均值的第90百分数</w:t>
            </w:r>
          </w:p>
        </w:tc>
        <w:tc>
          <w:tcPr>
            <w:tcW w:w="1653" w:type="dxa"/>
            <w:tcBorders>
              <w:top w:val="single" w:color="auto" w:sz="6" w:space="0"/>
              <w:left w:val="single" w:color="auto" w:sz="6" w:space="0"/>
              <w:bottom w:val="single" w:color="auto" w:sz="12"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139</w:t>
            </w:r>
          </w:p>
        </w:tc>
        <w:tc>
          <w:tcPr>
            <w:tcW w:w="1516" w:type="dxa"/>
            <w:tcBorders>
              <w:top w:val="single" w:color="auto" w:sz="6" w:space="0"/>
              <w:left w:val="single" w:color="auto" w:sz="6" w:space="0"/>
              <w:bottom w:val="single" w:color="auto" w:sz="12"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160</w:t>
            </w:r>
          </w:p>
        </w:tc>
        <w:tc>
          <w:tcPr>
            <w:tcW w:w="1379" w:type="dxa"/>
            <w:tcBorders>
              <w:top w:val="single" w:color="auto" w:sz="6" w:space="0"/>
              <w:left w:val="single" w:color="auto" w:sz="6" w:space="0"/>
              <w:bottom w:val="single" w:color="auto" w:sz="12" w:space="0"/>
              <w:right w:val="single" w:color="auto" w:sz="6"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lang w:val="en-US" w:eastAsia="zh-CN"/>
              </w:rPr>
            </w:pPr>
            <w:r>
              <w:rPr>
                <w:rFonts w:hint="default" w:ascii="Times New Roman" w:hAnsi="Times New Roman" w:eastAsia="宋体" w:cs="Times New Roman"/>
                <w:snapToGrid w:val="0"/>
                <w:color w:val="auto"/>
                <w:spacing w:val="0"/>
                <w:w w:val="100"/>
                <w:kern w:val="0"/>
                <w:position w:val="0"/>
                <w:szCs w:val="21"/>
                <w:highlight w:val="none"/>
              </w:rPr>
              <w:t>86.9</w:t>
            </w:r>
          </w:p>
        </w:tc>
        <w:tc>
          <w:tcPr>
            <w:tcW w:w="1261" w:type="dxa"/>
            <w:tcBorders>
              <w:top w:val="single" w:color="auto" w:sz="6" w:space="0"/>
              <w:left w:val="single" w:color="auto" w:sz="6" w:space="0"/>
              <w:bottom w:val="single" w:color="auto" w:sz="12" w:space="0"/>
              <w:right w:val="single" w:color="auto" w:sz="12" w:space="0"/>
            </w:tcBorders>
            <w:noWrap w:val="0"/>
            <w:vAlign w:val="center"/>
          </w:tcPr>
          <w:p>
            <w:pPr>
              <w:spacing w:line="240" w:lineRule="exact"/>
              <w:jc w:val="center"/>
              <w:rPr>
                <w:rFonts w:hint="default" w:ascii="Times New Roman" w:hAnsi="Times New Roman" w:eastAsia="宋体" w:cs="Times New Roman"/>
                <w:snapToGrid w:val="0"/>
                <w:color w:val="auto"/>
                <w:spacing w:val="0"/>
                <w:w w:val="100"/>
                <w:kern w:val="0"/>
                <w:position w:val="0"/>
                <w:szCs w:val="21"/>
                <w:highlight w:val="none"/>
              </w:rPr>
            </w:pPr>
            <w:r>
              <w:rPr>
                <w:rFonts w:hint="default" w:ascii="Times New Roman" w:hAnsi="Times New Roman" w:eastAsia="宋体" w:cs="Times New Roman"/>
                <w:snapToGrid w:val="0"/>
                <w:color w:val="auto"/>
                <w:spacing w:val="0"/>
                <w:w w:val="100"/>
                <w:kern w:val="0"/>
                <w:position w:val="0"/>
                <w:szCs w:val="21"/>
                <w:highlight w:val="none"/>
              </w:rPr>
              <w:t>达标</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rPr>
      </w:pPr>
      <w:r>
        <w:rPr>
          <w:rFonts w:hint="default" w:ascii="Times New Roman" w:hAnsi="Times New Roman" w:eastAsia="宋体" w:cs="Times New Roman"/>
          <w:color w:val="auto"/>
          <w:spacing w:val="0"/>
          <w:w w:val="100"/>
          <w:kern w:val="0"/>
          <w:position w:val="0"/>
          <w:sz w:val="24"/>
          <w:szCs w:val="24"/>
        </w:rPr>
        <w:t>根据《2020宁夏生态环境质量状况》公开的区域环境空气质量数据可以看出，SO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、NO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、年均值、O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rPr>
        <w:t>日最大8h滑动平均值的第90百分位数、CO24h平均第95百分位数均满足《环境空气质量标准》（GB3095-2012及2018年修改单）中二级标准要求，PM</w:t>
      </w:r>
      <w:r>
        <w:rPr>
          <w:rFonts w:hint="default" w:ascii="Times New Roman" w:hAnsi="Times New Roman" w:eastAsia="宋体" w:cs="Times New Roman"/>
          <w:color w:val="auto"/>
          <w:spacing w:val="0"/>
          <w:w w:val="100"/>
          <w:kern w:val="0"/>
          <w:position w:val="0"/>
          <w:sz w:val="24"/>
          <w:szCs w:val="24"/>
          <w:vertAlign w:val="subscript"/>
          <w:lang w:val="en-US" w:eastAsia="zh-CN"/>
        </w:rPr>
        <w:t>10</w:t>
      </w:r>
      <w:r>
        <w:rPr>
          <w:rFonts w:hint="default" w:ascii="Times New Roman" w:hAnsi="Times New Roman" w:eastAsia="宋体" w:cs="Times New Roman"/>
          <w:color w:val="auto"/>
          <w:spacing w:val="0"/>
          <w:w w:val="100"/>
          <w:kern w:val="0"/>
          <w:position w:val="0"/>
          <w:sz w:val="24"/>
          <w:szCs w:val="24"/>
        </w:rPr>
        <w:t>、PM</w:t>
      </w:r>
      <w:r>
        <w:rPr>
          <w:rFonts w:hint="default" w:ascii="Times New Roman" w:hAnsi="Times New Roman" w:eastAsia="宋体" w:cs="Times New Roman"/>
          <w:color w:val="auto"/>
          <w:spacing w:val="0"/>
          <w:w w:val="100"/>
          <w:kern w:val="0"/>
          <w:position w:val="0"/>
          <w:sz w:val="24"/>
          <w:szCs w:val="24"/>
          <w:vertAlign w:val="subscript"/>
        </w:rPr>
        <w:t>2.5</w:t>
      </w:r>
      <w:r>
        <w:rPr>
          <w:rFonts w:hint="default" w:ascii="Times New Roman" w:hAnsi="Times New Roman" w:eastAsia="宋体" w:cs="Times New Roman"/>
          <w:color w:val="auto"/>
          <w:spacing w:val="0"/>
          <w:w w:val="100"/>
          <w:kern w:val="0"/>
          <w:position w:val="0"/>
          <w:sz w:val="24"/>
          <w:szCs w:val="24"/>
        </w:rPr>
        <w:t>超过《环境空气质量标准》（GB3095-2012）二级标准，按照《环境影响评价技术导则 大气环境》（HJ2.2-2018）对项目所在区达标判断结果可知，本项目所在区为不达标区。造成评价区域PM</w:t>
      </w:r>
      <w:r>
        <w:rPr>
          <w:rFonts w:hint="default" w:ascii="Times New Roman" w:hAnsi="Times New Roman" w:eastAsia="宋体" w:cs="Times New Roman"/>
          <w:color w:val="auto"/>
          <w:spacing w:val="0"/>
          <w:w w:val="100"/>
          <w:kern w:val="0"/>
          <w:position w:val="0"/>
          <w:sz w:val="24"/>
          <w:szCs w:val="24"/>
          <w:vertAlign w:val="subscript"/>
          <w:lang w:val="en-US" w:eastAsia="zh-CN"/>
        </w:rPr>
        <w:t>10</w:t>
      </w:r>
      <w:r>
        <w:rPr>
          <w:rFonts w:hint="default" w:ascii="Times New Roman" w:hAnsi="Times New Roman" w:eastAsia="宋体" w:cs="Times New Roman"/>
          <w:color w:val="auto"/>
          <w:spacing w:val="0"/>
          <w:w w:val="100"/>
          <w:kern w:val="0"/>
          <w:position w:val="0"/>
          <w:sz w:val="24"/>
          <w:szCs w:val="24"/>
        </w:rPr>
        <w:t>、PM</w:t>
      </w:r>
      <w:r>
        <w:rPr>
          <w:rFonts w:hint="default" w:ascii="Times New Roman" w:hAnsi="Times New Roman" w:eastAsia="宋体" w:cs="Times New Roman"/>
          <w:color w:val="auto"/>
          <w:spacing w:val="0"/>
          <w:w w:val="100"/>
          <w:kern w:val="0"/>
          <w:position w:val="0"/>
          <w:sz w:val="24"/>
          <w:szCs w:val="24"/>
          <w:vertAlign w:val="subscript"/>
        </w:rPr>
        <w:t>2.5</w:t>
      </w:r>
      <w:r>
        <w:rPr>
          <w:rFonts w:hint="default" w:ascii="Times New Roman" w:hAnsi="Times New Roman" w:eastAsia="宋体" w:cs="Times New Roman"/>
          <w:color w:val="auto"/>
          <w:spacing w:val="0"/>
          <w:w w:val="100"/>
          <w:kern w:val="0"/>
          <w:position w:val="0"/>
          <w:sz w:val="24"/>
          <w:szCs w:val="24"/>
        </w:rPr>
        <w:t>超标的原因主要是评价区域内气候干燥，植被覆盖率低，风沙大，城市供暖系统的运行等因素共同所致。</w:t>
      </w:r>
    </w:p>
    <w:p>
      <w:pPr>
        <w:pStyle w:val="6"/>
        <w:keepNext/>
        <w:keepLines/>
        <w:pageBreakBefore w:val="0"/>
        <w:widowControl w:val="0"/>
        <w:kinsoku/>
        <w:wordWrap/>
        <w:overflowPunct/>
        <w:topLinePunct w:val="0"/>
        <w:autoSpaceDE/>
        <w:autoSpaceDN/>
        <w:bidi w:val="0"/>
        <w:adjustRightInd/>
        <w:snapToGrid w:val="0"/>
        <w:spacing w:before="120" w:after="0" w:line="360" w:lineRule="auto"/>
        <w:contextualSpacing/>
        <w:textAlignment w:val="auto"/>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3.2.1.2补充监测因子环境质量现状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本项目建设地点位于</w:t>
      </w:r>
      <w:r>
        <w:rPr>
          <w:rFonts w:hint="default" w:ascii="Times New Roman" w:hAnsi="Times New Roman" w:eastAsia="宋体" w:cs="Times New Roman"/>
          <w:bCs/>
          <w:color w:val="auto"/>
          <w:spacing w:val="0"/>
          <w:w w:val="100"/>
          <w:kern w:val="0"/>
          <w:position w:val="0"/>
          <w:sz w:val="24"/>
          <w:highlight w:val="none"/>
          <w:lang w:val="en-US" w:eastAsia="zh-CN"/>
        </w:rPr>
        <w:t>同心县下马关镇上垣村</w:t>
      </w:r>
      <w:r>
        <w:rPr>
          <w:rFonts w:hint="default" w:ascii="Times New Roman" w:hAnsi="Times New Roman" w:eastAsia="宋体" w:cs="Times New Roman"/>
          <w:bCs/>
          <w:color w:val="auto"/>
          <w:spacing w:val="0"/>
          <w:w w:val="100"/>
          <w:kern w:val="0"/>
          <w:position w:val="0"/>
          <w:sz w:val="24"/>
          <w:highlight w:val="none"/>
        </w:rPr>
        <w:t>，属环境空气二类功能区。本次评价</w:t>
      </w:r>
      <w:r>
        <w:rPr>
          <w:rFonts w:hint="eastAsia" w:ascii="Times New Roman" w:hAnsi="Times New Roman" w:cs="Times New Roman"/>
          <w:bCs/>
          <w:color w:val="auto"/>
          <w:spacing w:val="0"/>
          <w:w w:val="100"/>
          <w:kern w:val="0"/>
          <w:position w:val="0"/>
          <w:sz w:val="24"/>
          <w:highlight w:val="none"/>
          <w:lang w:eastAsia="zh-CN"/>
        </w:rPr>
        <w:t>委托</w:t>
      </w:r>
      <w:r>
        <w:rPr>
          <w:rFonts w:hint="eastAsia" w:ascii="Times New Roman" w:hAnsi="Times New Roman" w:cs="Times New Roman"/>
          <w:bCs/>
          <w:color w:val="auto"/>
          <w:spacing w:val="0"/>
          <w:w w:val="100"/>
          <w:kern w:val="0"/>
          <w:position w:val="0"/>
          <w:sz w:val="24"/>
          <w:highlight w:val="none"/>
          <w:lang w:val="en-US" w:eastAsia="zh-CN"/>
        </w:rPr>
        <w:t>宁夏盛世绿源环境检测有限责任公司</w:t>
      </w:r>
      <w:r>
        <w:rPr>
          <w:rFonts w:hint="default" w:ascii="Times New Roman" w:hAnsi="Times New Roman" w:eastAsia="宋体" w:cs="Times New Roman"/>
          <w:bCs/>
          <w:color w:val="auto"/>
          <w:spacing w:val="0"/>
          <w:w w:val="100"/>
          <w:kern w:val="0"/>
          <w:position w:val="0"/>
          <w:sz w:val="24"/>
          <w:highlight w:val="none"/>
        </w:rPr>
        <w:t>于202</w:t>
      </w:r>
      <w:r>
        <w:rPr>
          <w:rFonts w:hint="default" w:ascii="Times New Roman" w:hAnsi="Times New Roman" w:eastAsia="宋体" w:cs="Times New Roman"/>
          <w:bCs/>
          <w:color w:val="auto"/>
          <w:spacing w:val="0"/>
          <w:w w:val="100"/>
          <w:kern w:val="0"/>
          <w:position w:val="0"/>
          <w:sz w:val="24"/>
          <w:highlight w:val="none"/>
          <w:lang w:val="en-US" w:eastAsia="zh-CN"/>
        </w:rPr>
        <w:t>1</w:t>
      </w:r>
      <w:r>
        <w:rPr>
          <w:rFonts w:hint="default" w:ascii="Times New Roman" w:hAnsi="Times New Roman" w:eastAsia="宋体" w:cs="Times New Roman"/>
          <w:bCs/>
          <w:color w:val="auto"/>
          <w:spacing w:val="0"/>
          <w:w w:val="100"/>
          <w:kern w:val="0"/>
          <w:position w:val="0"/>
          <w:sz w:val="24"/>
          <w:highlight w:val="none"/>
        </w:rPr>
        <w:t>年</w:t>
      </w:r>
      <w:r>
        <w:rPr>
          <w:rFonts w:hint="eastAsia" w:ascii="Times New Roman" w:hAnsi="Times New Roman" w:cs="Times New Roman"/>
          <w:bCs/>
          <w:color w:val="auto"/>
          <w:spacing w:val="0"/>
          <w:w w:val="100"/>
          <w:kern w:val="0"/>
          <w:position w:val="0"/>
          <w:sz w:val="24"/>
          <w:highlight w:val="none"/>
          <w:lang w:val="en-US" w:eastAsia="zh-CN"/>
        </w:rPr>
        <w:t>12</w:t>
      </w:r>
      <w:r>
        <w:rPr>
          <w:rFonts w:hint="default" w:ascii="Times New Roman" w:hAnsi="Times New Roman" w:eastAsia="宋体" w:cs="Times New Roman"/>
          <w:bCs/>
          <w:color w:val="auto"/>
          <w:spacing w:val="0"/>
          <w:w w:val="100"/>
          <w:kern w:val="0"/>
          <w:position w:val="0"/>
          <w:sz w:val="24"/>
          <w:highlight w:val="none"/>
        </w:rPr>
        <w:t>月</w:t>
      </w:r>
      <w:r>
        <w:rPr>
          <w:rFonts w:hint="eastAsia" w:ascii="Times New Roman" w:hAnsi="Times New Roman" w:cs="Times New Roman"/>
          <w:bCs/>
          <w:color w:val="auto"/>
          <w:spacing w:val="0"/>
          <w:w w:val="100"/>
          <w:kern w:val="0"/>
          <w:position w:val="0"/>
          <w:sz w:val="24"/>
          <w:highlight w:val="none"/>
          <w:lang w:val="en-US" w:eastAsia="zh-CN"/>
        </w:rPr>
        <w:t>6</w:t>
      </w:r>
      <w:r>
        <w:rPr>
          <w:rFonts w:hint="default" w:ascii="Times New Roman" w:hAnsi="Times New Roman" w:eastAsia="宋体" w:cs="Times New Roman"/>
          <w:bCs/>
          <w:color w:val="auto"/>
          <w:spacing w:val="0"/>
          <w:w w:val="100"/>
          <w:kern w:val="0"/>
          <w:position w:val="0"/>
          <w:sz w:val="24"/>
          <w:highlight w:val="none"/>
        </w:rPr>
        <w:t>日-202</w:t>
      </w:r>
      <w:r>
        <w:rPr>
          <w:rFonts w:hint="default" w:ascii="Times New Roman" w:hAnsi="Times New Roman" w:eastAsia="宋体" w:cs="Times New Roman"/>
          <w:bCs/>
          <w:color w:val="auto"/>
          <w:spacing w:val="0"/>
          <w:w w:val="100"/>
          <w:kern w:val="0"/>
          <w:position w:val="0"/>
          <w:sz w:val="24"/>
          <w:highlight w:val="none"/>
          <w:lang w:val="en-US" w:eastAsia="zh-CN"/>
        </w:rPr>
        <w:t>1</w:t>
      </w:r>
      <w:r>
        <w:rPr>
          <w:rFonts w:hint="default" w:ascii="Times New Roman" w:hAnsi="Times New Roman" w:eastAsia="宋体" w:cs="Times New Roman"/>
          <w:bCs/>
          <w:color w:val="auto"/>
          <w:spacing w:val="0"/>
          <w:w w:val="100"/>
          <w:kern w:val="0"/>
          <w:position w:val="0"/>
          <w:sz w:val="24"/>
          <w:highlight w:val="none"/>
        </w:rPr>
        <w:t>年</w:t>
      </w:r>
      <w:r>
        <w:rPr>
          <w:rFonts w:hint="eastAsia" w:ascii="Times New Roman" w:hAnsi="Times New Roman" w:cs="Times New Roman"/>
          <w:bCs/>
          <w:color w:val="auto"/>
          <w:spacing w:val="0"/>
          <w:w w:val="100"/>
          <w:kern w:val="0"/>
          <w:position w:val="0"/>
          <w:sz w:val="24"/>
          <w:highlight w:val="none"/>
          <w:lang w:val="en-US" w:eastAsia="zh-CN"/>
        </w:rPr>
        <w:t>12</w:t>
      </w:r>
      <w:r>
        <w:rPr>
          <w:rFonts w:hint="default" w:ascii="Times New Roman" w:hAnsi="Times New Roman" w:eastAsia="宋体" w:cs="Times New Roman"/>
          <w:bCs/>
          <w:color w:val="auto"/>
          <w:spacing w:val="0"/>
          <w:w w:val="100"/>
          <w:kern w:val="0"/>
          <w:position w:val="0"/>
          <w:sz w:val="24"/>
          <w:highlight w:val="none"/>
        </w:rPr>
        <w:t>月</w:t>
      </w:r>
      <w:r>
        <w:rPr>
          <w:rFonts w:hint="eastAsia" w:ascii="Times New Roman" w:hAnsi="Times New Roman" w:cs="Times New Roman"/>
          <w:bCs/>
          <w:color w:val="auto"/>
          <w:spacing w:val="0"/>
          <w:w w:val="100"/>
          <w:kern w:val="0"/>
          <w:position w:val="0"/>
          <w:sz w:val="24"/>
          <w:highlight w:val="none"/>
          <w:lang w:val="en-US" w:eastAsia="zh-CN"/>
        </w:rPr>
        <w:t>12</w:t>
      </w:r>
      <w:r>
        <w:rPr>
          <w:rFonts w:hint="default" w:ascii="Times New Roman" w:hAnsi="Times New Roman" w:eastAsia="宋体" w:cs="Times New Roman"/>
          <w:bCs/>
          <w:color w:val="auto"/>
          <w:spacing w:val="0"/>
          <w:w w:val="100"/>
          <w:kern w:val="0"/>
          <w:position w:val="0"/>
          <w:sz w:val="24"/>
          <w:highlight w:val="none"/>
        </w:rPr>
        <w:t>日对项目所在</w:t>
      </w:r>
      <w:r>
        <w:rPr>
          <w:rFonts w:hint="default" w:ascii="Times New Roman" w:hAnsi="Times New Roman" w:eastAsia="宋体" w:cs="Times New Roman"/>
          <w:bCs/>
          <w:color w:val="auto"/>
          <w:spacing w:val="0"/>
          <w:w w:val="100"/>
          <w:kern w:val="0"/>
          <w:position w:val="0"/>
          <w:sz w:val="24"/>
          <w:szCs w:val="18"/>
          <w:highlight w:val="none"/>
        </w:rPr>
        <w:t>区域</w:t>
      </w:r>
      <w:r>
        <w:rPr>
          <w:rFonts w:hint="default" w:ascii="Times New Roman" w:hAnsi="Times New Roman" w:eastAsia="宋体" w:cs="Times New Roman"/>
          <w:bCs/>
          <w:color w:val="auto"/>
          <w:spacing w:val="0"/>
          <w:w w:val="100"/>
          <w:kern w:val="0"/>
          <w:position w:val="0"/>
          <w:sz w:val="24"/>
          <w:szCs w:val="18"/>
          <w:highlight w:val="none"/>
          <w:lang w:eastAsia="zh-CN"/>
        </w:rPr>
        <w:t>环境空气质量</w:t>
      </w:r>
      <w:r>
        <w:rPr>
          <w:rFonts w:hint="default" w:ascii="Times New Roman" w:hAnsi="Times New Roman" w:eastAsia="宋体" w:cs="Times New Roman"/>
          <w:bCs/>
          <w:color w:val="auto"/>
          <w:spacing w:val="0"/>
          <w:w w:val="100"/>
          <w:kern w:val="0"/>
          <w:position w:val="0"/>
          <w:sz w:val="24"/>
          <w:szCs w:val="18"/>
          <w:highlight w:val="none"/>
        </w:rPr>
        <w:t>TSP</w:t>
      </w:r>
      <w:r>
        <w:rPr>
          <w:rFonts w:hint="default" w:ascii="Times New Roman" w:hAnsi="Times New Roman" w:eastAsia="宋体" w:cs="Times New Roman"/>
          <w:bCs/>
          <w:color w:val="auto"/>
          <w:spacing w:val="0"/>
          <w:w w:val="100"/>
          <w:kern w:val="0"/>
          <w:position w:val="0"/>
          <w:sz w:val="24"/>
          <w:szCs w:val="18"/>
          <w:highlight w:val="none"/>
          <w:lang w:eastAsia="zh-CN"/>
        </w:rPr>
        <w:t>、</w:t>
      </w:r>
      <w:r>
        <w:rPr>
          <w:rFonts w:hint="default" w:ascii="Times New Roman" w:hAnsi="Times New Roman" w:eastAsia="宋体" w:cs="Times New Roman"/>
          <w:bCs/>
          <w:color w:val="auto"/>
          <w:spacing w:val="0"/>
          <w:w w:val="100"/>
          <w:kern w:val="0"/>
          <w:position w:val="0"/>
          <w:sz w:val="24"/>
          <w:highlight w:val="none"/>
        </w:rPr>
        <w:t>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S、臭气浓度</w:t>
      </w:r>
      <w:r>
        <w:rPr>
          <w:rFonts w:hint="default" w:ascii="Times New Roman" w:hAnsi="Times New Roman" w:eastAsia="宋体" w:cs="Times New Roman"/>
          <w:bCs/>
          <w:color w:val="auto"/>
          <w:spacing w:val="0"/>
          <w:w w:val="100"/>
          <w:kern w:val="0"/>
          <w:position w:val="0"/>
          <w:sz w:val="24"/>
          <w:szCs w:val="18"/>
          <w:highlight w:val="none"/>
        </w:rPr>
        <w:t>进行补充监测。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fldChar w:fldCharType="begin"/>
      </w:r>
      <w:r>
        <w:rPr>
          <w:rFonts w:hint="default" w:ascii="Times New Roman" w:hAnsi="Times New Roman" w:eastAsia="宋体" w:cs="Times New Roman"/>
          <w:color w:val="auto"/>
          <w:spacing w:val="0"/>
          <w:w w:val="100"/>
          <w:kern w:val="0"/>
          <w:position w:val="0"/>
          <w:sz w:val="24"/>
          <w:szCs w:val="22"/>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2"/>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szCs w:val="22"/>
          <w:highlight w:val="none"/>
        </w:rPr>
        <w:fldChar w:fldCharType="end"/>
      </w:r>
      <w:r>
        <w:rPr>
          <w:rFonts w:hint="default" w:ascii="Times New Roman" w:hAnsi="Times New Roman" w:eastAsia="宋体" w:cs="Times New Roman"/>
          <w:color w:val="auto"/>
          <w:spacing w:val="0"/>
          <w:w w:val="100"/>
          <w:kern w:val="0"/>
          <w:position w:val="0"/>
          <w:sz w:val="24"/>
          <w:szCs w:val="22"/>
          <w:highlight w:val="none"/>
        </w:rPr>
        <w:t>监测点位布设</w:t>
      </w:r>
    </w:p>
    <w:p>
      <w:pPr>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2"/>
          <w:highlight w:val="none"/>
        </w:rPr>
        <w:t>在主导风向下风向布设1个监测点位，监测点位具体见表</w:t>
      </w:r>
      <w:r>
        <w:rPr>
          <w:rFonts w:hint="default" w:ascii="Times New Roman" w:hAnsi="Times New Roman" w:eastAsia="宋体" w:cs="Times New Roman"/>
          <w:color w:val="auto"/>
          <w:spacing w:val="0"/>
          <w:w w:val="100"/>
          <w:kern w:val="0"/>
          <w:position w:val="0"/>
          <w:sz w:val="24"/>
          <w:szCs w:val="22"/>
          <w:highlight w:val="none"/>
          <w:lang w:val="en-US" w:eastAsia="zh-CN"/>
        </w:rPr>
        <w:t>3.2-2</w:t>
      </w:r>
      <w:r>
        <w:rPr>
          <w:rFonts w:hint="default" w:ascii="Times New Roman" w:hAnsi="Times New Roman" w:eastAsia="宋体" w:cs="Times New Roman"/>
          <w:color w:val="auto"/>
          <w:spacing w:val="0"/>
          <w:w w:val="100"/>
          <w:kern w:val="0"/>
          <w:position w:val="0"/>
          <w:sz w:val="24"/>
          <w:szCs w:val="22"/>
          <w:highlight w:val="none"/>
        </w:rPr>
        <w:t>，监测点位图见图3.2-1。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表3.2-2   环境空气现状监测布点一览表</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5"/>
        <w:gridCol w:w="2095"/>
        <w:gridCol w:w="3380"/>
        <w:gridCol w:w="1264"/>
        <w:gridCol w:w="14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8"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编号</w:t>
            </w:r>
          </w:p>
        </w:tc>
        <w:tc>
          <w:tcPr>
            <w:tcW w:w="1773"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监测点名称</w:t>
            </w:r>
          </w:p>
        </w:tc>
        <w:tc>
          <w:tcPr>
            <w:tcW w:w="2860"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坐标</w:t>
            </w:r>
          </w:p>
        </w:tc>
        <w:tc>
          <w:tcPr>
            <w:tcW w:w="1070"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方位</w:t>
            </w:r>
          </w:p>
        </w:tc>
        <w:tc>
          <w:tcPr>
            <w:tcW w:w="1227"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6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de-DE"/>
              </w:rPr>
            </w:pPr>
            <w:r>
              <w:rPr>
                <w:rFonts w:hint="default" w:ascii="Times New Roman" w:hAnsi="Times New Roman" w:eastAsia="宋体" w:cs="Times New Roman"/>
                <w:b/>
                <w:color w:val="auto"/>
                <w:spacing w:val="0"/>
                <w:w w:val="100"/>
                <w:kern w:val="0"/>
                <w:position w:val="0"/>
                <w:szCs w:val="21"/>
                <w:highlight w:val="none"/>
              </w:rPr>
              <w:t>1#</w:t>
            </w:r>
          </w:p>
        </w:tc>
        <w:tc>
          <w:tcPr>
            <w:tcW w:w="1773"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snapToGrid w:val="0"/>
                <w:color w:val="auto"/>
                <w:spacing w:val="0"/>
                <w:w w:val="100"/>
                <w:kern w:val="0"/>
                <w:position w:val="0"/>
                <w:sz w:val="21"/>
                <w:szCs w:val="21"/>
                <w:highlight w:val="none"/>
                <w:lang w:eastAsia="zh-CN"/>
              </w:rPr>
              <w:t>项目北侧</w:t>
            </w:r>
          </w:p>
        </w:tc>
        <w:tc>
          <w:tcPr>
            <w:tcW w:w="2860"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napToGrid w:val="0"/>
                <w:color w:val="auto"/>
                <w:spacing w:val="0"/>
                <w:w w:val="100"/>
                <w:kern w:val="0"/>
                <w:position w:val="0"/>
                <w:sz w:val="21"/>
                <w:szCs w:val="21"/>
                <w:highlight w:val="none"/>
                <w:lang w:val="en-US" w:eastAsia="zh-CN"/>
              </w:rPr>
            </w:pPr>
          </w:p>
        </w:tc>
        <w:tc>
          <w:tcPr>
            <w:tcW w:w="1070"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rPr>
              <w:t>N</w:t>
            </w:r>
          </w:p>
        </w:tc>
        <w:tc>
          <w:tcPr>
            <w:tcW w:w="1227"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rPr>
              <w:t>20</w:t>
            </w:r>
            <w:r>
              <w:rPr>
                <w:rFonts w:hint="default" w:ascii="Times New Roman" w:hAnsi="Times New Roman" w:eastAsia="宋体" w:cs="Times New Roman"/>
                <w:color w:val="auto"/>
                <w:spacing w:val="0"/>
                <w:w w:val="100"/>
                <w:kern w:val="0"/>
                <w:position w:val="0"/>
                <w:sz w:val="21"/>
                <w:szCs w:val="21"/>
                <w:highlight w:val="none"/>
              </w:rPr>
              <w:t>m</w:t>
            </w:r>
          </w:p>
        </w:tc>
      </w:tr>
    </w:tbl>
    <w:p>
      <w:pPr>
        <w:adjustRightInd w:val="0"/>
        <w:snapToGrid w:val="0"/>
        <w:spacing w:before="156" w:beforeLines="5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(2)监测因子</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4"/>
          <w:highlight w:val="none"/>
        </w:rPr>
        <w:t>本次评价选取NH</w:t>
      </w:r>
      <w:r>
        <w:rPr>
          <w:rFonts w:hint="default" w:ascii="Times New Roman" w:hAnsi="Times New Roman" w:eastAsia="宋体" w:cs="Times New Roman"/>
          <w:color w:val="auto"/>
          <w:spacing w:val="0"/>
          <w:w w:val="100"/>
          <w:kern w:val="0"/>
          <w:position w:val="0"/>
          <w:sz w:val="24"/>
          <w:highlight w:val="none"/>
          <w:vertAlign w:val="subscript"/>
        </w:rPr>
        <w:t>3</w:t>
      </w:r>
      <w:r>
        <w:rPr>
          <w:rFonts w:hint="default" w:ascii="Times New Roman" w:hAnsi="Times New Roman" w:eastAsia="宋体" w:cs="Times New Roman"/>
          <w:color w:val="auto"/>
          <w:spacing w:val="0"/>
          <w:w w:val="100"/>
          <w:kern w:val="0"/>
          <w:position w:val="0"/>
          <w:sz w:val="24"/>
          <w:highlight w:val="none"/>
        </w:rPr>
        <w:t>、H</w:t>
      </w:r>
      <w:r>
        <w:rPr>
          <w:rFonts w:hint="default" w:ascii="Times New Roman" w:hAnsi="Times New Roman" w:eastAsia="宋体" w:cs="Times New Roman"/>
          <w:color w:val="auto"/>
          <w:spacing w:val="0"/>
          <w:w w:val="100"/>
          <w:kern w:val="0"/>
          <w:position w:val="0"/>
          <w:sz w:val="24"/>
          <w:highlight w:val="none"/>
          <w:vertAlign w:val="subscript"/>
        </w:rPr>
        <w:t>2</w:t>
      </w:r>
      <w:r>
        <w:rPr>
          <w:rFonts w:hint="default" w:ascii="Times New Roman" w:hAnsi="Times New Roman" w:eastAsia="宋体" w:cs="Times New Roman"/>
          <w:color w:val="auto"/>
          <w:spacing w:val="0"/>
          <w:w w:val="100"/>
          <w:kern w:val="0"/>
          <w:position w:val="0"/>
          <w:sz w:val="24"/>
          <w:highlight w:val="none"/>
        </w:rPr>
        <w:t>S、臭气浓度、TSP，共4项评价因子。</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bookmarkStart w:id="638" w:name="_Toc299368888"/>
      <w:bookmarkEnd w:id="638"/>
      <w:r>
        <w:rPr>
          <w:rFonts w:hint="default" w:ascii="Times New Roman" w:hAnsi="Times New Roman" w:eastAsia="宋体" w:cs="Times New Roman"/>
          <w:color w:val="auto"/>
          <w:spacing w:val="0"/>
          <w:w w:val="100"/>
          <w:kern w:val="0"/>
          <w:position w:val="0"/>
          <w:sz w:val="24"/>
          <w:szCs w:val="22"/>
          <w:highlight w:val="none"/>
        </w:rPr>
        <w:t>(3)监测频率、内容及要求</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监测频率、内容及要求见表3.2-3。</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表3.2-3   监测频率、内容及要求</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1366"/>
        <w:gridCol w:w="4112"/>
        <w:gridCol w:w="2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检测项目</w:t>
            </w:r>
          </w:p>
        </w:tc>
        <w:tc>
          <w:tcPr>
            <w:tcW w:w="1366"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监测时段</w:t>
            </w:r>
          </w:p>
        </w:tc>
        <w:tc>
          <w:tcPr>
            <w:tcW w:w="4112" w:type="dxa"/>
            <w:tcBorders>
              <w:tl2br w:val="nil"/>
              <w:tr2bl w:val="nil"/>
            </w:tcBorders>
            <w:noWrap w:val="0"/>
            <w:vAlign w:val="center"/>
          </w:tcPr>
          <w:p>
            <w:pPr>
              <w:adjustRightInd w:val="0"/>
              <w:snapToGrid w:val="0"/>
              <w:ind w:firstLine="48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检测频次</w:t>
            </w:r>
          </w:p>
        </w:tc>
        <w:tc>
          <w:tcPr>
            <w:tcW w:w="221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采样时间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118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p>
        </w:tc>
        <w:tc>
          <w:tcPr>
            <w:tcW w:w="136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2021</w:t>
            </w:r>
            <w:r>
              <w:rPr>
                <w:rFonts w:hint="default" w:ascii="Times New Roman" w:hAnsi="Times New Roman" w:eastAsia="宋体" w:cs="Times New Roman"/>
                <w:color w:val="auto"/>
                <w:spacing w:val="0"/>
                <w:w w:val="100"/>
                <w:kern w:val="0"/>
                <w:position w:val="0"/>
                <w:szCs w:val="21"/>
                <w:highlight w:val="none"/>
              </w:rPr>
              <w:t>年</w:t>
            </w:r>
            <w:r>
              <w:rPr>
                <w:rFonts w:hint="eastAsia" w:ascii="Times New Roman" w:hAnsi="Times New Roman" w:cs="Times New Roman"/>
                <w:color w:val="auto"/>
                <w:spacing w:val="0"/>
                <w:w w:val="100"/>
                <w:kern w:val="0"/>
                <w:position w:val="0"/>
                <w:szCs w:val="21"/>
                <w:highlight w:val="none"/>
                <w:lang w:val="en-US" w:eastAsia="zh-CN"/>
              </w:rPr>
              <w:t>12</w:t>
            </w:r>
            <w:r>
              <w:rPr>
                <w:rFonts w:hint="default" w:ascii="Times New Roman" w:hAnsi="Times New Roman" w:eastAsia="宋体" w:cs="Times New Roman"/>
                <w:color w:val="auto"/>
                <w:spacing w:val="0"/>
                <w:w w:val="100"/>
                <w:kern w:val="0"/>
                <w:position w:val="0"/>
                <w:szCs w:val="21"/>
                <w:highlight w:val="none"/>
              </w:rPr>
              <w:t>月</w:t>
            </w:r>
            <w:r>
              <w:rPr>
                <w:rFonts w:hint="eastAsia" w:ascii="Times New Roman" w:hAnsi="Times New Roman" w:cs="Times New Roman"/>
                <w:color w:val="auto"/>
                <w:spacing w:val="0"/>
                <w:w w:val="100"/>
                <w:kern w:val="0"/>
                <w:position w:val="0"/>
                <w:szCs w:val="21"/>
                <w:highlight w:val="none"/>
                <w:lang w:val="en-US" w:eastAsia="zh-CN"/>
              </w:rPr>
              <w:t>6</w:t>
            </w:r>
            <w:r>
              <w:rPr>
                <w:rFonts w:hint="default" w:ascii="Times New Roman" w:hAnsi="Times New Roman" w:eastAsia="宋体" w:cs="Times New Roman"/>
                <w:color w:val="auto"/>
                <w:spacing w:val="0"/>
                <w:w w:val="100"/>
                <w:kern w:val="0"/>
                <w:position w:val="0"/>
                <w:szCs w:val="21"/>
                <w:highlight w:val="none"/>
              </w:rPr>
              <w:t>日～</w:t>
            </w:r>
            <w:r>
              <w:rPr>
                <w:rFonts w:hint="default" w:ascii="Times New Roman" w:hAnsi="Times New Roman" w:eastAsia="宋体" w:cs="Times New Roman"/>
                <w:color w:val="auto"/>
                <w:spacing w:val="0"/>
                <w:w w:val="100"/>
                <w:kern w:val="0"/>
                <w:position w:val="0"/>
                <w:szCs w:val="21"/>
                <w:highlight w:val="none"/>
                <w:lang w:val="en-US" w:eastAsia="zh-CN"/>
              </w:rPr>
              <w:t>1</w:t>
            </w:r>
            <w:r>
              <w:rPr>
                <w:rFonts w:hint="eastAsia" w:ascii="Times New Roman" w:hAnsi="Times New Roman"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月</w:t>
            </w:r>
            <w:r>
              <w:rPr>
                <w:rFonts w:hint="eastAsia" w:ascii="Times New Roman" w:hAnsi="Times New Roman" w:cs="Times New Roman"/>
                <w:color w:val="auto"/>
                <w:spacing w:val="0"/>
                <w:w w:val="100"/>
                <w:kern w:val="0"/>
                <w:position w:val="0"/>
                <w:szCs w:val="21"/>
                <w:highlight w:val="none"/>
                <w:lang w:val="en-US" w:eastAsia="zh-CN"/>
              </w:rPr>
              <w:t>12</w:t>
            </w:r>
            <w:r>
              <w:rPr>
                <w:rFonts w:hint="default" w:ascii="Times New Roman" w:hAnsi="Times New Roman" w:eastAsia="宋体" w:cs="Times New Roman"/>
                <w:color w:val="auto"/>
                <w:spacing w:val="0"/>
                <w:w w:val="100"/>
                <w:kern w:val="0"/>
                <w:position w:val="0"/>
                <w:szCs w:val="21"/>
                <w:highlight w:val="none"/>
              </w:rPr>
              <w:t>日</w:t>
            </w:r>
          </w:p>
        </w:tc>
        <w:tc>
          <w:tcPr>
            <w:tcW w:w="411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连续检测7天，每天采样4次（02、08、14、20时各1次）</w:t>
            </w:r>
          </w:p>
        </w:tc>
        <w:tc>
          <w:tcPr>
            <w:tcW w:w="2211"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每次连续采样1h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118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H</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S</w:t>
            </w:r>
          </w:p>
        </w:tc>
        <w:tc>
          <w:tcPr>
            <w:tcW w:w="13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411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连续检测7天，每天采样4次（02、08、14、20时各1次）</w:t>
            </w:r>
          </w:p>
        </w:tc>
        <w:tc>
          <w:tcPr>
            <w:tcW w:w="2211"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每次连续采样1h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18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臭气浓度</w:t>
            </w:r>
          </w:p>
        </w:tc>
        <w:tc>
          <w:tcPr>
            <w:tcW w:w="13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411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连续检测7天，每天采样4次（02、08、14、20时各1次）</w:t>
            </w:r>
          </w:p>
        </w:tc>
        <w:tc>
          <w:tcPr>
            <w:tcW w:w="2211" w:type="dxa"/>
            <w:tcBorders>
              <w:tl2br w:val="nil"/>
              <w:tr2bl w:val="nil"/>
            </w:tcBorders>
            <w:noWrap w:val="0"/>
            <w:vAlign w:val="center"/>
          </w:tcPr>
          <w:p>
            <w:pPr>
              <w:jc w:val="center"/>
              <w:rPr>
                <w:rFonts w:hint="eastAsia"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18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TSP</w:t>
            </w:r>
          </w:p>
        </w:tc>
        <w:tc>
          <w:tcPr>
            <w:tcW w:w="13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411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连续监测七天</w:t>
            </w:r>
          </w:p>
        </w:tc>
        <w:tc>
          <w:tcPr>
            <w:tcW w:w="2211"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连续采样24h</w:t>
            </w:r>
          </w:p>
        </w:tc>
      </w:tr>
    </w:tbl>
    <w:p>
      <w:pPr>
        <w:adjustRightInd w:val="0"/>
        <w:snapToGrid w:val="0"/>
        <w:spacing w:before="156" w:beforeLines="5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(4)监测分析方法</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4"/>
          <w:szCs w:val="32"/>
          <w:highlight w:val="none"/>
        </w:rPr>
        <w:t>监测及分析方法依照《环境监测分析方法》及《空气和废气监测分析方法》（第四版）中的相关方法进行，具体见表3.2-4。</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表3.2-4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环境空气现状监测项目及分析方法一览表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613"/>
        <w:gridCol w:w="2856"/>
        <w:gridCol w:w="2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587"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mc:AlternateContent>
                <mc:Choice Requires="wps">
                  <w:drawing>
                    <wp:anchor distT="0" distB="0" distL="114300" distR="114300" simplePos="0" relativeHeight="251661312" behindDoc="0" locked="0" layoutInCell="0" allowOverlap="1">
                      <wp:simplePos x="0" y="0"/>
                      <wp:positionH relativeFrom="column">
                        <wp:posOffset>2971800</wp:posOffset>
                      </wp:positionH>
                      <wp:positionV relativeFrom="paragraph">
                        <wp:posOffset>44450</wp:posOffset>
                      </wp:positionV>
                      <wp:extent cx="635" cy="0"/>
                      <wp:effectExtent l="0" t="0" r="0" b="0"/>
                      <wp:wrapNone/>
                      <wp:docPr id="44" name="直接连接符 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4pt;margin-top:3.5pt;height:0pt;width:0.05pt;z-index:251661312;mso-width-relative:page;mso-height-relative:page;" filled="f" stroked="t" coordsize="21600,21600" o:allowincell="f" o:gfxdata="UEsDBAoAAAAAAIdO4kAAAAAAAAAAAAAAAAAEAAAAZHJzL1BLAwQUAAAACACHTuJA7gs2jtQAAAAH&#10;AQAADwAAAGRycy9kb3ducmV2LnhtbE2PTU/DMAyG70j8h8hIXKYt6UDbVJruAPTGhQ3E1WtMW9E4&#10;XZN9wK/HcIGT9ei1Xj8u1mffqyONsQtsIZsZUMR1cB03Fl621XQFKiZkh31gsvBJEdbl5UWBuQsn&#10;fqbjJjVKSjjmaKFNaci1jnVLHuMsDMSSvYfRYxIcG+1GPEm57/XcmIX22LFcaHGg+5bqj83BW4jV&#10;K+2rr0k9MW83TaD5/uHpEa29vsrMHahE5/S3DD/6og6lOO3CgV1UvYXbxUp+SRaWMiQXzkDtflmX&#10;hf7vX34DUEsDBBQAAAAIAIdO4kB+7J5/7wEAAOQDAAAOAAAAZHJzL2Uyb0RvYy54bWytU81uEzEQ&#10;viPxDpbvZNPQVnSVTQ8N5YIgEvAAE9ubteQ/edxs8hK8ABI3OHHkztu0PAZj7zYt5ZIDe/COZ8bf&#10;zPd5PL/cWcO2KqL2ruEnkylnygkvtds0/NPH6xevOMMEToLxTjV8r5BfLp4/m/ehVjPfeSNVZATi&#10;sO5Dw7uUQl1VKDplASc+KEfB1kcLibZxU8kIPaFbU82m0/Oq91GG6IVCJO9yCPIRMR4D6NtWC7X0&#10;4sYqlwbUqAwkooSdDsgXpdu2VSK9b1tUiZmGE9NUVipC9jqv1WIO9SZC6LQYW4BjWnjCyYJ2VPQA&#10;tYQE7Cbqf6CsFtGjb9NEeFsNRIoixOJk+kSbDx0EVbiQ1BgOouP/gxXvtqvItGz46SlnDizd+N2X&#10;n7efv/3+9ZXWux/fGUVIpj5gTdlXbhXHHYZVzJx3bbT5T2zYrki7P0irdokJcp6/PONM3Purh0Mh&#10;YnqjvGXZaLjRLjOGGrZvMVEhSr1PyW7jWN/wi7NZhgMav5aunUwbiAK6TTmL3mh5rY3JJzBu1lcm&#10;si3kEShfpkO4f6XlIkvAbsgroWE4OgXytZMs7QNp4+hN8NyCVZIzo+gJZYsAoU6gzTGZVNq4fECV&#10;AR15Zn0HRbO19nJfhK7yji6/dDwOap6ux3uyHz/O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CzaO1AAAAAcBAAAPAAAAAAAAAAEAIAAAACIAAABkcnMvZG93bnJldi54bWxQSwECFAAUAAAACACH&#10;TuJAfuyef+8BAADkAwAADgAAAAAAAAABACAAAAAjAQAAZHJzL2Uyb0RvYy54bWxQSwUGAAAAAAYA&#10;BgBZAQAAhAUAAAAA&#10;">
                      <v:fill on="f" focussize="0,0"/>
                      <v:stroke color="#000000" joinstyle="round"/>
                      <v:imagedata o:title=""/>
                      <o:lock v:ext="edit" aspectratio="f"/>
                    </v:line>
                  </w:pict>
                </mc:Fallback>
              </mc:AlternateContent>
            </w:r>
            <w:r>
              <w:rPr>
                <w:rFonts w:hint="default" w:ascii="Times New Roman" w:hAnsi="Times New Roman" w:eastAsia="宋体" w:cs="Times New Roman"/>
                <w:b/>
                <w:color w:val="auto"/>
                <w:spacing w:val="0"/>
                <w:w w:val="100"/>
                <w:kern w:val="0"/>
                <w:position w:val="0"/>
                <w:szCs w:val="21"/>
                <w:highlight w:val="none"/>
              </w:rPr>
              <w:t>检测项目</w:t>
            </w:r>
          </w:p>
        </w:tc>
        <w:tc>
          <w:tcPr>
            <w:tcW w:w="161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采样方法</w:t>
            </w:r>
          </w:p>
        </w:tc>
        <w:tc>
          <w:tcPr>
            <w:tcW w:w="2856" w:type="dxa"/>
            <w:tcBorders>
              <w:tl2br w:val="nil"/>
              <w:tr2bl w:val="nil"/>
            </w:tcBorders>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分析方法及方法来源</w:t>
            </w:r>
          </w:p>
        </w:tc>
        <w:tc>
          <w:tcPr>
            <w:tcW w:w="2862" w:type="dxa"/>
            <w:tcBorders>
              <w:tl2br w:val="nil"/>
              <w:tr2bl w:val="nil"/>
            </w:tcBorders>
            <w:noWrap w:val="0"/>
            <w:vAlign w:val="center"/>
          </w:tcPr>
          <w:p>
            <w:pPr>
              <w:spacing w:line="320" w:lineRule="exact"/>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方法检出限（</w:t>
            </w:r>
            <w:r>
              <w:rPr>
                <w:rFonts w:hint="default" w:ascii="Times New Roman" w:hAnsi="Times New Roman" w:eastAsia="宋体" w:cs="Times New Roman"/>
                <w:b/>
                <w:bCs/>
                <w:color w:val="auto"/>
                <w:spacing w:val="0"/>
                <w:w w:val="100"/>
                <w:kern w:val="0"/>
                <w:position w:val="0"/>
                <w:szCs w:val="21"/>
                <w:highlight w:val="none"/>
              </w:rPr>
              <w:t>mg/m</w:t>
            </w:r>
            <w:r>
              <w:rPr>
                <w:rFonts w:hint="default" w:ascii="Times New Roman" w:hAnsi="Times New Roman" w:eastAsia="宋体" w:cs="Times New Roman"/>
                <w:b/>
                <w:bCs/>
                <w:color w:val="auto"/>
                <w:spacing w:val="0"/>
                <w:w w:val="100"/>
                <w:kern w:val="0"/>
                <w:position w:val="0"/>
                <w:szCs w:val="21"/>
                <w:highlight w:val="none"/>
                <w:vertAlign w:val="superscript"/>
              </w:rPr>
              <w:t>3</w:t>
            </w:r>
            <w:r>
              <w:rPr>
                <w:rFonts w:hint="default" w:ascii="Times New Roman" w:hAnsi="Times New Roman" w:eastAsia="宋体" w:cs="Times New Roman"/>
                <w:b/>
                <w:bCs/>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587"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NH</w:t>
            </w:r>
            <w:r>
              <w:rPr>
                <w:rFonts w:hint="default" w:ascii="Times New Roman" w:hAnsi="Times New Roman" w:eastAsia="宋体" w:cs="Times New Roman"/>
                <w:color w:val="auto"/>
                <w:spacing w:val="0"/>
                <w:w w:val="100"/>
                <w:kern w:val="0"/>
                <w:position w:val="0"/>
                <w:szCs w:val="21"/>
                <w:highlight w:val="none"/>
                <w:vertAlign w:val="subscript"/>
              </w:rPr>
              <w:t>3</w:t>
            </w:r>
          </w:p>
        </w:tc>
        <w:tc>
          <w:tcPr>
            <w:tcW w:w="1613" w:type="dxa"/>
            <w:tcBorders>
              <w:tl2br w:val="nil"/>
              <w:tr2bl w:val="nil"/>
            </w:tcBorders>
            <w:noWrap w:val="0"/>
            <w:vAlign w:val="center"/>
          </w:tcPr>
          <w:p>
            <w:pPr>
              <w:pStyle w:val="20"/>
              <w:widowControl w:val="0"/>
              <w:spacing w:after="0"/>
              <w:ind w:left="0" w:leftChars="0"/>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rPr>
              <w:t>溶液吸收</w:t>
            </w:r>
          </w:p>
        </w:tc>
        <w:tc>
          <w:tcPr>
            <w:tcW w:w="28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rPr>
              <w:t>《环境空气和废气 氨的测定 纳氏试剂分光光度法》（HJ533-2009）</w:t>
            </w:r>
          </w:p>
        </w:tc>
        <w:tc>
          <w:tcPr>
            <w:tcW w:w="286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587"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H</w:t>
            </w:r>
            <w:r>
              <w:rPr>
                <w:rFonts w:hint="default" w:ascii="Times New Roman" w:hAnsi="Times New Roman" w:eastAsia="宋体" w:cs="Times New Roman"/>
                <w:color w:val="auto"/>
                <w:spacing w:val="0"/>
                <w:w w:val="100"/>
                <w:kern w:val="0"/>
                <w:position w:val="0"/>
                <w:szCs w:val="21"/>
                <w:highlight w:val="none"/>
                <w:vertAlign w:val="subscript"/>
              </w:rPr>
              <w:t>2</w:t>
            </w:r>
            <w:r>
              <w:rPr>
                <w:rFonts w:hint="default" w:ascii="Times New Roman" w:hAnsi="Times New Roman" w:eastAsia="宋体" w:cs="Times New Roman"/>
                <w:color w:val="auto"/>
                <w:spacing w:val="0"/>
                <w:w w:val="100"/>
                <w:kern w:val="0"/>
                <w:position w:val="0"/>
                <w:szCs w:val="21"/>
                <w:highlight w:val="none"/>
              </w:rPr>
              <w:t>S</w:t>
            </w:r>
          </w:p>
        </w:tc>
        <w:tc>
          <w:tcPr>
            <w:tcW w:w="1613" w:type="dxa"/>
            <w:tcBorders>
              <w:tl2br w:val="nil"/>
              <w:tr2bl w:val="nil"/>
            </w:tcBorders>
            <w:noWrap w:val="0"/>
            <w:vAlign w:val="center"/>
          </w:tcPr>
          <w:p>
            <w:pPr>
              <w:pStyle w:val="20"/>
              <w:widowControl w:val="0"/>
              <w:spacing w:after="0"/>
              <w:ind w:left="0" w:leftChars="0"/>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rPr>
              <w:t>溶液吸收</w:t>
            </w:r>
          </w:p>
        </w:tc>
        <w:tc>
          <w:tcPr>
            <w:tcW w:w="28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rPr>
              <w:t>亚甲基蓝分光光度法《空气与废气检测分析方法》（第四版增补版）</w:t>
            </w:r>
          </w:p>
        </w:tc>
        <w:tc>
          <w:tcPr>
            <w:tcW w:w="2862" w:type="dxa"/>
            <w:tcBorders>
              <w:tl2br w:val="nil"/>
              <w:tr2bl w:val="nil"/>
            </w:tcBorders>
            <w:noWrap w:val="0"/>
            <w:vAlign w:val="center"/>
          </w:tcPr>
          <w:p>
            <w:pPr>
              <w:widowControl w:val="0"/>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87"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臭气浓度</w:t>
            </w:r>
          </w:p>
        </w:tc>
        <w:tc>
          <w:tcPr>
            <w:tcW w:w="1613" w:type="dxa"/>
            <w:tcBorders>
              <w:tl2br w:val="nil"/>
              <w:tr2bl w:val="nil"/>
            </w:tcBorders>
            <w:noWrap w:val="0"/>
            <w:vAlign w:val="center"/>
          </w:tcPr>
          <w:p>
            <w:pPr>
              <w:pStyle w:val="20"/>
              <w:widowControl w:val="0"/>
              <w:spacing w:after="0"/>
              <w:ind w:left="0" w:left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气袋采样</w:t>
            </w:r>
          </w:p>
        </w:tc>
        <w:tc>
          <w:tcPr>
            <w:tcW w:w="28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eastAsia="宋体" w:cs="Times New Roman"/>
                <w:color w:val="auto"/>
                <w:spacing w:val="0"/>
                <w:w w:val="100"/>
                <w:kern w:val="0"/>
                <w:position w:val="0"/>
                <w:szCs w:val="21"/>
                <w:highlight w:val="none"/>
              </w:rPr>
              <w:t>《空气质量 恶臭的测定 三点比较式臭袋法》（GB/T 14675-93）</w:t>
            </w:r>
          </w:p>
        </w:tc>
        <w:tc>
          <w:tcPr>
            <w:tcW w:w="286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587"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TSP</w:t>
            </w:r>
          </w:p>
        </w:tc>
        <w:tc>
          <w:tcPr>
            <w:tcW w:w="1613" w:type="dxa"/>
            <w:tcBorders>
              <w:tl2br w:val="nil"/>
              <w:tr2bl w:val="nil"/>
            </w:tcBorders>
            <w:noWrap w:val="0"/>
            <w:vAlign w:val="center"/>
          </w:tcPr>
          <w:p>
            <w:pPr>
              <w:pStyle w:val="20"/>
              <w:widowControl w:val="0"/>
              <w:spacing w:after="0"/>
              <w:ind w:left="0" w:left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bidi="ar"/>
              </w:rPr>
              <w:t>滤膜阻隔</w:t>
            </w:r>
          </w:p>
        </w:tc>
        <w:tc>
          <w:tcPr>
            <w:tcW w:w="28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eastAsia="宋体" w:cs="Times New Roman"/>
                <w:color w:val="auto"/>
                <w:spacing w:val="0"/>
                <w:w w:val="100"/>
                <w:kern w:val="0"/>
                <w:position w:val="0"/>
                <w:szCs w:val="21"/>
                <w:highlight w:val="none"/>
              </w:rPr>
              <w:t>《环境空气 总悬浮颗粒物的测定 重量法》GB/T15432-1995</w:t>
            </w:r>
          </w:p>
        </w:tc>
        <w:tc>
          <w:tcPr>
            <w:tcW w:w="2862"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bidi="ar"/>
              </w:rPr>
              <w:t>0.001</w:t>
            </w:r>
          </w:p>
        </w:tc>
      </w:tr>
    </w:tbl>
    <w:p>
      <w:pPr>
        <w:adjustRightInd w:val="0"/>
        <w:snapToGrid w:val="0"/>
        <w:spacing w:before="156" w:beforeLines="50"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(5)监测结果统计</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本次环境空气质量现状</w:t>
      </w:r>
      <w:r>
        <w:rPr>
          <w:rFonts w:hint="eastAsia" w:ascii="Times New Roman" w:hAnsi="Times New Roman" w:cs="Times New Roman"/>
          <w:color w:val="auto"/>
          <w:spacing w:val="0"/>
          <w:w w:val="100"/>
          <w:kern w:val="0"/>
          <w:position w:val="0"/>
          <w:sz w:val="24"/>
          <w:szCs w:val="22"/>
          <w:highlight w:val="none"/>
          <w:lang w:eastAsia="zh-CN"/>
        </w:rPr>
        <w:t>检测结果具体见附件，</w:t>
      </w:r>
      <w:r>
        <w:rPr>
          <w:rFonts w:hint="default" w:ascii="Times New Roman" w:hAnsi="Times New Roman" w:eastAsia="宋体" w:cs="Times New Roman"/>
          <w:color w:val="auto"/>
          <w:spacing w:val="0"/>
          <w:w w:val="100"/>
          <w:kern w:val="0"/>
          <w:position w:val="0"/>
          <w:sz w:val="24"/>
          <w:szCs w:val="22"/>
          <w:highlight w:val="none"/>
        </w:rPr>
        <w:t>环境空气质量现状评价采用超标率和占标率说明污染物的超标程度和超标频率，公式如下。</w:t>
      </w:r>
    </w:p>
    <w:p>
      <w:pPr>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占标率：P</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 xml:space="preserve"> = C</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 xml:space="preserve"> /Cs</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w:t>
      </w:r>
      <w:r>
        <w:rPr>
          <w:rFonts w:hint="default" w:ascii="Times New Roman" w:hAnsi="Times New Roman" w:eastAsia="宋体" w:cs="Times New Roman"/>
          <w:color w:val="auto"/>
          <w:spacing w:val="0"/>
          <w:w w:val="100"/>
          <w:kern w:val="0"/>
          <w:position w:val="0"/>
          <w:sz w:val="24"/>
          <w:szCs w:val="22"/>
          <w:highlight w:val="none"/>
          <w:lang w:val="en-US" w:eastAsia="zh-CN"/>
        </w:rPr>
        <w:t>100</w:t>
      </w:r>
      <w:r>
        <w:rPr>
          <w:rFonts w:hint="default" w:ascii="Times New Roman" w:hAnsi="Times New Roman" w:eastAsia="宋体" w:cs="Times New Roman"/>
          <w:color w:val="auto"/>
          <w:spacing w:val="0"/>
          <w:w w:val="100"/>
          <w:kern w:val="0"/>
          <w:position w:val="0"/>
          <w:sz w:val="24"/>
          <w:szCs w:val="22"/>
          <w:highlight w:val="none"/>
        </w:rPr>
        <w:t>%</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式中：</w:t>
      </w:r>
    </w:p>
    <w:p>
      <w:pPr>
        <w:spacing w:line="360" w:lineRule="auto"/>
        <w:ind w:firstLine="960" w:firstLineChars="4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P</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——第i种污染物的最大浓度占标率，%；</w:t>
      </w:r>
    </w:p>
    <w:p>
      <w:pPr>
        <w:spacing w:line="360" w:lineRule="auto"/>
        <w:ind w:firstLine="960" w:firstLineChars="4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C</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——第i种污染物的实测最大浓度，mg/m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w:t>
      </w:r>
    </w:p>
    <w:p>
      <w:pPr>
        <w:spacing w:line="360" w:lineRule="auto"/>
        <w:ind w:firstLine="960" w:firstLineChars="4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Cs</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——第i种污染物的评价标准，mg/m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w:t>
      </w:r>
    </w:p>
    <w:p>
      <w:pPr>
        <w:spacing w:line="360" w:lineRule="auto"/>
        <w:ind w:firstLine="960" w:firstLineChars="4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超标频率：f</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=n'/n×100%</w:t>
      </w:r>
    </w:p>
    <w:p>
      <w:pPr>
        <w:spacing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式中：</w:t>
      </w:r>
    </w:p>
    <w:p>
      <w:pPr>
        <w:spacing w:line="360" w:lineRule="auto"/>
        <w:ind w:firstLine="960" w:firstLineChars="4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f</w:t>
      </w:r>
      <w:r>
        <w:rPr>
          <w:rFonts w:hint="default" w:ascii="Times New Roman" w:hAnsi="Times New Roman" w:eastAsia="宋体" w:cs="Times New Roman"/>
          <w:color w:val="auto"/>
          <w:spacing w:val="0"/>
          <w:w w:val="100"/>
          <w:kern w:val="0"/>
          <w:position w:val="0"/>
          <w:sz w:val="24"/>
          <w:szCs w:val="22"/>
          <w:highlight w:val="none"/>
          <w:vertAlign w:val="subscript"/>
        </w:rPr>
        <w:t>i</w:t>
      </w:r>
      <w:r>
        <w:rPr>
          <w:rFonts w:hint="default" w:ascii="Times New Roman" w:hAnsi="Times New Roman" w:eastAsia="宋体" w:cs="Times New Roman"/>
          <w:color w:val="auto"/>
          <w:spacing w:val="0"/>
          <w:w w:val="100"/>
          <w:kern w:val="0"/>
          <w:position w:val="0"/>
          <w:sz w:val="24"/>
          <w:szCs w:val="22"/>
          <w:highlight w:val="none"/>
        </w:rPr>
        <w:t>——为超标率，%；</w:t>
      </w:r>
    </w:p>
    <w:p>
      <w:pPr>
        <w:spacing w:line="360" w:lineRule="auto"/>
        <w:ind w:firstLine="960" w:firstLineChars="4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n'——超标样本数，个；</w:t>
      </w:r>
    </w:p>
    <w:p>
      <w:pPr>
        <w:pStyle w:val="52"/>
        <w:adjustRightInd/>
        <w:ind w:firstLine="900" w:firstLineChars="375"/>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n——总样本数，个。</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本项目大气环境质量现状检测结果分析表见表3.2-5。</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表3.2-5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补充大气环境质量现状监测结果统计表</w:t>
      </w:r>
    </w:p>
    <w:tbl>
      <w:tblPr>
        <w:tblStyle w:val="25"/>
        <w:tblW w:w="88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2"/>
        <w:gridCol w:w="1546"/>
        <w:gridCol w:w="1951"/>
        <w:gridCol w:w="1320"/>
        <w:gridCol w:w="900"/>
        <w:gridCol w:w="873"/>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污染物</w:t>
            </w:r>
          </w:p>
        </w:tc>
        <w:tc>
          <w:tcPr>
            <w:tcW w:w="15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采样点</w:t>
            </w:r>
          </w:p>
        </w:tc>
        <w:tc>
          <w:tcPr>
            <w:tcW w:w="1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浓度范围</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标准值</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超标数</w:t>
            </w:r>
          </w:p>
        </w:tc>
        <w:tc>
          <w:tcPr>
            <w:tcW w:w="8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超标率</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最大超标倍数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p>
        </w:tc>
        <w:tc>
          <w:tcPr>
            <w:tcW w:w="15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1小时平均值</w:t>
            </w:r>
          </w:p>
        </w:tc>
        <w:tc>
          <w:tcPr>
            <w:tcW w:w="1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0.0</w:t>
            </w:r>
            <w:r>
              <w:rPr>
                <w:rFonts w:hint="eastAsia" w:ascii="Times New Roman" w:hAnsi="Times New Roman" w:cs="Times New Roman"/>
                <w:b w:val="0"/>
                <w:bCs/>
                <w:color w:val="auto"/>
                <w:spacing w:val="0"/>
                <w:w w:val="100"/>
                <w:kern w:val="0"/>
                <w:position w:val="0"/>
                <w:sz w:val="21"/>
                <w:szCs w:val="21"/>
                <w:highlight w:val="none"/>
                <w:lang w:val="en-US" w:eastAsia="zh-CN"/>
              </w:rPr>
              <w:t>6</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r>
              <w:rPr>
                <w:rFonts w:hint="default" w:ascii="Times New Roman" w:hAnsi="Times New Roman" w:eastAsia="宋体" w:cs="Times New Roman"/>
                <w:b w:val="0"/>
                <w:bCs/>
                <w:color w:val="auto"/>
                <w:spacing w:val="0"/>
                <w:w w:val="100"/>
                <w:kern w:val="0"/>
                <w:position w:val="0"/>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0.0</w:t>
            </w:r>
            <w:r>
              <w:rPr>
                <w:rFonts w:hint="eastAsia" w:ascii="Times New Roman" w:hAnsi="Times New Roman" w:cs="Times New Roman"/>
                <w:b w:val="0"/>
                <w:bCs/>
                <w:color w:val="auto"/>
                <w:spacing w:val="0"/>
                <w:w w:val="100"/>
                <w:kern w:val="0"/>
                <w:position w:val="0"/>
                <w:sz w:val="21"/>
                <w:szCs w:val="21"/>
                <w:highlight w:val="none"/>
                <w:lang w:val="en-US" w:eastAsia="zh-CN"/>
              </w:rPr>
              <w:t>9</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0.20mg/m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8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15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1小时平均值</w:t>
            </w:r>
          </w:p>
        </w:tc>
        <w:tc>
          <w:tcPr>
            <w:tcW w:w="1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0.00</w:t>
            </w:r>
            <w:r>
              <w:rPr>
                <w:rFonts w:hint="eastAsia" w:ascii="Times New Roman" w:hAnsi="Times New Roman" w:cs="Times New Roman"/>
                <w:b w:val="0"/>
                <w:bCs/>
                <w:color w:val="auto"/>
                <w:spacing w:val="0"/>
                <w:w w:val="100"/>
                <w:kern w:val="0"/>
                <w:position w:val="0"/>
                <w:sz w:val="21"/>
                <w:szCs w:val="21"/>
                <w:highlight w:val="none"/>
                <w:lang w:val="en-US" w:eastAsia="zh-CN"/>
              </w:rPr>
              <w:t>3</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r>
              <w:rPr>
                <w:rFonts w:hint="default" w:ascii="Times New Roman" w:hAnsi="Times New Roman" w:eastAsia="宋体" w:cs="Times New Roman"/>
                <w:b w:val="0"/>
                <w:bCs/>
                <w:color w:val="auto"/>
                <w:spacing w:val="0"/>
                <w:w w:val="100"/>
                <w:kern w:val="0"/>
                <w:position w:val="0"/>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0.00</w:t>
            </w:r>
            <w:r>
              <w:rPr>
                <w:rFonts w:hint="eastAsia" w:ascii="Times New Roman" w:hAnsi="Times New Roman" w:cs="Times New Roman"/>
                <w:b w:val="0"/>
                <w:bCs/>
                <w:color w:val="auto"/>
                <w:spacing w:val="0"/>
                <w:w w:val="100"/>
                <w:kern w:val="0"/>
                <w:position w:val="0"/>
                <w:sz w:val="21"/>
                <w:szCs w:val="21"/>
                <w:highlight w:val="none"/>
                <w:lang w:val="en-US" w:eastAsia="zh-CN"/>
              </w:rPr>
              <w:t>5</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0.01mg/m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8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臭气浓度</w:t>
            </w:r>
          </w:p>
        </w:tc>
        <w:tc>
          <w:tcPr>
            <w:tcW w:w="15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1小时平均值</w:t>
            </w:r>
          </w:p>
        </w:tc>
        <w:tc>
          <w:tcPr>
            <w:tcW w:w="1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rPr>
              <w:t>&lt;</w:t>
            </w:r>
            <w:r>
              <w:rPr>
                <w:rFonts w:hint="default" w:ascii="Times New Roman" w:hAnsi="Times New Roman" w:eastAsia="宋体" w:cs="Times New Roman"/>
                <w:b w:val="0"/>
                <w:bCs/>
                <w:color w:val="auto"/>
                <w:spacing w:val="0"/>
                <w:w w:val="100"/>
                <w:kern w:val="0"/>
                <w:position w:val="0"/>
                <w:sz w:val="21"/>
                <w:szCs w:val="21"/>
                <w:highlight w:val="none"/>
                <w:lang w:val="en-US" w:eastAsia="zh-CN"/>
              </w:rPr>
              <w:t>10</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8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TSP</w:t>
            </w:r>
          </w:p>
        </w:tc>
        <w:tc>
          <w:tcPr>
            <w:tcW w:w="15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24小时平均值</w:t>
            </w:r>
          </w:p>
        </w:tc>
        <w:tc>
          <w:tcPr>
            <w:tcW w:w="1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0.</w:t>
            </w:r>
            <w:r>
              <w:rPr>
                <w:rFonts w:hint="eastAsia" w:ascii="Times New Roman" w:hAnsi="Times New Roman" w:cs="Times New Roman"/>
                <w:b w:val="0"/>
                <w:bCs/>
                <w:color w:val="auto"/>
                <w:spacing w:val="0"/>
                <w:w w:val="100"/>
                <w:kern w:val="0"/>
                <w:position w:val="0"/>
                <w:sz w:val="21"/>
                <w:szCs w:val="21"/>
                <w:highlight w:val="none"/>
                <w:lang w:val="en-US" w:eastAsia="zh-CN"/>
              </w:rPr>
              <w:t>048</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r>
              <w:rPr>
                <w:rFonts w:hint="default" w:ascii="Times New Roman" w:hAnsi="Times New Roman" w:eastAsia="宋体" w:cs="Times New Roman"/>
                <w:b w:val="0"/>
                <w:bCs/>
                <w:color w:val="auto"/>
                <w:spacing w:val="0"/>
                <w:w w:val="100"/>
                <w:kern w:val="0"/>
                <w:position w:val="0"/>
                <w:sz w:val="21"/>
                <w:szCs w:val="21"/>
                <w:highlight w:val="none"/>
                <w:lang w:val="en-US" w:eastAsia="zh-CN"/>
              </w:rPr>
              <w:t>~0.</w:t>
            </w:r>
            <w:r>
              <w:rPr>
                <w:rFonts w:hint="eastAsia" w:ascii="Times New Roman" w:hAnsi="Times New Roman" w:cs="Times New Roman"/>
                <w:b w:val="0"/>
                <w:bCs/>
                <w:color w:val="auto"/>
                <w:spacing w:val="0"/>
                <w:w w:val="100"/>
                <w:kern w:val="0"/>
                <w:position w:val="0"/>
                <w:sz w:val="21"/>
                <w:szCs w:val="21"/>
                <w:highlight w:val="none"/>
                <w:lang w:val="en-US" w:eastAsia="zh-CN"/>
              </w:rPr>
              <w:t>082</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lang w:val="en-US" w:eastAsia="zh-CN" w:bidi="ar"/>
              </w:rPr>
              <w:t>0.3</w:t>
            </w:r>
            <w:r>
              <w:rPr>
                <w:rFonts w:hint="default" w:ascii="Times New Roman" w:hAnsi="Times New Roman" w:eastAsia="宋体" w:cs="Times New Roman"/>
                <w:b w:val="0"/>
                <w:bCs/>
                <w:color w:val="auto"/>
                <w:spacing w:val="0"/>
                <w:w w:val="100"/>
                <w:kern w:val="0"/>
                <w:position w:val="0"/>
                <w:sz w:val="21"/>
                <w:szCs w:val="21"/>
                <w:highlight w:val="none"/>
              </w:rPr>
              <w:t>mg/m</w:t>
            </w:r>
            <w:r>
              <w:rPr>
                <w:rFonts w:hint="default" w:ascii="Times New Roman" w:hAnsi="Times New Roman" w:eastAsia="宋体" w:cs="Times New Roman"/>
                <w:b w:val="0"/>
                <w:bCs/>
                <w:color w:val="auto"/>
                <w:spacing w:val="0"/>
                <w:w w:val="100"/>
                <w:kern w:val="0"/>
                <w:position w:val="0"/>
                <w:sz w:val="21"/>
                <w:szCs w:val="21"/>
                <w:highlight w:val="none"/>
                <w:vertAlign w:val="superscript"/>
              </w:rPr>
              <w:t>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bidi="ar"/>
              </w:rPr>
              <w:t>0</w:t>
            </w:r>
          </w:p>
        </w:tc>
        <w:tc>
          <w:tcPr>
            <w:tcW w:w="8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bidi="ar"/>
              </w:rPr>
              <w:t>0</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rPr>
        <w:t>由表</w:t>
      </w:r>
      <w:r>
        <w:rPr>
          <w:rFonts w:hint="default" w:ascii="Times New Roman" w:hAnsi="Times New Roman" w:eastAsia="宋体" w:cs="Times New Roman"/>
          <w:color w:val="auto"/>
          <w:spacing w:val="0"/>
          <w:w w:val="100"/>
          <w:kern w:val="0"/>
          <w:position w:val="0"/>
          <w:sz w:val="24"/>
          <w:szCs w:val="24"/>
          <w:highlight w:val="none"/>
          <w:lang w:val="en-US" w:eastAsia="zh-CN"/>
        </w:rPr>
        <w:t>3.2-5</w:t>
      </w:r>
      <w:r>
        <w:rPr>
          <w:rFonts w:hint="default" w:ascii="Times New Roman" w:hAnsi="Times New Roman" w:eastAsia="宋体" w:cs="Times New Roman"/>
          <w:color w:val="auto"/>
          <w:spacing w:val="0"/>
          <w:w w:val="100"/>
          <w:kern w:val="0"/>
          <w:position w:val="0"/>
          <w:sz w:val="24"/>
          <w:szCs w:val="24"/>
          <w:highlight w:val="none"/>
        </w:rPr>
        <w:t>可知，</w:t>
      </w:r>
      <w:r>
        <w:rPr>
          <w:rFonts w:hint="default" w:ascii="Times New Roman" w:hAnsi="Times New Roman" w:eastAsia="宋体" w:cs="Times New Roman"/>
          <w:color w:val="auto"/>
          <w:spacing w:val="0"/>
          <w:w w:val="100"/>
          <w:kern w:val="0"/>
          <w:position w:val="0"/>
          <w:sz w:val="24"/>
          <w:szCs w:val="24"/>
          <w:highlight w:val="none"/>
          <w:lang w:eastAsia="zh-CN"/>
        </w:rPr>
        <w:t>监测</w:t>
      </w:r>
      <w:r>
        <w:rPr>
          <w:rFonts w:hint="default" w:ascii="Times New Roman" w:hAnsi="Times New Roman" w:eastAsia="宋体" w:cs="Times New Roman"/>
          <w:color w:val="auto"/>
          <w:spacing w:val="0"/>
          <w:w w:val="100"/>
          <w:kern w:val="0"/>
          <w:position w:val="0"/>
          <w:sz w:val="24"/>
          <w:szCs w:val="24"/>
          <w:highlight w:val="none"/>
        </w:rPr>
        <w:t>因子中</w:t>
      </w:r>
      <w:r>
        <w:rPr>
          <w:rFonts w:hint="default" w:ascii="Times New Roman" w:hAnsi="Times New Roman" w:eastAsia="宋体" w:cs="Times New Roman"/>
          <w:color w:val="auto"/>
          <w:spacing w:val="0"/>
          <w:w w:val="100"/>
          <w:kern w:val="0"/>
          <w:position w:val="0"/>
          <w:sz w:val="24"/>
          <w:szCs w:val="24"/>
          <w:highlight w:val="none"/>
          <w:lang w:val="en-US" w:eastAsia="zh-CN"/>
        </w:rPr>
        <w:t>TSP</w:t>
      </w:r>
      <w:r>
        <w:rPr>
          <w:rFonts w:hint="default" w:ascii="Times New Roman" w:hAnsi="Times New Roman" w:eastAsia="宋体" w:cs="Times New Roman"/>
          <w:color w:val="auto"/>
          <w:spacing w:val="0"/>
          <w:w w:val="100"/>
          <w:kern w:val="0"/>
          <w:position w:val="0"/>
          <w:sz w:val="24"/>
          <w:szCs w:val="24"/>
          <w:highlight w:val="none"/>
        </w:rPr>
        <w:t>浓度均满足</w:t>
      </w:r>
      <w:r>
        <w:rPr>
          <w:rFonts w:hint="default" w:ascii="Times New Roman" w:hAnsi="Times New Roman" w:eastAsia="宋体" w:cs="Times New Roman"/>
          <w:b w:val="0"/>
          <w:bCs w:val="0"/>
          <w:color w:val="auto"/>
          <w:spacing w:val="0"/>
          <w:w w:val="100"/>
          <w:kern w:val="0"/>
          <w:position w:val="0"/>
          <w:sz w:val="24"/>
          <w:szCs w:val="24"/>
          <w:highlight w:val="none"/>
        </w:rPr>
        <w:t>《环境空气质量标准》（GB3095-2012）中的二级标准</w:t>
      </w:r>
      <w:r>
        <w:rPr>
          <w:rFonts w:hint="default" w:ascii="Times New Roman" w:hAnsi="Times New Roman" w:eastAsia="宋体" w:cs="Times New Roman"/>
          <w:b w:val="0"/>
          <w:bCs w:val="0"/>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w:t>
      </w:r>
      <w:r>
        <w:rPr>
          <w:rFonts w:hint="default" w:ascii="Times New Roman" w:hAnsi="Times New Roman" w:eastAsia="宋体" w:cs="Times New Roman"/>
          <w:color w:val="auto"/>
          <w:spacing w:val="0"/>
          <w:w w:val="100"/>
          <w:kern w:val="0"/>
          <w:position w:val="0"/>
          <w:sz w:val="24"/>
          <w:szCs w:val="24"/>
          <w:highlight w:val="none"/>
          <w:lang w:eastAsia="zh-CN"/>
        </w:rPr>
        <w:t>浓度满足</w:t>
      </w:r>
      <w:r>
        <w:rPr>
          <w:rFonts w:hint="default" w:ascii="Times New Roman" w:hAnsi="Times New Roman" w:eastAsia="宋体" w:cs="Times New Roman"/>
          <w:color w:val="auto"/>
          <w:spacing w:val="0"/>
          <w:w w:val="100"/>
          <w:kern w:val="0"/>
          <w:position w:val="0"/>
          <w:sz w:val="24"/>
          <w:szCs w:val="24"/>
          <w:highlight w:val="none"/>
        </w:rPr>
        <w:t>《环境影响评价技术导则 大气环境》（HJ2.2-2018）中附录D中其他污染物空气质量浓度限值要求</w:t>
      </w:r>
      <w:r>
        <w:rPr>
          <w:rFonts w:hint="default" w:ascii="Times New Roman" w:hAnsi="Times New Roman" w:eastAsia="宋体" w:cs="Times New Roman"/>
          <w:color w:val="auto"/>
          <w:spacing w:val="0"/>
          <w:w w:val="100"/>
          <w:kern w:val="0"/>
          <w:position w:val="0"/>
          <w:sz w:val="24"/>
          <w:szCs w:val="24"/>
          <w:highlight w:val="none"/>
          <w:lang w:eastAsia="zh-CN"/>
        </w:rPr>
        <w:t>；臭气浓度仅作为现状背景值。</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639" w:name="_Toc22749"/>
      <w:bookmarkStart w:id="640" w:name="_Toc10241"/>
      <w:r>
        <w:rPr>
          <w:rFonts w:hint="default" w:ascii="Times New Roman" w:hAnsi="Times New Roman" w:eastAsia="宋体" w:cs="Times New Roman"/>
          <w:snapToGrid w:val="0"/>
          <w:color w:val="auto"/>
          <w:spacing w:val="0"/>
          <w:w w:val="100"/>
          <w:kern w:val="0"/>
          <w:position w:val="0"/>
          <w:sz w:val="28"/>
          <w:szCs w:val="28"/>
          <w:highlight w:val="none"/>
          <w:lang w:val="en-US" w:eastAsia="zh-CN"/>
        </w:rPr>
        <w:t>3.2.2地表水环境质量现状监测与评价</w:t>
      </w:r>
      <w:bookmarkEnd w:id="637"/>
      <w:bookmarkEnd w:id="639"/>
      <w:bookmarkEnd w:id="640"/>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contextualSpacing/>
        <w:jc w:val="both"/>
        <w:textAlignment w:val="auto"/>
        <w:rPr>
          <w:rFonts w:hint="default" w:ascii="Times New Roman" w:hAnsi="Times New Roman" w:eastAsia="宋体" w:cs="Times New Roman"/>
          <w:snapToGrid w:val="0"/>
          <w:color w:val="auto"/>
          <w:spacing w:val="0"/>
          <w:w w:val="100"/>
          <w:kern w:val="0"/>
          <w:position w:val="0"/>
          <w:sz w:val="24"/>
          <w:highlight w:val="none"/>
          <w:lang w:val="sq-AL"/>
        </w:rPr>
      </w:pPr>
      <w:bookmarkStart w:id="641" w:name="_Toc19801"/>
      <w:bookmarkStart w:id="642" w:name="_Toc17958"/>
      <w:r>
        <w:rPr>
          <w:rFonts w:hint="default" w:ascii="Times New Roman" w:hAnsi="Times New Roman" w:eastAsia="宋体" w:cs="Times New Roman"/>
          <w:snapToGrid w:val="0"/>
          <w:color w:val="auto"/>
          <w:spacing w:val="0"/>
          <w:w w:val="100"/>
          <w:kern w:val="0"/>
          <w:position w:val="0"/>
          <w:sz w:val="24"/>
          <w:highlight w:val="none"/>
          <w:lang w:val="sq-AL"/>
        </w:rPr>
        <w:t>本项目所在</w:t>
      </w:r>
      <w:r>
        <w:rPr>
          <w:rFonts w:hint="eastAsia" w:ascii="Times New Roman" w:hAnsi="Times New Roman" w:cs="Times New Roman"/>
          <w:snapToGrid w:val="0"/>
          <w:color w:val="auto"/>
          <w:spacing w:val="0"/>
          <w:w w:val="100"/>
          <w:kern w:val="0"/>
          <w:position w:val="0"/>
          <w:sz w:val="24"/>
          <w:highlight w:val="none"/>
          <w:lang w:val="sq-AL" w:eastAsia="zh-CN"/>
        </w:rPr>
        <w:t>区域主要地表水体为苦水河，本次地表水评价采用吴忠市环境监测站2019年苦水河孙家滩断面的监测数据进行地表水环境质量现状评价。</w:t>
      </w:r>
      <w:r>
        <w:rPr>
          <w:rFonts w:hint="eastAsia" w:ascii="Times New Roman" w:hAnsi="Times New Roman" w:cs="Times New Roman"/>
          <w:snapToGrid w:val="0"/>
          <w:color w:val="auto"/>
          <w:spacing w:val="0"/>
          <w:w w:val="100"/>
          <w:kern w:val="0"/>
          <w:position w:val="0"/>
          <w:sz w:val="24"/>
          <w:highlight w:val="none"/>
          <w:lang w:val="en-US" w:eastAsia="zh-CN"/>
        </w:rPr>
        <w:t xml:space="preserve"> </w:t>
      </w:r>
    </w:p>
    <w:p>
      <w:pPr>
        <w:keepNext w:val="0"/>
        <w:keepLines w:val="0"/>
        <w:pageBreakBefore w:val="0"/>
        <w:widowControl/>
        <w:kinsoku/>
        <w:wordWrap/>
        <w:overflowPunct/>
        <w:topLinePunct w:val="0"/>
        <w:autoSpaceDE w:val="0"/>
        <w:bidi w:val="0"/>
        <w:adjustRightInd/>
        <w:snapToGrid/>
        <w:spacing w:line="360" w:lineRule="auto"/>
        <w:ind w:firstLine="482" w:firstLineChars="200"/>
        <w:jc w:val="both"/>
        <w:textAlignment w:val="auto"/>
        <w:rPr>
          <w:rFonts w:hint="default" w:ascii="Times New Roman" w:hAnsi="Times New Roman" w:eastAsia="宋体" w:cs="Times New Roman"/>
          <w:b/>
          <w:bCs/>
          <w:snapToGrid w:val="0"/>
          <w:color w:val="auto"/>
          <w:spacing w:val="0"/>
          <w:w w:val="100"/>
          <w:kern w:val="0"/>
          <w:position w:val="0"/>
          <w:sz w:val="24"/>
          <w:highlight w:val="none"/>
          <w:lang w:val="sq-AL"/>
        </w:rPr>
      </w:pPr>
      <w:r>
        <w:rPr>
          <w:rFonts w:hint="default" w:ascii="Times New Roman" w:hAnsi="Times New Roman" w:eastAsia="宋体" w:cs="Times New Roman"/>
          <w:b/>
          <w:bCs/>
          <w:snapToGrid w:val="0"/>
          <w:color w:val="auto"/>
          <w:spacing w:val="0"/>
          <w:w w:val="100"/>
          <w:kern w:val="0"/>
          <w:position w:val="0"/>
          <w:sz w:val="24"/>
          <w:highlight w:val="none"/>
          <w:lang w:val="sq-AL"/>
        </w:rPr>
        <w:t>3.2.2.1监测因子</w:t>
      </w:r>
    </w:p>
    <w:p>
      <w:pPr>
        <w:keepNext w:val="0"/>
        <w:keepLines w:val="0"/>
        <w:pageBreakBefore w:val="0"/>
        <w:widowControl/>
        <w:kinsoku/>
        <w:wordWrap/>
        <w:overflowPunct/>
        <w:topLinePunct w:val="0"/>
        <w:autoSpaceDE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highlight w:val="none"/>
          <w:lang w:val="sq-AL"/>
        </w:rPr>
      </w:pPr>
      <w:r>
        <w:rPr>
          <w:rFonts w:hint="default" w:ascii="Times New Roman" w:hAnsi="Times New Roman" w:eastAsia="宋体" w:cs="Times New Roman"/>
          <w:snapToGrid w:val="0"/>
          <w:color w:val="auto"/>
          <w:spacing w:val="0"/>
          <w:w w:val="100"/>
          <w:kern w:val="0"/>
          <w:position w:val="0"/>
          <w:sz w:val="24"/>
          <w:highlight w:val="none"/>
          <w:lang w:val="sq-AL"/>
        </w:rPr>
        <w:t>pH、溶解氧、高锰酸盐指数、化学需氧量、氨氮、总磷、总氮、铜、锌、铅、镉、生化需氧量、砷、硒、汞、六价铬、氟化物、氰化物、挥发酚、石油类、阴离子表面活性剂、硫化物共22项。</w:t>
      </w:r>
    </w:p>
    <w:p>
      <w:pPr>
        <w:keepNext w:val="0"/>
        <w:keepLines w:val="0"/>
        <w:pageBreakBefore w:val="0"/>
        <w:widowControl/>
        <w:kinsoku/>
        <w:wordWrap/>
        <w:overflowPunct/>
        <w:topLinePunct w:val="0"/>
        <w:autoSpaceDE w:val="0"/>
        <w:bidi w:val="0"/>
        <w:adjustRightInd/>
        <w:snapToGrid/>
        <w:spacing w:line="360" w:lineRule="auto"/>
        <w:ind w:firstLine="482" w:firstLineChars="200"/>
        <w:jc w:val="both"/>
        <w:textAlignment w:val="auto"/>
        <w:rPr>
          <w:rFonts w:hint="default" w:ascii="Times New Roman" w:hAnsi="Times New Roman" w:eastAsia="宋体" w:cs="Times New Roman"/>
          <w:b/>
          <w:bCs/>
          <w:snapToGrid w:val="0"/>
          <w:color w:val="auto"/>
          <w:spacing w:val="0"/>
          <w:w w:val="100"/>
          <w:kern w:val="0"/>
          <w:position w:val="0"/>
          <w:sz w:val="24"/>
          <w:highlight w:val="none"/>
          <w:lang w:val="sq-AL"/>
        </w:rPr>
      </w:pPr>
      <w:r>
        <w:rPr>
          <w:rFonts w:hint="default" w:ascii="Times New Roman" w:hAnsi="Times New Roman" w:eastAsia="宋体" w:cs="Times New Roman"/>
          <w:b/>
          <w:bCs/>
          <w:snapToGrid w:val="0"/>
          <w:color w:val="auto"/>
          <w:spacing w:val="0"/>
          <w:w w:val="100"/>
          <w:kern w:val="0"/>
          <w:position w:val="0"/>
          <w:sz w:val="24"/>
          <w:highlight w:val="none"/>
          <w:lang w:val="sq-AL"/>
        </w:rPr>
        <w:t>3.3.2.2 地表水环境质量现状检测结果</w:t>
      </w:r>
    </w:p>
    <w:p>
      <w:pPr>
        <w:keepNext w:val="0"/>
        <w:keepLines w:val="0"/>
        <w:pageBreakBefore w:val="0"/>
        <w:widowControl/>
        <w:kinsoku/>
        <w:wordWrap/>
        <w:overflowPunct/>
        <w:topLinePunct w:val="0"/>
        <w:autoSpaceDE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snapToGrid w:val="0"/>
          <w:color w:val="auto"/>
          <w:spacing w:val="0"/>
          <w:w w:val="100"/>
          <w:kern w:val="0"/>
          <w:position w:val="0"/>
          <w:sz w:val="24"/>
          <w:highlight w:val="none"/>
          <w:lang w:val="sq-AL" w:eastAsia="zh-CN"/>
        </w:rPr>
      </w:pPr>
      <w:r>
        <w:rPr>
          <w:rFonts w:hint="eastAsia" w:ascii="Times New Roman" w:hAnsi="Times New Roman" w:cs="Times New Roman"/>
          <w:b w:val="0"/>
          <w:bCs w:val="0"/>
          <w:snapToGrid w:val="0"/>
          <w:color w:val="auto"/>
          <w:spacing w:val="0"/>
          <w:w w:val="100"/>
          <w:kern w:val="0"/>
          <w:position w:val="0"/>
          <w:sz w:val="24"/>
          <w:highlight w:val="none"/>
          <w:lang w:val="sq-AL" w:eastAsia="zh-CN"/>
        </w:rPr>
        <w:t>苦水河</w:t>
      </w:r>
      <w:r>
        <w:rPr>
          <w:rFonts w:hint="eastAsia" w:ascii="Times New Roman" w:hAnsi="Times New Roman" w:cs="Times New Roman"/>
          <w:snapToGrid w:val="0"/>
          <w:color w:val="auto"/>
          <w:spacing w:val="0"/>
          <w:w w:val="100"/>
          <w:kern w:val="0"/>
          <w:position w:val="0"/>
          <w:sz w:val="24"/>
          <w:highlight w:val="none"/>
          <w:lang w:val="sq-AL" w:eastAsia="zh-CN"/>
        </w:rPr>
        <w:t>孙家滩断面</w:t>
      </w:r>
      <w:r>
        <w:rPr>
          <w:rFonts w:hint="eastAsia" w:ascii="Times New Roman" w:hAnsi="Times New Roman" w:cs="Times New Roman"/>
          <w:b w:val="0"/>
          <w:bCs w:val="0"/>
          <w:snapToGrid w:val="0"/>
          <w:color w:val="auto"/>
          <w:spacing w:val="0"/>
          <w:w w:val="100"/>
          <w:kern w:val="0"/>
          <w:position w:val="0"/>
          <w:sz w:val="24"/>
          <w:highlight w:val="none"/>
          <w:lang w:val="sq-AL" w:eastAsia="zh-CN"/>
        </w:rPr>
        <w:t>水质监测结果具体见下表。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sq-AL"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sq-AL" w:eastAsia="zh-CN" w:bidi="ar-SA"/>
        </w:rPr>
        <w:t>表3.2-</w:t>
      </w:r>
      <w:r>
        <w:rPr>
          <w:rFonts w:hint="eastAsia" w:ascii="Times New Roman" w:hAnsi="Times New Roman" w:cs="Times New Roman"/>
          <w:b/>
          <w:bCs w:val="0"/>
          <w:color w:val="auto"/>
          <w:spacing w:val="0"/>
          <w:w w:val="100"/>
          <w:kern w:val="0"/>
          <w:position w:val="0"/>
          <w:sz w:val="24"/>
          <w:szCs w:val="24"/>
          <w:highlight w:val="none"/>
          <w:lang w:val="en-US" w:eastAsia="zh-CN" w:bidi="ar-SA"/>
        </w:rPr>
        <w:t>6</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sq-AL" w:eastAsia="zh-CN" w:bidi="ar-SA"/>
        </w:rPr>
        <w:t>监测结果一览表</w:t>
      </w:r>
    </w:p>
    <w:tbl>
      <w:tblPr>
        <w:tblStyle w:val="25"/>
        <w:tblW w:w="90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1810"/>
        <w:gridCol w:w="1147"/>
        <w:gridCol w:w="930"/>
        <w:gridCol w:w="877"/>
        <w:gridCol w:w="837"/>
        <w:gridCol w:w="1038"/>
        <w:gridCol w:w="12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vMerge w:val="restart"/>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评价因子</w:t>
            </w:r>
          </w:p>
        </w:tc>
        <w:tc>
          <w:tcPr>
            <w:tcW w:w="1810" w:type="dxa"/>
            <w:vMerge w:val="restart"/>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《地表水环境质量标准》（</w:t>
            </w:r>
            <w:r>
              <w:rPr>
                <w:rFonts w:hint="default" w:ascii="Times New Roman" w:hAnsi="Times New Roman" w:eastAsia="Times New Roman" w:cs="Times New Roman"/>
                <w:b/>
                <w:bCs/>
                <w:snapToGrid w:val="0"/>
                <w:color w:val="auto"/>
                <w:spacing w:val="0"/>
                <w:w w:val="100"/>
                <w:position w:val="0"/>
                <w:sz w:val="21"/>
                <w:szCs w:val="21"/>
              </w:rPr>
              <w:t>GB3838-2002)</w:t>
            </w:r>
          </w:p>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中</w:t>
            </w:r>
            <w:r>
              <w:rPr>
                <w:rFonts w:hint="default" w:ascii="Times New Roman" w:hAnsi="Times New Roman" w:eastAsia="Times New Roman" w:cs="Times New Roman"/>
                <w:b/>
                <w:bCs/>
                <w:snapToGrid w:val="0"/>
                <w:color w:val="auto"/>
                <w:spacing w:val="0"/>
                <w:w w:val="100"/>
                <w:position w:val="0"/>
                <w:sz w:val="21"/>
                <w:szCs w:val="21"/>
              </w:rPr>
              <w:t>IV</w:t>
            </w:r>
            <w:r>
              <w:rPr>
                <w:rFonts w:hint="default" w:ascii="Times New Roman" w:hAnsi="Times New Roman" w:eastAsia="宋体" w:cs="Times New Roman"/>
                <w:b/>
                <w:bCs/>
                <w:snapToGrid w:val="0"/>
                <w:color w:val="auto"/>
                <w:spacing w:val="0"/>
                <w:w w:val="100"/>
                <w:position w:val="0"/>
                <w:sz w:val="21"/>
                <w:szCs w:val="21"/>
              </w:rPr>
              <w:t>类（</w:t>
            </w:r>
            <w:r>
              <w:rPr>
                <w:rFonts w:hint="default" w:ascii="Times New Roman" w:hAnsi="Times New Roman" w:eastAsia="Times New Roman" w:cs="Times New Roman"/>
                <w:b/>
                <w:bCs/>
                <w:snapToGrid w:val="0"/>
                <w:color w:val="auto"/>
                <w:spacing w:val="0"/>
                <w:w w:val="100"/>
                <w:position w:val="0"/>
                <w:sz w:val="21"/>
                <w:szCs w:val="21"/>
              </w:rPr>
              <w:t>mg/L</w:t>
            </w:r>
            <w:r>
              <w:rPr>
                <w:rFonts w:hint="default" w:ascii="Times New Roman" w:hAnsi="Times New Roman" w:eastAsia="宋体" w:cs="Times New Roman"/>
                <w:b/>
                <w:bCs/>
                <w:snapToGrid w:val="0"/>
                <w:color w:val="auto"/>
                <w:spacing w:val="0"/>
                <w:w w:val="100"/>
                <w:position w:val="0"/>
                <w:sz w:val="21"/>
                <w:szCs w:val="21"/>
              </w:rPr>
              <w:t>）</w:t>
            </w:r>
          </w:p>
        </w:tc>
        <w:tc>
          <w:tcPr>
            <w:tcW w:w="6119" w:type="dxa"/>
            <w:gridSpan w:val="6"/>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苦水河孙家滩断面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position w:val="0"/>
                <w:sz w:val="21"/>
                <w:szCs w:val="21"/>
              </w:rPr>
            </w:pPr>
          </w:p>
        </w:tc>
        <w:tc>
          <w:tcPr>
            <w:tcW w:w="1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auto"/>
                <w:spacing w:val="0"/>
                <w:w w:val="100"/>
                <w:position w:val="0"/>
                <w:sz w:val="21"/>
                <w:szCs w:val="21"/>
              </w:rPr>
            </w:pP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样本数（个</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 最大值</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最小值</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平均值</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超标率（</w:t>
            </w:r>
            <w:r>
              <w:rPr>
                <w:rFonts w:hint="default" w:ascii="Times New Roman" w:hAnsi="Times New Roman" w:eastAsia="Times New Roman" w:cs="Times New Roman"/>
                <w:b/>
                <w:bCs/>
                <w:snapToGrid w:val="0"/>
                <w:color w:val="auto"/>
                <w:spacing w:val="0"/>
                <w:w w:val="100"/>
                <w:position w:val="0"/>
                <w:sz w:val="21"/>
                <w:szCs w:val="21"/>
              </w:rPr>
              <w:t>%</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b/>
                <w:bCs/>
                <w:snapToGrid w:val="0"/>
                <w:color w:val="auto"/>
                <w:spacing w:val="0"/>
                <w:w w:val="100"/>
                <w:position w:val="0"/>
                <w:sz w:val="21"/>
                <w:szCs w:val="21"/>
              </w:rPr>
              <w:t>）最大超标倍数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pH</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Times New Roman" w:cs="Times New Roman"/>
                <w:snapToGrid w:val="0"/>
                <w:color w:val="auto"/>
                <w:spacing w:val="0"/>
                <w:w w:val="100"/>
                <w:position w:val="0"/>
                <w:sz w:val="21"/>
                <w:szCs w:val="21"/>
              </w:rPr>
              <w:t>6-9</w:t>
            </w:r>
            <w:r>
              <w:rPr>
                <w:rFonts w:hint="default" w:ascii="Times New Roman" w:hAnsi="Times New Roman" w:eastAsia="宋体" w:cs="Times New Roman"/>
                <w:snapToGrid w:val="0"/>
                <w:color w:val="auto"/>
                <w:spacing w:val="0"/>
                <w:w w:val="100"/>
                <w:position w:val="0"/>
                <w:sz w:val="21"/>
                <w:szCs w:val="21"/>
              </w:rPr>
              <w:t>（无量纲）</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8.9</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0.2</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8.3</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电导率</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1053</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8.1</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915.9</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溶解氧</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13.2</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100.0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9.2</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高锰酸盐指 数</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37.2</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6.6</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9.2</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10.1</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41.7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生化需氧量</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30</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1.8</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3.5</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1.3</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氨氮</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0.94</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0.44</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5.20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75.0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石油类</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0.06</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0.10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0.01</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挥发酚</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0.01</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0.0084</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0.0002</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0.0015</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16.7</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汞</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0.00005</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0.00002</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0.00002</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铅</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0.0020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0.0011</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化学需氧量</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30</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98.0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33.4</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33.4</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83.3</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总氮</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20.50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10.80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16.09</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总磷</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1.50.3</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0.190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0.050</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0.117</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铜</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0.0005</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0.0006</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锌</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2</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0.05</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0.03</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0.03</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氟化物</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3.44</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1.06</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2.85</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100.0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硒</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0.02</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0.0113</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0.0002</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0.0028</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8.3</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砷</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0.1</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0.0236</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0.0027</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0.0073</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镉</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0.0001</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0.0001</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0.0001</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六价铬</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0.022</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0.002</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0.008</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氰化物</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0.2</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0.006</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0.001</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阴离子表面 活性剂</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0.3</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0.23</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0.03</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0.07</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8.3</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85"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硫化物</w:t>
            </w:r>
          </w:p>
        </w:tc>
        <w:tc>
          <w:tcPr>
            <w:tcW w:w="181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0.5</w:t>
            </w:r>
          </w:p>
        </w:tc>
        <w:tc>
          <w:tcPr>
            <w:tcW w:w="114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12</w:t>
            </w:r>
          </w:p>
        </w:tc>
        <w:tc>
          <w:tcPr>
            <w:tcW w:w="93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0.010</w:t>
            </w:r>
          </w:p>
        </w:tc>
        <w:tc>
          <w:tcPr>
            <w:tcW w:w="87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0.003</w:t>
            </w:r>
          </w:p>
        </w:tc>
        <w:tc>
          <w:tcPr>
            <w:tcW w:w="837"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0.004</w:t>
            </w:r>
          </w:p>
        </w:tc>
        <w:tc>
          <w:tcPr>
            <w:tcW w:w="1038"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snapToGrid w:val="0"/>
                <w:color w:val="auto"/>
                <w:spacing w:val="0"/>
                <w:w w:val="100"/>
                <w:position w:val="0"/>
                <w:sz w:val="21"/>
                <w:szCs w:val="21"/>
              </w:rPr>
            </w:pPr>
            <w:r>
              <w:rPr>
                <w:rFonts w:hint="default" w:ascii="Times New Roman" w:hAnsi="Times New Roman" w:cs="Times New Roman"/>
                <w:snapToGrid w:val="0"/>
                <w:color w:val="auto"/>
                <w:spacing w:val="0"/>
                <w:w w:val="100"/>
                <w:position w:val="0"/>
                <w:sz w:val="21"/>
                <w:szCs w:val="21"/>
              </w:rPr>
              <w:t>0</w:t>
            </w:r>
          </w:p>
        </w:tc>
        <w:tc>
          <w:tcPr>
            <w:tcW w:w="1290" w:type="dxa"/>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auto"/>
                <w:spacing w:val="0"/>
                <w:w w:val="100"/>
                <w:position w:val="0"/>
                <w:sz w:val="21"/>
                <w:szCs w:val="21"/>
              </w:rPr>
            </w:pPr>
            <w:r>
              <w:rPr>
                <w:rFonts w:hint="default" w:ascii="Times New Roman" w:hAnsi="Times New Roman" w:eastAsia="宋体" w:cs="Times New Roman"/>
                <w:snapToGrid w:val="0"/>
                <w:color w:val="auto"/>
                <w:spacing w:val="0"/>
                <w:w w:val="100"/>
                <w:position w:val="0"/>
                <w:sz w:val="21"/>
                <w:szCs w:val="21"/>
              </w:rPr>
              <w:t>—</w:t>
            </w:r>
          </w:p>
        </w:tc>
      </w:tr>
    </w:tbl>
    <w:p>
      <w:pPr>
        <w:keepNext w:val="0"/>
        <w:keepLines w:val="0"/>
        <w:pageBreakBefore w:val="0"/>
        <w:widowControl/>
        <w:kinsoku/>
        <w:wordWrap/>
        <w:overflowPunct/>
        <w:topLinePunct w:val="0"/>
        <w:autoSpaceDE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highlight w:val="none"/>
          <w:lang w:val="sq-AL"/>
        </w:rPr>
      </w:pPr>
      <w:r>
        <w:rPr>
          <w:rFonts w:hint="default" w:ascii="Times New Roman" w:hAnsi="Times New Roman" w:eastAsia="宋体" w:cs="Times New Roman"/>
          <w:snapToGrid w:val="0"/>
          <w:color w:val="auto"/>
          <w:spacing w:val="0"/>
          <w:w w:val="100"/>
          <w:kern w:val="0"/>
          <w:position w:val="0"/>
          <w:sz w:val="24"/>
          <w:highlight w:val="none"/>
          <w:lang w:val="sq-AL"/>
        </w:rPr>
        <w:t>由上表可知：苦水河孙家滩断面，水质单因子指数中氨氮、挥发酚、高锰酸盐指数、化 学需氧量、总氮、氟化物、硒、阴离子表面活性剂等均有超标，说明苦水河该断面水质超过《地表水环境质量标准》（GB3838-2002）中的Ⅳ类标准要求。高锰酸盐指数、阴离子表面活性剂、化学需氧量、总氮和氨氮超标主要是接纳上游沿线居民生活污水以及开发区污水处理厂排污所致，氟化物、硒超标主要是区域地质所致河床岩土中含氟化物、盐类较多，水体溶解河床岩土中的氟化物和盐类，加之区域内蒸发强烈，河流补水较少，导致氟化物、硒本底值较高，出现超标现象。</w:t>
      </w:r>
    </w:p>
    <w:p>
      <w:pPr>
        <w:keepNext w:val="0"/>
        <w:keepLines w:val="0"/>
        <w:pageBreakBefore w:val="0"/>
        <w:widowControl/>
        <w:kinsoku/>
        <w:wordWrap/>
        <w:overflowPunct/>
        <w:topLinePunct w:val="0"/>
        <w:autoSpaceDE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highlight w:val="none"/>
          <w:lang w:val="sq-AL"/>
        </w:rPr>
      </w:pPr>
      <w:r>
        <w:rPr>
          <w:rFonts w:hint="default" w:ascii="Times New Roman" w:hAnsi="Times New Roman" w:eastAsia="宋体" w:cs="Times New Roman"/>
          <w:snapToGrid w:val="0"/>
          <w:color w:val="auto"/>
          <w:spacing w:val="0"/>
          <w:w w:val="100"/>
          <w:kern w:val="0"/>
          <w:position w:val="0"/>
          <w:sz w:val="24"/>
          <w:highlight w:val="none"/>
          <w:lang w:val="sq-AL"/>
        </w:rPr>
        <w:t>近年来全区各个地方均实施了一系列农村环境整治行动，其中农村的厕所革命以及生活污水集中处理是最重要的环节，随着这项行动的开展，将减少或彻底解决农村居民生活污水散排乱拍现象。</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3.2.3地下水环境质量现状监测与评价</w:t>
      </w:r>
      <w:bookmarkEnd w:id="633"/>
      <w:bookmarkEnd w:id="641"/>
      <w:bookmarkEnd w:id="642"/>
    </w:p>
    <w:p>
      <w:pPr>
        <w:keepNext w:val="0"/>
        <w:keepLines w:val="0"/>
        <w:pageBreakBefore w:val="0"/>
        <w:widowControl/>
        <w:kinsoku/>
        <w:wordWrap/>
        <w:overflowPunct/>
        <w:topLinePunct w:val="0"/>
        <w:autoSpaceDE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bookmarkStart w:id="643" w:name="_Toc3687"/>
      <w:r>
        <w:rPr>
          <w:rFonts w:hint="default" w:ascii="Times New Roman" w:hAnsi="Times New Roman" w:eastAsia="宋体" w:cs="Times New Roman"/>
          <w:snapToGrid w:val="0"/>
          <w:color w:val="auto"/>
          <w:spacing w:val="0"/>
          <w:w w:val="100"/>
          <w:kern w:val="0"/>
          <w:position w:val="0"/>
          <w:sz w:val="24"/>
          <w:highlight w:val="none"/>
          <w:lang w:val="sq-AL"/>
        </w:rPr>
        <w:t>本次</w:t>
      </w:r>
      <w:r>
        <w:rPr>
          <w:rFonts w:hint="eastAsia" w:ascii="Times New Roman" w:hAnsi="Times New Roman" w:cs="Times New Roman"/>
          <w:snapToGrid w:val="0"/>
          <w:color w:val="auto"/>
          <w:spacing w:val="0"/>
          <w:w w:val="100"/>
          <w:kern w:val="0"/>
          <w:position w:val="0"/>
          <w:sz w:val="24"/>
          <w:highlight w:val="none"/>
          <w:lang w:val="sq-AL" w:eastAsia="zh-CN"/>
        </w:rPr>
        <w:t>评价委托</w:t>
      </w:r>
      <w:r>
        <w:rPr>
          <w:rFonts w:hint="eastAsia" w:ascii="Times New Roman" w:hAnsi="Times New Roman" w:cs="Times New Roman"/>
          <w:bCs/>
          <w:color w:val="auto"/>
          <w:spacing w:val="0"/>
          <w:w w:val="100"/>
          <w:kern w:val="0"/>
          <w:position w:val="0"/>
          <w:sz w:val="24"/>
          <w:highlight w:val="none"/>
          <w:lang w:val="en-US" w:eastAsia="zh-CN"/>
        </w:rPr>
        <w:t>宁夏盛世绿源环境检测有限责任公司</w:t>
      </w:r>
      <w:r>
        <w:rPr>
          <w:rFonts w:hint="default" w:ascii="Times New Roman" w:hAnsi="Times New Roman" w:eastAsia="宋体" w:cs="Times New Roman"/>
          <w:snapToGrid w:val="0"/>
          <w:color w:val="auto"/>
          <w:spacing w:val="0"/>
          <w:w w:val="100"/>
          <w:kern w:val="0"/>
          <w:position w:val="0"/>
          <w:sz w:val="24"/>
          <w:highlight w:val="none"/>
          <w:lang w:val="sq-AL"/>
        </w:rPr>
        <w:t>于202</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default" w:ascii="Times New Roman" w:hAnsi="Times New Roman" w:eastAsia="宋体" w:cs="Times New Roman"/>
          <w:snapToGrid w:val="0"/>
          <w:color w:val="auto"/>
          <w:spacing w:val="0"/>
          <w:w w:val="100"/>
          <w:kern w:val="0"/>
          <w:position w:val="0"/>
          <w:sz w:val="24"/>
          <w:highlight w:val="none"/>
          <w:lang w:val="sq-AL"/>
        </w:rPr>
        <w:t>年</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eastAsia" w:ascii="Times New Roman" w:hAnsi="Times New Roman" w:cs="Times New Roman"/>
          <w:snapToGrid w:val="0"/>
          <w:color w:val="auto"/>
          <w:spacing w:val="0"/>
          <w:w w:val="100"/>
          <w:kern w:val="0"/>
          <w:position w:val="0"/>
          <w:sz w:val="24"/>
          <w:highlight w:val="none"/>
          <w:lang w:val="en-US" w:eastAsia="zh-CN"/>
        </w:rPr>
        <w:t>2</w:t>
      </w:r>
      <w:r>
        <w:rPr>
          <w:rFonts w:hint="default" w:ascii="Times New Roman" w:hAnsi="Times New Roman" w:eastAsia="宋体" w:cs="Times New Roman"/>
          <w:snapToGrid w:val="0"/>
          <w:color w:val="auto"/>
          <w:spacing w:val="0"/>
          <w:w w:val="100"/>
          <w:kern w:val="0"/>
          <w:position w:val="0"/>
          <w:sz w:val="24"/>
          <w:highlight w:val="none"/>
          <w:lang w:val="sq-AL"/>
        </w:rPr>
        <w:t>月</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eastAsia" w:ascii="Times New Roman" w:hAnsi="Times New Roman" w:cs="Times New Roman"/>
          <w:snapToGrid w:val="0"/>
          <w:color w:val="auto"/>
          <w:spacing w:val="0"/>
          <w:w w:val="100"/>
          <w:kern w:val="0"/>
          <w:position w:val="0"/>
          <w:sz w:val="24"/>
          <w:highlight w:val="none"/>
          <w:lang w:val="en-US" w:eastAsia="zh-CN"/>
        </w:rPr>
        <w:t>6</w:t>
      </w:r>
      <w:r>
        <w:rPr>
          <w:rFonts w:hint="default" w:ascii="Times New Roman" w:hAnsi="Times New Roman" w:eastAsia="宋体" w:cs="Times New Roman"/>
          <w:snapToGrid w:val="0"/>
          <w:color w:val="auto"/>
          <w:spacing w:val="0"/>
          <w:w w:val="100"/>
          <w:kern w:val="0"/>
          <w:position w:val="0"/>
          <w:sz w:val="24"/>
          <w:highlight w:val="none"/>
          <w:lang w:val="sq-AL"/>
        </w:rPr>
        <w:t>日对</w:t>
      </w:r>
      <w:r>
        <w:rPr>
          <w:rFonts w:hint="eastAsia" w:ascii="Times New Roman" w:hAnsi="Times New Roman" w:cs="Times New Roman"/>
          <w:snapToGrid w:val="0"/>
          <w:color w:val="auto"/>
          <w:spacing w:val="0"/>
          <w:w w:val="100"/>
          <w:kern w:val="0"/>
          <w:position w:val="0"/>
          <w:sz w:val="24"/>
          <w:highlight w:val="none"/>
          <w:lang w:val="en-US" w:eastAsia="zh-CN"/>
        </w:rPr>
        <w:t>项目所在区域</w:t>
      </w:r>
      <w:r>
        <w:rPr>
          <w:rFonts w:hint="default" w:ascii="Times New Roman" w:hAnsi="Times New Roman" w:eastAsia="宋体" w:cs="Times New Roman"/>
          <w:snapToGrid w:val="0"/>
          <w:color w:val="auto"/>
          <w:spacing w:val="0"/>
          <w:w w:val="100"/>
          <w:kern w:val="0"/>
          <w:position w:val="0"/>
          <w:sz w:val="24"/>
          <w:highlight w:val="none"/>
          <w:lang w:val="sq-AL"/>
        </w:rPr>
        <w:t>地下水</w:t>
      </w:r>
      <w:r>
        <w:rPr>
          <w:rFonts w:hint="default" w:ascii="Times New Roman" w:hAnsi="Times New Roman" w:eastAsia="宋体" w:cs="Times New Roman"/>
          <w:snapToGrid w:val="0"/>
          <w:color w:val="auto"/>
          <w:spacing w:val="0"/>
          <w:w w:val="100"/>
          <w:kern w:val="0"/>
          <w:position w:val="0"/>
          <w:sz w:val="24"/>
          <w:highlight w:val="none"/>
          <w:lang w:val="sq-AL" w:eastAsia="zh-CN"/>
        </w:rPr>
        <w:t>环境</w:t>
      </w:r>
      <w:r>
        <w:rPr>
          <w:rFonts w:hint="default" w:ascii="Times New Roman" w:hAnsi="Times New Roman" w:eastAsia="宋体" w:cs="Times New Roman"/>
          <w:snapToGrid w:val="0"/>
          <w:color w:val="auto"/>
          <w:spacing w:val="0"/>
          <w:w w:val="100"/>
          <w:kern w:val="0"/>
          <w:position w:val="0"/>
          <w:sz w:val="24"/>
          <w:highlight w:val="none"/>
          <w:lang w:val="sq-AL"/>
        </w:rPr>
        <w:t>质量现状</w:t>
      </w:r>
      <w:r>
        <w:rPr>
          <w:rFonts w:hint="eastAsia" w:ascii="Times New Roman" w:hAnsi="Times New Roman" w:cs="Times New Roman"/>
          <w:snapToGrid w:val="0"/>
          <w:color w:val="auto"/>
          <w:spacing w:val="0"/>
          <w:w w:val="100"/>
          <w:kern w:val="0"/>
          <w:position w:val="0"/>
          <w:sz w:val="24"/>
          <w:highlight w:val="none"/>
          <w:lang w:val="sq-AL" w:eastAsia="zh-CN"/>
        </w:rPr>
        <w:t>进行了监测</w:t>
      </w:r>
      <w:r>
        <w:rPr>
          <w:rFonts w:hint="default" w:ascii="Times New Roman" w:hAnsi="Times New Roman" w:eastAsia="宋体" w:cs="Times New Roman"/>
          <w:color w:val="auto"/>
          <w:spacing w:val="0"/>
          <w:w w:val="100"/>
          <w:kern w:val="0"/>
          <w:position w:val="0"/>
          <w:sz w:val="24"/>
          <w:highlight w:val="none"/>
        </w:rPr>
        <w:t>。</w:t>
      </w:r>
    </w:p>
    <w:p>
      <w:pPr>
        <w:keepNext w:val="0"/>
        <w:keepLines w:val="0"/>
        <w:pageBreakBefore w:val="0"/>
        <w:widowControl w:val="0"/>
        <w:kinsoku/>
        <w:wordWrap/>
        <w:overflowPunct/>
        <w:topLinePunct w:val="0"/>
        <w:autoSpaceDE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监测点位布设</w:t>
      </w:r>
    </w:p>
    <w:p>
      <w:pPr>
        <w:keepNext w:val="0"/>
        <w:keepLines w:val="0"/>
        <w:pageBreakBefore w:val="0"/>
        <w:widowControl w:val="0"/>
        <w:kinsoku/>
        <w:wordWrap/>
        <w:overflowPunct/>
        <w:topLinePunct w:val="0"/>
        <w:autoSpaceDE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4"/>
          <w:highlight w:val="none"/>
        </w:rPr>
        <w:t>地下水监测点位见表3.2-</w:t>
      </w:r>
      <w:r>
        <w:rPr>
          <w:rFonts w:hint="eastAsia" w:ascii="Times New Roman" w:hAnsi="Times New Roman" w:cs="Times New Roman"/>
          <w:color w:val="auto"/>
          <w:spacing w:val="0"/>
          <w:w w:val="100"/>
          <w:kern w:val="0"/>
          <w:position w:val="0"/>
          <w:sz w:val="24"/>
          <w:highlight w:val="none"/>
          <w:lang w:val="en-US" w:eastAsia="zh-CN"/>
        </w:rPr>
        <w:t>7</w:t>
      </w:r>
      <w:r>
        <w:rPr>
          <w:rFonts w:hint="default" w:ascii="Times New Roman" w:hAnsi="Times New Roman" w:eastAsia="宋体" w:cs="Times New Roman"/>
          <w:color w:val="auto"/>
          <w:spacing w:val="0"/>
          <w:w w:val="100"/>
          <w:kern w:val="0"/>
          <w:position w:val="0"/>
          <w:sz w:val="24"/>
          <w:highlight w:val="none"/>
        </w:rPr>
        <w:t>及图3.2-1监测布点图。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w:t>
      </w:r>
      <w:r>
        <w:rPr>
          <w:rFonts w:hint="eastAsia" w:ascii="Times New Roman" w:hAnsi="Times New Roman" w:cs="Times New Roman"/>
          <w:b/>
          <w:bCs w:val="0"/>
          <w:color w:val="auto"/>
          <w:spacing w:val="0"/>
          <w:w w:val="100"/>
          <w:kern w:val="0"/>
          <w:position w:val="0"/>
          <w:sz w:val="24"/>
          <w:szCs w:val="24"/>
          <w:highlight w:val="none"/>
          <w:lang w:val="en-US" w:eastAsia="zh-CN" w:bidi="ar-SA"/>
        </w:rPr>
        <w:t>7</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地下水现状监测点位一览表</w:t>
      </w:r>
    </w:p>
    <w:tbl>
      <w:tblPr>
        <w:tblStyle w:val="25"/>
        <w:tblW w:w="84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99"/>
        <w:gridCol w:w="1049"/>
        <w:gridCol w:w="727"/>
        <w:gridCol w:w="895"/>
        <w:gridCol w:w="1611"/>
        <w:gridCol w:w="1184"/>
        <w:gridCol w:w="1125"/>
        <w:gridCol w:w="11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66"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rPr>
            </w:pPr>
            <w:r>
              <w:rPr>
                <w:rFonts w:hint="default" w:ascii="Times New Roman" w:hAnsi="Times New Roman" w:cs="Times New Roman"/>
                <w:color w:val="auto"/>
                <w:lang w:val="en-US" w:eastAsia="zh-CN"/>
              </w:rPr>
              <w:t xml:space="preserve"> </w:t>
            </w:r>
            <w:r>
              <w:rPr>
                <w:rStyle w:val="70"/>
                <w:rFonts w:hint="default" w:ascii="Times New Roman" w:hAnsi="Times New Roman" w:eastAsia="宋体" w:cs="Times New Roman"/>
                <w:b/>
                <w:snapToGrid w:val="0"/>
                <w:color w:val="auto"/>
                <w:spacing w:val="0"/>
                <w:sz w:val="21"/>
                <w:szCs w:val="21"/>
              </w:rPr>
              <w:t>编号</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rPr>
            </w:pPr>
            <w:r>
              <w:rPr>
                <w:rStyle w:val="70"/>
                <w:rFonts w:hint="default" w:ascii="Times New Roman" w:hAnsi="Times New Roman" w:eastAsia="宋体" w:cs="Times New Roman"/>
                <w:b/>
                <w:snapToGrid w:val="0"/>
                <w:color w:val="auto"/>
                <w:spacing w:val="0"/>
                <w:sz w:val="21"/>
                <w:szCs w:val="21"/>
              </w:rPr>
              <w:t>点位名称</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rPr>
            </w:pPr>
            <w:r>
              <w:rPr>
                <w:rStyle w:val="70"/>
                <w:rFonts w:hint="default" w:ascii="Times New Roman" w:hAnsi="Times New Roman" w:eastAsia="宋体" w:cs="Times New Roman"/>
                <w:b/>
                <w:snapToGrid w:val="0"/>
                <w:color w:val="auto"/>
                <w:spacing w:val="0"/>
                <w:sz w:val="21"/>
                <w:szCs w:val="21"/>
              </w:rPr>
              <w:t>方位</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rPr>
            </w:pPr>
            <w:r>
              <w:rPr>
                <w:rStyle w:val="73"/>
                <w:rFonts w:hint="default" w:ascii="Times New Roman" w:hAnsi="Times New Roman" w:eastAsia="宋体" w:cs="Times New Roman"/>
                <w:b/>
                <w:snapToGrid w:val="0"/>
                <w:color w:val="auto"/>
                <w:spacing w:val="0"/>
                <w:sz w:val="21"/>
                <w:szCs w:val="21"/>
              </w:rPr>
              <w:t>距离</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napToGrid w:val="0"/>
                <w:color w:val="auto"/>
                <w:sz w:val="21"/>
                <w:szCs w:val="21"/>
              </w:rPr>
            </w:pPr>
            <w:r>
              <w:rPr>
                <w:rStyle w:val="70"/>
                <w:rFonts w:hint="default" w:ascii="Times New Roman" w:hAnsi="Times New Roman" w:eastAsia="宋体" w:cs="Times New Roman"/>
                <w:b/>
                <w:snapToGrid w:val="0"/>
                <w:color w:val="auto"/>
                <w:spacing w:val="0"/>
                <w:sz w:val="21"/>
                <w:szCs w:val="21"/>
              </w:rPr>
              <w:t>坐标</w:t>
            </w:r>
          </w:p>
        </w:tc>
        <w:tc>
          <w:tcPr>
            <w:tcW w:w="118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lang w:eastAsia="zh-CN"/>
              </w:rPr>
            </w:pPr>
            <w:r>
              <w:rPr>
                <w:rStyle w:val="70"/>
                <w:rFonts w:hint="default" w:ascii="Times New Roman" w:hAnsi="Times New Roman" w:eastAsia="宋体" w:cs="Times New Roman"/>
                <w:b/>
                <w:snapToGrid w:val="0"/>
                <w:color w:val="auto"/>
                <w:spacing w:val="0"/>
                <w:sz w:val="21"/>
                <w:szCs w:val="21"/>
                <w:lang w:eastAsia="zh-CN"/>
              </w:rPr>
              <w:t>水井类型</w:t>
            </w: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lang w:eastAsia="zh-CN"/>
              </w:rPr>
            </w:pPr>
            <w:r>
              <w:rPr>
                <w:rStyle w:val="70"/>
                <w:rFonts w:hint="default" w:ascii="Times New Roman" w:hAnsi="Times New Roman" w:eastAsia="宋体" w:cs="Times New Roman"/>
                <w:b/>
                <w:snapToGrid w:val="0"/>
                <w:color w:val="auto"/>
                <w:spacing w:val="0"/>
                <w:sz w:val="21"/>
                <w:szCs w:val="21"/>
                <w:lang w:eastAsia="zh-CN"/>
              </w:rPr>
              <w:t>井深</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lang w:eastAsia="zh-CN"/>
              </w:rPr>
            </w:pPr>
            <w:r>
              <w:rPr>
                <w:rStyle w:val="70"/>
                <w:rFonts w:hint="eastAsia" w:ascii="Times New Roman" w:hAnsi="Times New Roman" w:eastAsia="宋体" w:cs="Times New Roman"/>
                <w:b/>
                <w:snapToGrid w:val="0"/>
                <w:color w:val="auto"/>
                <w:spacing w:val="0"/>
                <w:sz w:val="21"/>
                <w:szCs w:val="21"/>
                <w:lang w:eastAsia="zh-CN"/>
              </w:rPr>
              <w:t>（</w:t>
            </w:r>
            <w:r>
              <w:rPr>
                <w:rStyle w:val="70"/>
                <w:rFonts w:hint="eastAsia" w:ascii="Times New Roman" w:hAnsi="Times New Roman" w:eastAsia="宋体" w:cs="Times New Roman"/>
                <w:b/>
                <w:snapToGrid w:val="0"/>
                <w:color w:val="auto"/>
                <w:spacing w:val="0"/>
                <w:sz w:val="21"/>
                <w:szCs w:val="21"/>
                <w:lang w:val="en-US" w:eastAsia="zh-CN"/>
              </w:rPr>
              <w:t>m</w:t>
            </w:r>
            <w:r>
              <w:rPr>
                <w:rStyle w:val="70"/>
                <w:rFonts w:hint="eastAsia" w:ascii="Times New Roman" w:hAnsi="Times New Roman" w:eastAsia="宋体" w:cs="Times New Roman"/>
                <w:b/>
                <w:snapToGrid w:val="0"/>
                <w:color w:val="auto"/>
                <w:spacing w:val="0"/>
                <w:sz w:val="21"/>
                <w:szCs w:val="21"/>
                <w:lang w:eastAsia="zh-CN"/>
              </w:rPr>
              <w:t>）</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0"/>
                <w:rFonts w:hint="default" w:ascii="Times New Roman" w:hAnsi="Times New Roman" w:eastAsia="宋体" w:cs="Times New Roman"/>
                <w:b/>
                <w:snapToGrid w:val="0"/>
                <w:color w:val="auto"/>
                <w:spacing w:val="0"/>
                <w:sz w:val="21"/>
                <w:szCs w:val="21"/>
                <w:lang w:eastAsia="zh-CN"/>
              </w:rPr>
            </w:pPr>
            <w:r>
              <w:rPr>
                <w:rStyle w:val="70"/>
                <w:rFonts w:hint="default" w:ascii="Times New Roman" w:hAnsi="Times New Roman" w:eastAsia="宋体" w:cs="Times New Roman"/>
                <w:b/>
                <w:snapToGrid w:val="0"/>
                <w:color w:val="auto"/>
                <w:spacing w:val="0"/>
                <w:sz w:val="21"/>
                <w:szCs w:val="21"/>
                <w:lang w:eastAsia="zh-CN"/>
              </w:rPr>
              <w:t>水位</w:t>
            </w:r>
            <w:r>
              <w:rPr>
                <w:rStyle w:val="70"/>
                <w:rFonts w:hint="eastAsia" w:ascii="Times New Roman" w:hAnsi="Times New Roman" w:eastAsia="宋体" w:cs="Times New Roman"/>
                <w:b/>
                <w:snapToGrid w:val="0"/>
                <w:color w:val="auto"/>
                <w:spacing w:val="0"/>
                <w:sz w:val="21"/>
                <w:szCs w:val="21"/>
                <w:lang w:eastAsia="zh-CN"/>
              </w:rPr>
              <w:t>埋深（</w:t>
            </w:r>
            <w:r>
              <w:rPr>
                <w:rStyle w:val="70"/>
                <w:rFonts w:hint="eastAsia" w:ascii="Times New Roman" w:hAnsi="Times New Roman" w:eastAsia="宋体" w:cs="Times New Roman"/>
                <w:b/>
                <w:snapToGrid w:val="0"/>
                <w:color w:val="auto"/>
                <w:spacing w:val="0"/>
                <w:sz w:val="21"/>
                <w:szCs w:val="21"/>
                <w:lang w:val="en-US" w:eastAsia="zh-CN"/>
              </w:rPr>
              <w:t>m</w:t>
            </w:r>
            <w:r>
              <w:rPr>
                <w:rStyle w:val="70"/>
                <w:rFonts w:hint="eastAsia" w:ascii="Times New Roman" w:hAnsi="Times New Roman" w:eastAsia="宋体" w:cs="Times New Roman"/>
                <w:b/>
                <w:snapToGrid w:val="0"/>
                <w:color w:val="auto"/>
                <w:spacing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5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D1</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项目上游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default" w:ascii="Times New Roman" w:hAnsi="Times New Roman" w:eastAsia="宋体" w:cs="Times New Roman"/>
                <w:b w:val="0"/>
                <w:bCs/>
                <w:snapToGrid w:val="0"/>
                <w:color w:val="auto"/>
                <w:kern w:val="0"/>
                <w:sz w:val="21"/>
                <w:szCs w:val="21"/>
                <w:lang w:val="en-US" w:eastAsia="zh-CN"/>
              </w:rPr>
              <w:t>W</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lang w:val="en-US"/>
              </w:rPr>
              <w:t>0.35km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p>
        </w:tc>
        <w:tc>
          <w:tcPr>
            <w:tcW w:w="118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水质水位井</w:t>
            </w:r>
            <w:r>
              <w:rPr>
                <w:rStyle w:val="74"/>
                <w:rFonts w:hint="default" w:ascii="Times New Roman" w:hAnsi="Times New Roman" w:eastAsia="宋体" w:cs="Times New Roman"/>
                <w:b w:val="0"/>
                <w:bCs/>
                <w:snapToGrid w:val="0"/>
                <w:color w:val="auto"/>
                <w:kern w:val="0"/>
                <w:sz w:val="21"/>
                <w:szCs w:val="21"/>
                <w:lang w:val="en-US"/>
              </w:rPr>
              <w:t xml:space="preserve"> </w:t>
            </w: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20</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5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D2</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项目侧游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eastAsia="zh-CN"/>
              </w:rPr>
              <w:t>S</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lang w:val="en-US"/>
              </w:rPr>
              <w:t>0.57k</w:t>
            </w:r>
            <w:r>
              <w:rPr>
                <w:rStyle w:val="74"/>
                <w:rFonts w:hint="default" w:ascii="Times New Roman" w:hAnsi="Times New Roman" w:eastAsia="宋体" w:cs="Times New Roman"/>
                <w:b w:val="0"/>
                <w:bCs/>
                <w:snapToGrid w:val="0"/>
                <w:color w:val="auto"/>
                <w:kern w:val="0"/>
                <w:sz w:val="21"/>
                <w:szCs w:val="21"/>
              </w:rPr>
              <w:t>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p>
        </w:tc>
        <w:tc>
          <w:tcPr>
            <w:tcW w:w="118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20</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5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D3</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项目下游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eastAsia="zh-CN"/>
              </w:rPr>
              <w:t>E</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lang w:val="en-US"/>
              </w:rPr>
              <w:t>1.4k</w:t>
            </w:r>
            <w:r>
              <w:rPr>
                <w:rStyle w:val="74"/>
                <w:rFonts w:hint="default" w:ascii="Times New Roman" w:hAnsi="Times New Roman" w:eastAsia="宋体" w:cs="Times New Roman"/>
                <w:b w:val="0"/>
                <w:bCs/>
                <w:snapToGrid w:val="0"/>
                <w:color w:val="auto"/>
                <w:kern w:val="0"/>
                <w:sz w:val="21"/>
                <w:szCs w:val="21"/>
              </w:rPr>
              <w:t>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p>
        </w:tc>
        <w:tc>
          <w:tcPr>
            <w:tcW w:w="118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20</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5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D4</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项目侧游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default" w:ascii="Times New Roman" w:hAnsi="Times New Roman" w:eastAsia="宋体" w:cs="Times New Roman"/>
                <w:b w:val="0"/>
                <w:bCs/>
                <w:snapToGrid w:val="0"/>
                <w:color w:val="auto"/>
                <w:kern w:val="0"/>
                <w:sz w:val="21"/>
                <w:szCs w:val="21"/>
                <w:lang w:val="en-US" w:eastAsia="zh-CN"/>
              </w:rPr>
              <w:t>SE</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1.87km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8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水位监测井</w:t>
            </w: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15</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5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D5</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项目侧游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default" w:ascii="Times New Roman" w:hAnsi="Times New Roman" w:eastAsia="宋体" w:cs="Times New Roman"/>
                <w:b w:val="0"/>
                <w:bCs/>
                <w:snapToGrid w:val="0"/>
                <w:color w:val="auto"/>
                <w:kern w:val="0"/>
                <w:sz w:val="21"/>
                <w:szCs w:val="21"/>
                <w:lang w:val="en-US" w:eastAsia="zh-CN"/>
              </w:rPr>
              <w:t>S</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0.65km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8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15</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atLeast"/>
          <w:jc w:val="center"/>
        </w:trPr>
        <w:tc>
          <w:tcPr>
            <w:tcW w:w="69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D6</w:t>
            </w:r>
          </w:p>
        </w:tc>
        <w:tc>
          <w:tcPr>
            <w:tcW w:w="104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r>
              <w:rPr>
                <w:rStyle w:val="74"/>
                <w:rFonts w:hint="default" w:ascii="Times New Roman" w:hAnsi="Times New Roman" w:eastAsia="宋体" w:cs="Times New Roman"/>
                <w:b w:val="0"/>
                <w:bCs/>
                <w:snapToGrid w:val="0"/>
                <w:color w:val="auto"/>
                <w:kern w:val="0"/>
                <w:sz w:val="21"/>
                <w:szCs w:val="21"/>
              </w:rPr>
              <w:t>项目侧游</w:t>
            </w:r>
          </w:p>
        </w:tc>
        <w:tc>
          <w:tcPr>
            <w:tcW w:w="7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default" w:ascii="Times New Roman" w:hAnsi="Times New Roman" w:eastAsia="宋体" w:cs="Times New Roman"/>
                <w:b w:val="0"/>
                <w:bCs/>
                <w:snapToGrid w:val="0"/>
                <w:color w:val="auto"/>
                <w:kern w:val="0"/>
                <w:sz w:val="21"/>
                <w:szCs w:val="21"/>
                <w:lang w:val="en-US" w:eastAsia="zh-CN"/>
              </w:rPr>
              <w:t>S</w:t>
            </w:r>
          </w:p>
        </w:tc>
        <w:tc>
          <w:tcPr>
            <w:tcW w:w="89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rPr>
            </w:pPr>
            <w:r>
              <w:rPr>
                <w:rStyle w:val="74"/>
                <w:rFonts w:hint="default" w:ascii="Times New Roman" w:hAnsi="Times New Roman" w:eastAsia="宋体" w:cs="Times New Roman"/>
                <w:b w:val="0"/>
                <w:bCs/>
                <w:snapToGrid w:val="0"/>
                <w:color w:val="auto"/>
                <w:kern w:val="0"/>
                <w:sz w:val="21"/>
                <w:szCs w:val="21"/>
                <w:lang w:val="en-US"/>
              </w:rPr>
              <w:t>0.74km</w:t>
            </w:r>
          </w:p>
        </w:tc>
        <w:tc>
          <w:tcPr>
            <w:tcW w:w="161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8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rPr>
            </w:pPr>
          </w:p>
        </w:tc>
        <w:tc>
          <w:tcPr>
            <w:tcW w:w="112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15</w:t>
            </w:r>
          </w:p>
        </w:tc>
        <w:tc>
          <w:tcPr>
            <w:tcW w:w="115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74"/>
                <w:rFonts w:hint="default" w:ascii="Times New Roman" w:hAnsi="Times New Roman" w:eastAsia="宋体" w:cs="Times New Roman"/>
                <w:b w:val="0"/>
                <w:bCs/>
                <w:snapToGrid w:val="0"/>
                <w:color w:val="auto"/>
                <w:kern w:val="0"/>
                <w:sz w:val="21"/>
                <w:szCs w:val="21"/>
                <w:lang w:val="en-US" w:eastAsia="zh-CN"/>
              </w:rPr>
            </w:pPr>
            <w:r>
              <w:rPr>
                <w:rStyle w:val="74"/>
                <w:rFonts w:hint="eastAsia" w:ascii="Times New Roman" w:hAnsi="Times New Roman" w:eastAsia="宋体" w:cs="Times New Roman"/>
                <w:b w:val="0"/>
                <w:bCs/>
                <w:snapToGrid w:val="0"/>
                <w:color w:val="auto"/>
                <w:kern w:val="0"/>
                <w:sz w:val="21"/>
                <w:szCs w:val="21"/>
                <w:lang w:val="en-US" w:eastAsia="zh-CN"/>
              </w:rPr>
              <w:t>4</w:t>
            </w:r>
          </w:p>
        </w:tc>
      </w:tr>
    </w:tbl>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监测因子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bidi="ar"/>
        </w:rPr>
        <w:t>pH、氨氮、硝酸盐氮、亚硝酸盐氮、挥发酚、氰化物、砷、汞、六价铬、总硬度、铅、氟化物、镉、铁、锰、溶解性总固体、耗氧量、硫酸盐、氯化物、总大肠菌群、细菌总数、阴离子表面活性剂、K</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4"/>
          <w:szCs w:val="24"/>
          <w:highlight w:val="none"/>
          <w:lang w:val="en-US" w:eastAsia="zh-CN" w:bidi="ar"/>
        </w:rPr>
        <w:t>、Na</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4"/>
          <w:szCs w:val="24"/>
          <w:highlight w:val="none"/>
          <w:lang w:val="en-US" w:eastAsia="zh-CN" w:bidi="ar"/>
        </w:rPr>
        <w:t>、Ca</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4"/>
          <w:szCs w:val="24"/>
          <w:highlight w:val="none"/>
          <w:lang w:val="en-US" w:eastAsia="zh-CN" w:bidi="ar"/>
        </w:rPr>
        <w:t>、Mg</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4"/>
          <w:szCs w:val="24"/>
          <w:highlight w:val="none"/>
          <w:lang w:val="en-US" w:eastAsia="zh-CN" w:bidi="ar"/>
        </w:rPr>
        <w:t>、CO</w:t>
      </w:r>
      <w:r>
        <w:rPr>
          <w:rFonts w:hint="default" w:ascii="Times New Roman" w:hAnsi="Times New Roman" w:eastAsia="宋体" w:cs="Times New Roman"/>
          <w:color w:val="auto"/>
          <w:spacing w:val="0"/>
          <w:w w:val="100"/>
          <w:kern w:val="0"/>
          <w:position w:val="0"/>
          <w:sz w:val="24"/>
          <w:szCs w:val="24"/>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4"/>
          <w:szCs w:val="24"/>
          <w:highlight w:val="none"/>
          <w:lang w:val="en-US" w:eastAsia="zh-CN" w:bidi="ar"/>
        </w:rPr>
        <w:t>、HCO</w:t>
      </w:r>
      <w:r>
        <w:rPr>
          <w:rFonts w:hint="default" w:ascii="Times New Roman" w:hAnsi="Times New Roman" w:eastAsia="宋体" w:cs="Times New Roman"/>
          <w:color w:val="auto"/>
          <w:spacing w:val="0"/>
          <w:w w:val="100"/>
          <w:kern w:val="0"/>
          <w:position w:val="0"/>
          <w:sz w:val="24"/>
          <w:szCs w:val="24"/>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4"/>
          <w:szCs w:val="24"/>
          <w:highlight w:val="none"/>
          <w:lang w:val="en-US" w:eastAsia="zh-CN" w:bidi="ar"/>
        </w:rPr>
        <w:t>、C</w:t>
      </w:r>
      <w:r>
        <w:rPr>
          <w:rFonts w:hint="default" w:ascii="Times New Roman" w:hAnsi="Times New Roman" w:eastAsia="宋体" w:cs="Times New Roman"/>
          <w:color w:val="auto"/>
          <w:spacing w:val="0"/>
          <w:w w:val="100"/>
          <w:kern w:val="0"/>
          <w:position w:val="0"/>
          <w:sz w:val="24"/>
          <w:szCs w:val="24"/>
          <w:highlight w:val="none"/>
          <w:vertAlign w:val="baseline"/>
          <w:lang w:val="en-US" w:eastAsia="zh-CN" w:bidi="ar"/>
        </w:rPr>
        <w:t>l</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w:t>
      </w:r>
      <w:r>
        <w:rPr>
          <w:rFonts w:hint="default" w:ascii="Times New Roman" w:hAnsi="Times New Roman" w:eastAsia="宋体" w:cs="Times New Roman"/>
          <w:color w:val="auto"/>
          <w:spacing w:val="0"/>
          <w:w w:val="100"/>
          <w:kern w:val="0"/>
          <w:position w:val="0"/>
          <w:sz w:val="24"/>
          <w:szCs w:val="24"/>
          <w:highlight w:val="none"/>
          <w:lang w:val="en-US" w:eastAsia="zh-CN" w:bidi="ar"/>
        </w:rPr>
        <w:t>、SO</w:t>
      </w:r>
      <w:r>
        <w:rPr>
          <w:rFonts w:hint="default" w:ascii="Times New Roman" w:hAnsi="Times New Roman" w:eastAsia="宋体" w:cs="Times New Roman"/>
          <w:color w:val="auto"/>
          <w:spacing w:val="0"/>
          <w:w w:val="100"/>
          <w:kern w:val="0"/>
          <w:position w:val="0"/>
          <w:sz w:val="24"/>
          <w:szCs w:val="24"/>
          <w:highlight w:val="none"/>
          <w:vertAlign w:val="subscript"/>
          <w:lang w:val="en-US" w:eastAsia="zh-CN" w:bidi="ar"/>
        </w:rPr>
        <w:t>4</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bidi="ar"/>
        </w:rPr>
        <w:t>2-</w:t>
      </w:r>
      <w:r>
        <w:rPr>
          <w:rFonts w:hint="default" w:ascii="Times New Roman" w:hAnsi="Times New Roman" w:eastAsia="宋体" w:cs="Times New Roman"/>
          <w:color w:val="auto"/>
          <w:spacing w:val="0"/>
          <w:w w:val="100"/>
          <w:kern w:val="0"/>
          <w:position w:val="0"/>
          <w:sz w:val="24"/>
          <w:szCs w:val="24"/>
          <w:highlight w:val="none"/>
        </w:rPr>
        <w:t>共</w:t>
      </w:r>
      <w:r>
        <w:rPr>
          <w:rFonts w:hint="default" w:ascii="Times New Roman" w:hAnsi="Times New Roman" w:eastAsia="宋体" w:cs="Times New Roman"/>
          <w:color w:val="auto"/>
          <w:spacing w:val="0"/>
          <w:w w:val="100"/>
          <w:kern w:val="0"/>
          <w:position w:val="0"/>
          <w:sz w:val="24"/>
          <w:szCs w:val="24"/>
          <w:highlight w:val="none"/>
          <w:lang w:val="en-US" w:eastAsia="zh-CN"/>
        </w:rPr>
        <w:t>30</w:t>
      </w:r>
      <w:r>
        <w:rPr>
          <w:rFonts w:hint="default" w:ascii="Times New Roman" w:hAnsi="Times New Roman" w:eastAsia="宋体" w:cs="Times New Roman"/>
          <w:color w:val="auto"/>
          <w:spacing w:val="0"/>
          <w:w w:val="100"/>
          <w:kern w:val="0"/>
          <w:position w:val="0"/>
          <w:sz w:val="24"/>
          <w:szCs w:val="24"/>
          <w:highlight w:val="none"/>
        </w:rPr>
        <w:t>项。</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监测时间及频次</w:t>
      </w:r>
    </w:p>
    <w:p>
      <w:pPr>
        <w:pStyle w:val="16"/>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highlight w:val="none"/>
          <w:lang w:val="sq-AL"/>
        </w:rPr>
        <w:t>202</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default" w:ascii="Times New Roman" w:hAnsi="Times New Roman" w:eastAsia="宋体" w:cs="Times New Roman"/>
          <w:snapToGrid w:val="0"/>
          <w:color w:val="auto"/>
          <w:spacing w:val="0"/>
          <w:w w:val="100"/>
          <w:kern w:val="0"/>
          <w:position w:val="0"/>
          <w:sz w:val="24"/>
          <w:highlight w:val="none"/>
          <w:lang w:val="sq-AL"/>
        </w:rPr>
        <w:t>年</w:t>
      </w:r>
      <w:r>
        <w:rPr>
          <w:rFonts w:hint="default" w:ascii="Times New Roman" w:hAnsi="Times New Roman" w:eastAsia="宋体" w:cs="Times New Roman"/>
          <w:snapToGrid w:val="0"/>
          <w:color w:val="auto"/>
          <w:spacing w:val="0"/>
          <w:w w:val="100"/>
          <w:kern w:val="0"/>
          <w:position w:val="0"/>
          <w:sz w:val="24"/>
          <w:highlight w:val="none"/>
          <w:lang w:val="en-US" w:eastAsia="zh-CN"/>
        </w:rPr>
        <w:t>1</w:t>
      </w:r>
      <w:r>
        <w:rPr>
          <w:rFonts w:hint="eastAsia" w:ascii="Times New Roman" w:hAnsi="Times New Roman" w:cs="Times New Roman"/>
          <w:snapToGrid w:val="0"/>
          <w:color w:val="auto"/>
          <w:spacing w:val="0"/>
          <w:w w:val="100"/>
          <w:kern w:val="0"/>
          <w:position w:val="0"/>
          <w:sz w:val="24"/>
          <w:highlight w:val="none"/>
          <w:lang w:val="en-US" w:eastAsia="zh-CN"/>
        </w:rPr>
        <w:t>2</w:t>
      </w:r>
      <w:r>
        <w:rPr>
          <w:rFonts w:hint="default" w:ascii="Times New Roman" w:hAnsi="Times New Roman" w:eastAsia="宋体" w:cs="Times New Roman"/>
          <w:snapToGrid w:val="0"/>
          <w:color w:val="auto"/>
          <w:spacing w:val="0"/>
          <w:w w:val="100"/>
          <w:kern w:val="0"/>
          <w:position w:val="0"/>
          <w:sz w:val="24"/>
          <w:highlight w:val="none"/>
          <w:lang w:val="sq-AL"/>
        </w:rPr>
        <w:t>月</w:t>
      </w:r>
      <w:r>
        <w:rPr>
          <w:rFonts w:hint="eastAsia" w:ascii="Times New Roman" w:hAnsi="Times New Roman" w:cs="Times New Roman"/>
          <w:snapToGrid w:val="0"/>
          <w:color w:val="auto"/>
          <w:spacing w:val="0"/>
          <w:w w:val="100"/>
          <w:kern w:val="0"/>
          <w:position w:val="0"/>
          <w:sz w:val="24"/>
          <w:highlight w:val="none"/>
          <w:lang w:val="en-US" w:eastAsia="zh-CN"/>
        </w:rPr>
        <w:t>6</w:t>
      </w:r>
      <w:r>
        <w:rPr>
          <w:rFonts w:hint="default" w:ascii="Times New Roman" w:hAnsi="Times New Roman" w:eastAsia="宋体" w:cs="Times New Roman"/>
          <w:snapToGrid w:val="0"/>
          <w:color w:val="auto"/>
          <w:spacing w:val="0"/>
          <w:w w:val="100"/>
          <w:kern w:val="0"/>
          <w:position w:val="0"/>
          <w:sz w:val="24"/>
          <w:highlight w:val="none"/>
          <w:lang w:val="sq-AL"/>
        </w:rPr>
        <w:t>日</w:t>
      </w:r>
      <w:r>
        <w:rPr>
          <w:rFonts w:hint="default" w:ascii="Times New Roman" w:hAnsi="Times New Roman" w:eastAsia="宋体" w:cs="Times New Roman"/>
          <w:color w:val="auto"/>
          <w:spacing w:val="0"/>
          <w:w w:val="100"/>
          <w:kern w:val="0"/>
          <w:position w:val="0"/>
          <w:sz w:val="24"/>
          <w:szCs w:val="24"/>
          <w:highlight w:val="none"/>
        </w:rPr>
        <w:t>，检测</w:t>
      </w:r>
      <w:r>
        <w:rPr>
          <w:rFonts w:hint="eastAsia" w:ascii="Times New Roman" w:hAnsi="Times New Roman"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天，检测频率为每天采样1次。</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监测分析方法</w:t>
      </w:r>
    </w:p>
    <w:p>
      <w:pPr>
        <w:pStyle w:val="16"/>
        <w:adjustRightIn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本项目地下水监测和分析方法按照《地下水质量标准》（GB/T14848-2017）和国家环保总局颁布的《水和废水监测分析方法》（第四版）中的要求的方法执行，详见表3.2-</w:t>
      </w:r>
      <w:r>
        <w:rPr>
          <w:rFonts w:hint="eastAsia" w:ascii="Times New Roman" w:hAnsi="Times New Roman" w:cs="Times New Roman"/>
          <w:color w:val="auto"/>
          <w:spacing w:val="0"/>
          <w:w w:val="100"/>
          <w:kern w:val="0"/>
          <w:position w:val="0"/>
          <w:sz w:val="24"/>
          <w:szCs w:val="24"/>
          <w:highlight w:val="none"/>
          <w:lang w:val="en-US" w:eastAsia="zh-CN"/>
        </w:rPr>
        <w:t>8</w:t>
      </w:r>
      <w:r>
        <w:rPr>
          <w:rFonts w:hint="default" w:ascii="Times New Roman" w:hAnsi="Times New Roman" w:eastAsia="宋体" w:cs="Times New Roman"/>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w:t>
      </w:r>
      <w:r>
        <w:rPr>
          <w:rFonts w:hint="eastAsia" w:ascii="Times New Roman" w:hAnsi="Times New Roman" w:cs="Times New Roman"/>
          <w:b/>
          <w:bCs w:val="0"/>
          <w:color w:val="auto"/>
          <w:spacing w:val="0"/>
          <w:w w:val="100"/>
          <w:kern w:val="0"/>
          <w:position w:val="0"/>
          <w:sz w:val="24"/>
          <w:szCs w:val="24"/>
          <w:highlight w:val="none"/>
          <w:lang w:val="en-US" w:eastAsia="zh-CN" w:bidi="ar-SA"/>
        </w:rPr>
        <w:t>8</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地下水检测分析方法一览表</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3738"/>
        <w:gridCol w:w="1530"/>
        <w:gridCol w:w="1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检测因子</w:t>
            </w:r>
          </w:p>
        </w:tc>
        <w:tc>
          <w:tcPr>
            <w:tcW w:w="3487"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分析方法名称及依据</w:t>
            </w:r>
          </w:p>
        </w:tc>
        <w:tc>
          <w:tcPr>
            <w:tcW w:w="1427" w:type="dxa"/>
            <w:tcBorders>
              <w:tl2br w:val="nil"/>
              <w:tr2bl w:val="nil"/>
            </w:tcBorders>
            <w:vAlign w:val="center"/>
          </w:tcPr>
          <w:p>
            <w:pPr>
              <w:pStyle w:val="13"/>
              <w:adjustRightInd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方法检出限</w:t>
            </w:r>
          </w:p>
        </w:tc>
        <w:tc>
          <w:tcPr>
            <w:tcW w:w="1804" w:type="dxa"/>
            <w:tcBorders>
              <w:tl2br w:val="nil"/>
              <w:tr2bl w:val="nil"/>
            </w:tcBorders>
            <w:vAlign w:val="center"/>
          </w:tcPr>
          <w:p>
            <w:pPr>
              <w:pStyle w:val="13"/>
              <w:adjustRightInd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仪器名称</w:t>
            </w:r>
          </w:p>
          <w:p>
            <w:pPr>
              <w:pStyle w:val="13"/>
              <w:adjustRightInd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及型号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（无量纲）</w:t>
            </w:r>
          </w:p>
        </w:tc>
        <w:tc>
          <w:tcPr>
            <w:tcW w:w="3487" w:type="dxa"/>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《水质 pH值的测定 电极法》（</w:t>
            </w:r>
            <w:r>
              <w:rPr>
                <w:rFonts w:hint="default" w:ascii="Times New Roman" w:hAnsi="Times New Roman" w:eastAsia="宋体" w:cs="Times New Roman"/>
                <w:sz w:val="21"/>
                <w:szCs w:val="21"/>
                <w:highlight w:val="none"/>
                <w:lang w:val="en-US" w:eastAsia="zh-CN"/>
              </w:rPr>
              <w:t>HJ1147-2020</w:t>
            </w:r>
            <w:r>
              <w:rPr>
                <w:rFonts w:hint="default" w:ascii="Times New Roman" w:hAnsi="Times New Roman" w:eastAsia="宋体" w:cs="Times New Roman"/>
                <w:sz w:val="21"/>
                <w:szCs w:val="21"/>
                <w:highlight w:val="none"/>
              </w:rPr>
              <w:t>）</w:t>
            </w:r>
          </w:p>
        </w:tc>
        <w:tc>
          <w:tcPr>
            <w:tcW w:w="1427" w:type="dxa"/>
            <w:tcBorders>
              <w:tl2br w:val="nil"/>
              <w:tr2bl w:val="nil"/>
            </w:tcBorders>
            <w:vAlign w:val="center"/>
          </w:tcPr>
          <w:p>
            <w:pPr>
              <w:snapToGrid w:val="0"/>
              <w:spacing w:line="300" w:lineRule="exact"/>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lang w:val="en-US" w:eastAsia="zh-CN"/>
              </w:rPr>
              <w:t>-</w:t>
            </w:r>
          </w:p>
        </w:tc>
        <w:tc>
          <w:tcPr>
            <w:tcW w:w="1804"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lang w:bidi="ar"/>
              </w:rPr>
              <w:t>pH（酸度）计</w:t>
            </w:r>
            <w:r>
              <w:rPr>
                <w:rFonts w:hint="default" w:ascii="Times New Roman" w:hAnsi="Times New Roman" w:eastAsia="宋体" w:cs="Times New Roman"/>
                <w:sz w:val="21"/>
                <w:szCs w:val="21"/>
              </w:rPr>
              <w:t>pHS-3E型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挥发性酚类</w:t>
            </w:r>
          </w:p>
        </w:tc>
        <w:tc>
          <w:tcPr>
            <w:tcW w:w="348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挥发酚的测定 4-氨基安替比林分光光度法》HJ 503-2009</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0.0003</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紫外-可见分光光度计L4物联网智能型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氨氮</w:t>
            </w:r>
          </w:p>
        </w:tc>
        <w:tc>
          <w:tcPr>
            <w:tcW w:w="348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氨氮的测定 纳氏试剂分光光度法》HJ 535-2009</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0.025</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snapToGrid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六价铬</w:t>
            </w:r>
          </w:p>
        </w:tc>
        <w:tc>
          <w:tcPr>
            <w:tcW w:w="348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《生活饮用水标准检验方法 金属指标》GB/T 5750.6-2006（10.1）</w:t>
            </w:r>
          </w:p>
        </w:tc>
        <w:tc>
          <w:tcPr>
            <w:tcW w:w="142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0.004</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溶解性总固体</w:t>
            </w:r>
          </w:p>
        </w:tc>
        <w:tc>
          <w:tcPr>
            <w:tcW w:w="3487"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生活饮用水标准检验方法 感官性状和物理指标</w:t>
            </w:r>
            <w:r>
              <w:rPr>
                <w:rFonts w:hint="default" w:ascii="Times New Roman" w:hAnsi="Times New Roman" w:eastAsia="宋体" w:cs="Times New Roman"/>
                <w:sz w:val="21"/>
                <w:szCs w:val="21"/>
                <w:highlight w:val="none"/>
              </w:rPr>
              <w:t>》GB/T</w:t>
            </w:r>
            <w:r>
              <w:rPr>
                <w:rFonts w:hint="default" w:ascii="Times New Roman" w:hAnsi="Times New Roman" w:eastAsia="宋体" w:cs="Times New Roman"/>
                <w:sz w:val="21"/>
                <w:szCs w:val="21"/>
                <w:highlight w:val="none"/>
                <w:lang w:val="en-US" w:eastAsia="zh-CN"/>
              </w:rPr>
              <w:t>5754.4-2006</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804"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电子天平FA1204N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总硬度</w:t>
            </w:r>
          </w:p>
        </w:tc>
        <w:tc>
          <w:tcPr>
            <w:tcW w:w="348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钙和镁总量的测定 EDTA滴定法》GB 7477-87</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804"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CO3</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(mol/L)</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酸碱指示剂滴定法《水和废水监测分析方法》（第四版增补版）</w:t>
            </w:r>
          </w:p>
        </w:tc>
        <w:tc>
          <w:tcPr>
            <w:tcW w:w="142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HCO</w:t>
            </w:r>
            <w:r>
              <w:rPr>
                <w:rFonts w:hint="default" w:ascii="Times New Roman" w:hAnsi="Times New Roman" w:eastAsia="宋体" w:cs="Times New Roman"/>
                <w:sz w:val="21"/>
                <w:szCs w:val="21"/>
                <w:highlight w:val="none"/>
                <w:vertAlign w:val="superscript"/>
              </w:rPr>
              <w:t xml:space="preserve">3- </w:t>
            </w:r>
            <w:r>
              <w:rPr>
                <w:rFonts w:hint="default" w:ascii="Times New Roman" w:hAnsi="Times New Roman" w:eastAsia="宋体" w:cs="Times New Roman"/>
                <w:sz w:val="21"/>
                <w:szCs w:val="21"/>
                <w:highlight w:val="none"/>
              </w:rPr>
              <w:t>(mol/L)</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c>
          <w:tcPr>
            <w:tcW w:w="1427"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锰</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32种元素的测定 电感耦合等离子体发射光谱法》（HJ 776-2015）</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ICP光谱仪ICAP6300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铁</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2</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汞</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汞、砷、硒、铋和锑的测定原子荧光法》HJ 694-2014</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0.00004</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原子荧光光度计AFS-8520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砷</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0.0003</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镉</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石墨炉原子吸收法《水和废水监测分析方法》（第四版增补版）</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0.0001</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原子吸收分光光度计TAS-990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铅</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0.0010</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w:t>
            </w:r>
            <w:r>
              <w:rPr>
                <w:rFonts w:hint="default" w:ascii="Times New Roman" w:hAnsi="Times New Roman" w:eastAsia="宋体" w:cs="Times New Roman"/>
                <w:sz w:val="21"/>
                <w:szCs w:val="21"/>
                <w:highlight w:val="none"/>
                <w:vertAlign w:val="superscript"/>
              </w:rPr>
              <w:t>+</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可溶性阳离子（Li</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、Na</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4</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、K</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、Ca</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）的测定 离子色谱法》HJ812-2016</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0.02</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离子色谱仪CIC-D120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Na</w:t>
            </w:r>
            <w:r>
              <w:rPr>
                <w:rFonts w:hint="default" w:ascii="Times New Roman" w:hAnsi="Times New Roman" w:eastAsia="宋体" w:cs="Times New Roman"/>
                <w:sz w:val="21"/>
                <w:szCs w:val="21"/>
                <w:highlight w:val="none"/>
                <w:vertAlign w:val="superscript"/>
              </w:rPr>
              <w:t>+</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0.02</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Ca</w:t>
            </w:r>
            <w:r>
              <w:rPr>
                <w:rFonts w:hint="default" w:ascii="Times New Roman" w:hAnsi="Times New Roman" w:eastAsia="宋体" w:cs="Times New Roman"/>
                <w:sz w:val="21"/>
                <w:szCs w:val="21"/>
                <w:highlight w:val="none"/>
                <w:vertAlign w:val="superscript"/>
              </w:rPr>
              <w:t>2+</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0.03</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w:t>
            </w:r>
            <w:r>
              <w:rPr>
                <w:rFonts w:hint="default" w:ascii="Times New Roman" w:hAnsi="Times New Roman" w:eastAsia="宋体" w:cs="Times New Roman"/>
                <w:sz w:val="21"/>
                <w:szCs w:val="21"/>
                <w:highlight w:val="none"/>
                <w:vertAlign w:val="superscript"/>
              </w:rPr>
              <w:t>2+</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0.02</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氯化物</w:t>
            </w:r>
          </w:p>
        </w:tc>
        <w:tc>
          <w:tcPr>
            <w:tcW w:w="3487"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无机阴离子（F</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、Cl</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2</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、Br</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、PO</w:t>
            </w:r>
            <w:r>
              <w:rPr>
                <w:rFonts w:hint="default" w:ascii="Times New Roman" w:hAnsi="Times New Roman" w:eastAsia="宋体" w:cs="Times New Roman"/>
                <w:sz w:val="21"/>
                <w:szCs w:val="21"/>
                <w:highlight w:val="none"/>
                <w:vertAlign w:val="subscript"/>
              </w:rPr>
              <w:t>4</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4</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）的测定 离子色谱法》HJ 84-2016</w:t>
            </w: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0.00</w:t>
            </w:r>
            <w:r>
              <w:rPr>
                <w:rFonts w:hint="default" w:ascii="Times New Roman" w:hAnsi="Times New Roman" w:eastAsia="宋体" w:cs="Times New Roman"/>
                <w:sz w:val="21"/>
                <w:szCs w:val="21"/>
                <w:highlight w:val="none"/>
                <w:lang w:val="en-US" w:eastAsia="zh-CN"/>
              </w:rPr>
              <w:t>7</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氟化物</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硫酸盐</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0.018</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硝酸盐</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0.016</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亚硝酸盐</w:t>
            </w:r>
          </w:p>
        </w:tc>
        <w:tc>
          <w:tcPr>
            <w:tcW w:w="3487"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c>
          <w:tcPr>
            <w:tcW w:w="1427"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0.016</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细菌总数</w:t>
            </w:r>
          </w:p>
        </w:tc>
        <w:tc>
          <w:tcPr>
            <w:tcW w:w="3487" w:type="dxa"/>
            <w:tcBorders>
              <w:tl2br w:val="nil"/>
              <w:tr2bl w:val="nil"/>
            </w:tcBorders>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sz w:val="21"/>
                <w:szCs w:val="21"/>
                <w:highlight w:val="none"/>
              </w:rPr>
              <w:t>生活饮用水标准检验方法 微生物指标》GB/T575</w:t>
            </w:r>
            <w:r>
              <w:rPr>
                <w:rFonts w:hint="default" w:ascii="Times New Roman" w:hAnsi="Times New Roman" w:eastAsia="宋体" w:cs="Times New Roman"/>
                <w:color w:val="000000" w:themeColor="text1"/>
                <w:sz w:val="21"/>
                <w:szCs w:val="21"/>
                <w:highlight w:val="none"/>
                <w14:textFill>
                  <w14:solidFill>
                    <w14:schemeClr w14:val="tx1"/>
                  </w14:solidFill>
                </w14:textFill>
              </w:rPr>
              <w:t>0.12-2006（1）</w:t>
            </w:r>
          </w:p>
        </w:tc>
        <w:tc>
          <w:tcPr>
            <w:tcW w:w="1427" w:type="dxa"/>
            <w:tcBorders>
              <w:tl2br w:val="nil"/>
              <w:tr2bl w:val="nil"/>
            </w:tcBorders>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804" w:type="dxa"/>
            <w:vMerge w:val="restart"/>
            <w:tcBorders>
              <w:tl2br w:val="nil"/>
              <w:tr2bl w:val="nil"/>
            </w:tcBorders>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电热恒温培养箱SPX-150B-Z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总大肠菌群（MPN/100mL）</w:t>
            </w:r>
          </w:p>
        </w:tc>
        <w:tc>
          <w:tcPr>
            <w:tcW w:w="348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《生活饮用水标准检验方法 微生物指标》GB/T5750.12-2006（2.1）</w:t>
            </w:r>
          </w:p>
        </w:tc>
        <w:tc>
          <w:tcPr>
            <w:tcW w:w="142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804" w:type="dxa"/>
            <w:vMerge w:val="continue"/>
            <w:tcBorders>
              <w:tl2br w:val="nil"/>
              <w:tr2bl w:val="nil"/>
            </w:tcBorders>
            <w:vAlign w:val="center"/>
          </w:tcPr>
          <w:p>
            <w:pPr>
              <w:jc w:val="center"/>
              <w:rPr>
                <w:rFonts w:hint="default" w:ascii="Times New Roman" w:hAnsi="Times New Roman" w:eastAsia="宋体"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tcBorders>
              <w:tl2br w:val="nil"/>
              <w:tr2bl w:val="nil"/>
            </w:tcBorders>
            <w:vAlign w:val="center"/>
          </w:tcPr>
          <w:p>
            <w:pPr>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highlight w:val="none"/>
              </w:rPr>
              <w:t>耗氧量</w:t>
            </w:r>
          </w:p>
        </w:tc>
        <w:tc>
          <w:tcPr>
            <w:tcW w:w="348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《生活饮用水标准检验方法 有机物综合指标酸性》GB/T 5750.7-1.1-2006（1.1）</w:t>
            </w:r>
          </w:p>
        </w:tc>
        <w:tc>
          <w:tcPr>
            <w:tcW w:w="1427" w:type="dxa"/>
            <w:tcBorders>
              <w:tl2br w:val="nil"/>
              <w:tr2bl w:val="nil"/>
            </w:tcBorders>
            <w:vAlign w:val="center"/>
          </w:tcPr>
          <w:p>
            <w:pPr>
              <w:pStyle w:val="8"/>
              <w:spacing w:before="0"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0.05</w:t>
            </w:r>
          </w:p>
        </w:tc>
        <w:tc>
          <w:tcPr>
            <w:tcW w:w="1804"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bidi="ar"/>
              </w:rPr>
              <w:t>-</w:t>
            </w:r>
          </w:p>
        </w:tc>
      </w:tr>
    </w:tbl>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⑸监测结果</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监测结果详见表3.2-</w:t>
      </w:r>
      <w:r>
        <w:rPr>
          <w:rFonts w:hint="eastAsia" w:ascii="Times New Roman" w:hAnsi="Times New Roman" w:cs="Times New Roman"/>
          <w:color w:val="auto"/>
          <w:spacing w:val="0"/>
          <w:w w:val="100"/>
          <w:kern w:val="0"/>
          <w:position w:val="0"/>
          <w:sz w:val="24"/>
          <w:szCs w:val="24"/>
          <w:highlight w:val="none"/>
          <w:lang w:val="en-US" w:eastAsia="zh-CN"/>
        </w:rPr>
        <w:t>9</w:t>
      </w:r>
      <w:r>
        <w:rPr>
          <w:rFonts w:hint="default" w:ascii="Times New Roman" w:hAnsi="Times New Roman" w:eastAsia="宋体" w:cs="Times New Roman"/>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w:t>
      </w:r>
      <w:r>
        <w:rPr>
          <w:rFonts w:hint="eastAsia" w:ascii="Times New Roman" w:hAnsi="Times New Roman" w:cs="Times New Roman"/>
          <w:b/>
          <w:bCs w:val="0"/>
          <w:color w:val="auto"/>
          <w:spacing w:val="0"/>
          <w:w w:val="100"/>
          <w:kern w:val="0"/>
          <w:position w:val="0"/>
          <w:sz w:val="24"/>
          <w:szCs w:val="24"/>
          <w:highlight w:val="none"/>
          <w:lang w:val="en-US" w:eastAsia="zh-CN" w:bidi="ar-SA"/>
        </w:rPr>
        <w:t>9</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地下水检测结果一览表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49"/>
        <w:gridCol w:w="1204"/>
        <w:gridCol w:w="1527"/>
        <w:gridCol w:w="1432"/>
        <w:gridCol w:w="1437"/>
        <w:gridCol w:w="940"/>
        <w:gridCol w:w="7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vMerge w:val="restar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bookmarkStart w:id="644" w:name="_Hlk71720836"/>
            <w:r>
              <w:rPr>
                <w:rFonts w:hint="default" w:ascii="Times New Roman" w:hAnsi="Times New Roman" w:eastAsia="宋体" w:cs="Times New Roman"/>
                <w:b/>
                <w:bCs/>
                <w:color w:val="auto"/>
                <w:spacing w:val="0"/>
                <w:w w:val="100"/>
                <w:kern w:val="0"/>
                <w:position w:val="0"/>
                <w:sz w:val="21"/>
                <w:szCs w:val="21"/>
                <w:highlight w:val="none"/>
                <w:lang w:val="en-US" w:eastAsia="zh-CN" w:bidi="ar"/>
              </w:rPr>
              <w:t>项目</w:t>
            </w:r>
          </w:p>
        </w:tc>
        <w:tc>
          <w:tcPr>
            <w:tcW w:w="673" w:type="pct"/>
            <w:vMerge w:val="restar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单位</w:t>
            </w:r>
          </w:p>
        </w:tc>
        <w:tc>
          <w:tcPr>
            <w:tcW w:w="2456" w:type="pct"/>
            <w:gridSpan w:val="3"/>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检测结果（10.14）</w:t>
            </w:r>
          </w:p>
        </w:tc>
        <w:tc>
          <w:tcPr>
            <w:tcW w:w="525" w:type="pct"/>
            <w:vMerge w:val="restar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标准</w:t>
            </w:r>
          </w:p>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限制</w:t>
            </w:r>
          </w:p>
        </w:tc>
        <w:tc>
          <w:tcPr>
            <w:tcW w:w="421" w:type="pct"/>
            <w:vMerge w:val="restar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达标</w:t>
            </w:r>
          </w:p>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4"/>
                <w:szCs w:val="24"/>
              </w:rPr>
            </w:pPr>
          </w:p>
        </w:tc>
        <w:tc>
          <w:tcPr>
            <w:tcW w:w="673"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4"/>
                <w:szCs w:val="24"/>
              </w:rPr>
            </w:pPr>
          </w:p>
        </w:tc>
        <w:tc>
          <w:tcPr>
            <w:tcW w:w="85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eastAsia" w:ascii="Times New Roman" w:hAnsi="Times New Roman" w:cs="Times New Roman"/>
                <w:b/>
                <w:bCs/>
                <w:color w:val="auto"/>
                <w:spacing w:val="0"/>
                <w:w w:val="100"/>
                <w:kern w:val="0"/>
                <w:position w:val="0"/>
                <w:sz w:val="21"/>
                <w:szCs w:val="21"/>
                <w:highlight w:val="none"/>
                <w:lang w:val="en-US" w:eastAsia="zh-CN" w:bidi="ar"/>
              </w:rPr>
              <w:t>D1</w:t>
            </w:r>
          </w:p>
        </w:tc>
        <w:tc>
          <w:tcPr>
            <w:tcW w:w="800"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eastAsia" w:ascii="Times New Roman" w:hAnsi="Times New Roman" w:cs="Times New Roman"/>
                <w:b/>
                <w:bCs/>
                <w:color w:val="auto"/>
                <w:spacing w:val="0"/>
                <w:w w:val="100"/>
                <w:kern w:val="0"/>
                <w:position w:val="0"/>
                <w:sz w:val="21"/>
                <w:szCs w:val="21"/>
                <w:highlight w:val="none"/>
                <w:lang w:val="en-US" w:eastAsia="zh-CN" w:bidi="ar"/>
              </w:rPr>
              <w:t>D2</w:t>
            </w:r>
          </w:p>
        </w:tc>
        <w:tc>
          <w:tcPr>
            <w:tcW w:w="80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eastAsia" w:ascii="Times New Roman" w:hAnsi="Times New Roman" w:cs="Times New Roman"/>
                <w:b/>
                <w:bCs/>
                <w:color w:val="auto"/>
                <w:spacing w:val="0"/>
                <w:w w:val="100"/>
                <w:kern w:val="0"/>
                <w:position w:val="0"/>
                <w:sz w:val="21"/>
                <w:szCs w:val="21"/>
                <w:highlight w:val="none"/>
                <w:lang w:val="en-US" w:eastAsia="zh-CN" w:bidi="ar"/>
              </w:rPr>
              <w:t>D3</w:t>
            </w:r>
          </w:p>
        </w:tc>
        <w:tc>
          <w:tcPr>
            <w:tcW w:w="525"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4"/>
                <w:szCs w:val="24"/>
              </w:rPr>
            </w:pPr>
          </w:p>
        </w:tc>
        <w:tc>
          <w:tcPr>
            <w:tcW w:w="421"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pH</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无量纲</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7.5</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7.7</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7.8</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6.5~8.5</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总硬度</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1916</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1384</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1356</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450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溶解性总固体</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4.35×10</w:t>
            </w:r>
            <w:r>
              <w:rPr>
                <w:rFonts w:hint="default" w:ascii="Times New Roman" w:hAnsi="Times New Roman" w:eastAsia="宋体" w:cs="Times New Roman"/>
                <w:sz w:val="21"/>
                <w:szCs w:val="21"/>
                <w:highlight w:val="none"/>
                <w:vertAlign w:val="superscript"/>
                <w:lang w:val="en-US" w:eastAsia="zh-CN"/>
              </w:rPr>
              <w:t xml:space="preserve">3 </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3.23×10</w:t>
            </w:r>
            <w:r>
              <w:rPr>
                <w:rFonts w:hint="default" w:ascii="Times New Roman" w:hAnsi="Times New Roman" w:eastAsia="宋体" w:cs="Times New Roman"/>
                <w:sz w:val="21"/>
                <w:szCs w:val="21"/>
                <w:highlight w:val="none"/>
                <w:vertAlign w:val="superscript"/>
                <w:lang w:val="en-US" w:eastAsia="zh-CN"/>
              </w:rPr>
              <w:t xml:space="preserve">3 </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3.22 ×10</w:t>
            </w:r>
            <w:r>
              <w:rPr>
                <w:rFonts w:hint="default" w:ascii="Times New Roman" w:hAnsi="Times New Roman" w:eastAsia="宋体" w:cs="Times New Roman"/>
                <w:sz w:val="21"/>
                <w:szCs w:val="21"/>
                <w:highlight w:val="none"/>
                <w:vertAlign w:val="superscript"/>
                <w:lang w:val="en-US" w:eastAsia="zh-CN"/>
              </w:rPr>
              <w:t xml:space="preserve">3 </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1000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挥发酚</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0.0003L</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0.0003L</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0.0003L</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0.002</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氨氮</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0.275</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0.339</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0.493</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0.50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耗氧量</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val="0"/>
                <w:bCs w:val="0"/>
                <w:sz w:val="21"/>
                <w:szCs w:val="21"/>
                <w:highlight w:val="none"/>
                <w:lang w:val="en-US" w:eastAsia="zh-CN"/>
              </w:rPr>
              <w:t>3.19</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2.38</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2.70</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3.0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六价铬</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0.004L</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0.004L</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0.004L</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0.05</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汞</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w:t>
            </w:r>
            <w:r>
              <w:rPr>
                <w:rFonts w:hint="default" w:ascii="Times New Roman" w:hAnsi="Times New Roman" w:eastAsia="宋体" w:cs="Times New Roman"/>
                <w:sz w:val="21"/>
                <w:szCs w:val="21"/>
                <w:highlight w:val="none"/>
                <w:lang w:val="en-US" w:eastAsia="zh-CN"/>
              </w:rPr>
              <w:t>13</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w:t>
            </w:r>
            <w:r>
              <w:rPr>
                <w:rFonts w:hint="default" w:ascii="Times New Roman" w:hAnsi="Times New Roman" w:eastAsia="宋体" w:cs="Times New Roman"/>
                <w:sz w:val="21"/>
                <w:szCs w:val="21"/>
                <w:highlight w:val="none"/>
                <w:lang w:val="en-US" w:eastAsia="zh-CN"/>
              </w:rPr>
              <w:t>07</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w:t>
            </w:r>
            <w:r>
              <w:rPr>
                <w:rFonts w:hint="default" w:ascii="Times New Roman" w:hAnsi="Times New Roman" w:eastAsia="宋体" w:cs="Times New Roman"/>
                <w:sz w:val="21"/>
                <w:szCs w:val="21"/>
                <w:highlight w:val="none"/>
                <w:lang w:val="en-US" w:eastAsia="zh-CN"/>
              </w:rPr>
              <w:t>11</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0.001</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11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砷</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0.0006</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w:t>
            </w:r>
            <w:r>
              <w:rPr>
                <w:rFonts w:hint="default" w:ascii="Times New Roman" w:hAnsi="Times New Roman" w:eastAsia="宋体" w:cs="Times New Roman"/>
                <w:sz w:val="21"/>
                <w:szCs w:val="21"/>
                <w:highlight w:val="none"/>
                <w:lang w:val="en-US" w:eastAsia="zh-CN"/>
              </w:rPr>
              <w:t>3L</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0.000</w:t>
            </w:r>
            <w:r>
              <w:rPr>
                <w:rFonts w:hint="default" w:ascii="Times New Roman" w:hAnsi="Times New Roman" w:eastAsia="宋体" w:cs="Times New Roman"/>
                <w:sz w:val="21"/>
                <w:szCs w:val="21"/>
                <w:highlight w:val="none"/>
                <w:lang w:val="en-US" w:eastAsia="zh-CN"/>
              </w:rPr>
              <w:t>3L</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0.01</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铅</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0.00526</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w:t>
            </w:r>
            <w:r>
              <w:rPr>
                <w:rFonts w:hint="default" w:ascii="Times New Roman" w:hAnsi="Times New Roman" w:eastAsia="宋体" w:cs="Times New Roman"/>
                <w:sz w:val="21"/>
                <w:szCs w:val="21"/>
                <w:highlight w:val="none"/>
                <w:lang w:val="en-US" w:eastAsia="zh-CN"/>
              </w:rPr>
              <w:t>383</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0.00</w:t>
            </w:r>
            <w:r>
              <w:rPr>
                <w:rFonts w:hint="default" w:ascii="Times New Roman" w:hAnsi="Times New Roman" w:eastAsia="宋体" w:cs="Times New Roman"/>
                <w:sz w:val="21"/>
                <w:szCs w:val="21"/>
                <w:highlight w:val="none"/>
                <w:lang w:val="en-US" w:eastAsia="zh-CN"/>
              </w:rPr>
              <w:t>370</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0.01</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镉</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0.00484</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0.00410</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0.00378</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0.005</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铁</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0.007</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04L</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0.01</w:t>
            </w:r>
            <w:r>
              <w:rPr>
                <w:rFonts w:hint="default" w:ascii="Times New Roman" w:hAnsi="Times New Roman" w:eastAsia="宋体" w:cs="Times New Roman"/>
                <w:sz w:val="21"/>
                <w:szCs w:val="21"/>
                <w:highlight w:val="none"/>
                <w:lang w:val="en-US" w:eastAsia="zh-CN"/>
              </w:rPr>
              <w:t>2</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0.3</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锰</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0.02</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0.03</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0.26</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0.10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硝酸盐</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11.3</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9.53</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9.71</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20.0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亚硝酸盐</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0.016L</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0.016L</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0.016L</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1.00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氟化物</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1.58</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1.69</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1.98</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0"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氯化物</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839</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534</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506</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250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硫酸盐</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1.95×10</w:t>
            </w:r>
            <w:r>
              <w:rPr>
                <w:rFonts w:hint="default" w:ascii="Times New Roman" w:hAnsi="Times New Roman" w:eastAsia="宋体" w:cs="Times New Roman"/>
                <w:sz w:val="21"/>
                <w:szCs w:val="21"/>
                <w:highlight w:val="none"/>
                <w:vertAlign w:val="superscript"/>
                <w:lang w:val="en-US" w:eastAsia="zh-CN"/>
              </w:rPr>
              <w:t xml:space="preserve">3 </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1.33×10</w:t>
            </w:r>
            <w:r>
              <w:rPr>
                <w:rFonts w:hint="default" w:ascii="Times New Roman" w:hAnsi="Times New Roman" w:eastAsia="宋体" w:cs="Times New Roman"/>
                <w:sz w:val="21"/>
                <w:szCs w:val="21"/>
                <w:highlight w:val="none"/>
                <w:vertAlign w:val="superscript"/>
                <w:lang w:val="en-US" w:eastAsia="zh-CN"/>
              </w:rPr>
              <w:t xml:space="preserve">3 </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1.42×10</w:t>
            </w:r>
            <w:r>
              <w:rPr>
                <w:rFonts w:hint="default" w:ascii="Times New Roman" w:hAnsi="Times New Roman" w:eastAsia="宋体" w:cs="Times New Roman"/>
                <w:sz w:val="21"/>
                <w:szCs w:val="21"/>
                <w:highlight w:val="none"/>
                <w:vertAlign w:val="superscript"/>
                <w:lang w:val="en-US" w:eastAsia="zh-CN"/>
              </w:rPr>
              <w:t xml:space="preserve">3 </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250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bCs/>
                <w:color w:val="auto"/>
                <w:spacing w:val="0"/>
                <w:w w:val="100"/>
                <w:kern w:val="0"/>
                <w:position w:val="0"/>
                <w:sz w:val="21"/>
                <w:szCs w:val="21"/>
                <w:highlight w:val="none"/>
                <w:lang w:val="en-US" w:eastAsia="zh-CN"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总大肠菌群</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MPN/L</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4</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≤3.0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2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细菌总数</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CFU/mL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52</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75</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47</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100</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K</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12.5</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10.9</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11.8</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Na</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547</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435</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439</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Ca</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214</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158</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157</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225</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175</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172</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CO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w:t>
            </w:r>
          </w:p>
        </w:tc>
        <w:tc>
          <w:tcPr>
            <w:tcW w:w="80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rPr>
              <w:t>0</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HCO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3</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853"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508</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353</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359</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Cl</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1527" w:type="dxa"/>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839</w:t>
            </w:r>
          </w:p>
        </w:tc>
        <w:tc>
          <w:tcPr>
            <w:tcW w:w="1432" w:type="dxa"/>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534</w:t>
            </w:r>
          </w:p>
        </w:tc>
        <w:tc>
          <w:tcPr>
            <w:tcW w:w="1437" w:type="dxa"/>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506</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922"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SO</w:t>
            </w:r>
            <w:r>
              <w:rPr>
                <w:rFonts w:hint="default" w:ascii="Times New Roman" w:hAnsi="Times New Roman" w:eastAsia="宋体" w:cs="Times New Roman"/>
                <w:color w:val="auto"/>
                <w:spacing w:val="0"/>
                <w:w w:val="100"/>
                <w:kern w:val="0"/>
                <w:position w:val="0"/>
                <w:sz w:val="21"/>
                <w:szCs w:val="21"/>
                <w:highlight w:val="none"/>
                <w:vertAlign w:val="subscript"/>
                <w:lang w:val="en-US" w:eastAsia="zh-CN" w:bidi="ar"/>
              </w:rPr>
              <w:t>4</w:t>
            </w:r>
            <w:r>
              <w:rPr>
                <w:rFonts w:hint="default" w:ascii="Times New Roman" w:hAnsi="Times New Roman" w:eastAsia="宋体" w:cs="Times New Roman"/>
                <w:color w:val="auto"/>
                <w:spacing w:val="0"/>
                <w:w w:val="100"/>
                <w:kern w:val="0"/>
                <w:position w:val="0"/>
                <w:sz w:val="21"/>
                <w:szCs w:val="21"/>
                <w:highlight w:val="none"/>
                <w:vertAlign w:val="superscript"/>
                <w:lang w:val="en-US" w:eastAsia="zh-CN" w:bidi="ar"/>
              </w:rPr>
              <w:t>2-</w:t>
            </w:r>
          </w:p>
        </w:tc>
        <w:tc>
          <w:tcPr>
            <w:tcW w:w="673"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mg/L</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1.95×10</w:t>
            </w:r>
            <w:r>
              <w:rPr>
                <w:rFonts w:hint="default" w:ascii="Times New Roman" w:hAnsi="Times New Roman" w:eastAsia="宋体" w:cs="Times New Roman"/>
                <w:sz w:val="21"/>
                <w:szCs w:val="21"/>
                <w:highlight w:val="none"/>
                <w:vertAlign w:val="superscript"/>
                <w:lang w:val="en-US" w:eastAsia="zh-CN"/>
              </w:rPr>
              <w:t xml:space="preserve">3 </w:t>
            </w:r>
          </w:p>
        </w:tc>
        <w:tc>
          <w:tcPr>
            <w:tcW w:w="14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1.33×10</w:t>
            </w:r>
            <w:r>
              <w:rPr>
                <w:rFonts w:hint="default" w:ascii="Times New Roman" w:hAnsi="Times New Roman" w:eastAsia="宋体" w:cs="Times New Roman"/>
                <w:sz w:val="21"/>
                <w:szCs w:val="21"/>
                <w:highlight w:val="none"/>
                <w:vertAlign w:val="superscript"/>
                <w:lang w:val="en-US" w:eastAsia="zh-CN"/>
              </w:rPr>
              <w:t xml:space="preserve">3 </w:t>
            </w:r>
          </w:p>
        </w:tc>
        <w:tc>
          <w:tcPr>
            <w:tcW w:w="1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1.42×10</w:t>
            </w:r>
            <w:r>
              <w:rPr>
                <w:rFonts w:hint="default" w:ascii="Times New Roman" w:hAnsi="Times New Roman" w:eastAsia="宋体" w:cs="Times New Roman"/>
                <w:sz w:val="21"/>
                <w:szCs w:val="21"/>
                <w:highlight w:val="none"/>
                <w:vertAlign w:val="superscript"/>
                <w:lang w:val="en-US" w:eastAsia="zh-CN"/>
              </w:rPr>
              <w:t xml:space="preserve">3 </w:t>
            </w:r>
          </w:p>
        </w:tc>
        <w:tc>
          <w:tcPr>
            <w:tcW w:w="525"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c>
          <w:tcPr>
            <w:tcW w:w="421" w:type="pct"/>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5" w:hRule="atLeast"/>
          <w:jc w:val="center"/>
        </w:trPr>
        <w:tc>
          <w:tcPr>
            <w:tcW w:w="5000" w:type="pct"/>
            <w:gridSpan w:val="7"/>
            <w:tcBorders>
              <w:tl2br w:val="nil"/>
              <w:tr2bl w:val="nil"/>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备注：检出结果低于方法检出限时，以检出限加“L”表示，检出限见表2-2。</w:t>
            </w:r>
          </w:p>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地下水参照《地下水质量标准》（GB/T14848-2017）中的</w:t>
            </w:r>
            <w:r>
              <w:rPr>
                <w:rFonts w:hint="default" w:ascii="Times New Roman" w:hAnsi="Times New Roman" w:eastAsia="宋体" w:cs="Times New Roman"/>
                <w:color w:val="auto"/>
                <w:spacing w:val="0"/>
                <w:w w:val="100"/>
                <w:kern w:val="0"/>
                <w:position w:val="0"/>
                <w:sz w:val="21"/>
                <w:szCs w:val="21"/>
                <w:highlight w:val="none"/>
                <w:lang w:val="en-US" w:eastAsia="zh-CN" w:bidi="ar"/>
              </w:rPr>
              <w:fldChar w:fldCharType="begin"/>
            </w:r>
            <w:r>
              <w:rPr>
                <w:rFonts w:hint="default" w:ascii="Times New Roman" w:hAnsi="Times New Roman" w:eastAsia="宋体" w:cs="Times New Roman"/>
                <w:color w:val="auto"/>
                <w:spacing w:val="0"/>
                <w:w w:val="100"/>
                <w:kern w:val="0"/>
                <w:position w:val="0"/>
                <w:sz w:val="21"/>
                <w:szCs w:val="21"/>
                <w:highlight w:val="none"/>
                <w:lang w:val="en-US" w:eastAsia="zh-CN" w:bidi="ar"/>
              </w:rPr>
              <w:instrText xml:space="preserve"> = 3 \* roman </w:instrText>
            </w:r>
            <w:r>
              <w:rPr>
                <w:rFonts w:hint="default" w:ascii="Times New Roman" w:hAnsi="Times New Roman" w:eastAsia="宋体" w:cs="Times New Roman"/>
                <w:color w:val="auto"/>
                <w:spacing w:val="0"/>
                <w:w w:val="100"/>
                <w:kern w:val="0"/>
                <w:position w:val="0"/>
                <w:sz w:val="21"/>
                <w:szCs w:val="21"/>
                <w:highlight w:val="none"/>
                <w:lang w:val="en-US" w:eastAsia="zh-CN" w:bidi="ar"/>
              </w:rPr>
              <w:fldChar w:fldCharType="separate"/>
            </w:r>
            <w:r>
              <w:rPr>
                <w:rFonts w:hint="default" w:ascii="Times New Roman" w:hAnsi="Times New Roman" w:eastAsia="宋体" w:cs="Times New Roman"/>
                <w:color w:val="auto"/>
                <w:spacing w:val="0"/>
                <w:w w:val="100"/>
                <w:kern w:val="0"/>
                <w:position w:val="0"/>
                <w:sz w:val="21"/>
                <w:szCs w:val="21"/>
                <w:highlight w:val="none"/>
                <w:lang w:val="en-US" w:eastAsia="zh-CN" w:bidi="ar"/>
              </w:rPr>
              <w:t>Ⅲ</w:t>
            </w:r>
            <w:r>
              <w:rPr>
                <w:rFonts w:hint="default" w:ascii="Times New Roman" w:hAnsi="Times New Roman" w:eastAsia="宋体" w:cs="Times New Roman"/>
                <w:color w:val="auto"/>
                <w:spacing w:val="0"/>
                <w:w w:val="100"/>
                <w:kern w:val="0"/>
                <w:position w:val="0"/>
                <w:sz w:val="21"/>
                <w:szCs w:val="21"/>
                <w:highlight w:val="none"/>
                <w:lang w:val="en-US" w:eastAsia="zh-CN" w:bidi="ar"/>
              </w:rPr>
              <w:fldChar w:fldCharType="end"/>
            </w:r>
            <w:r>
              <w:rPr>
                <w:rFonts w:hint="default" w:ascii="Times New Roman" w:hAnsi="Times New Roman" w:eastAsia="宋体" w:cs="Times New Roman"/>
                <w:color w:val="auto"/>
                <w:spacing w:val="0"/>
                <w:w w:val="100"/>
                <w:kern w:val="0"/>
                <w:position w:val="0"/>
                <w:sz w:val="21"/>
                <w:szCs w:val="21"/>
                <w:highlight w:val="none"/>
                <w:lang w:val="en-US" w:eastAsia="zh-CN" w:bidi="ar"/>
              </w:rPr>
              <w:t>类标准限值，执行标准由委托单位提供。</w:t>
            </w:r>
          </w:p>
        </w:tc>
      </w:tr>
      <w:bookmarkEnd w:id="644"/>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color w:val="auto"/>
          <w:spacing w:val="0"/>
          <w:w w:val="100"/>
          <w:kern w:val="0"/>
          <w:position w:val="0"/>
          <w:sz w:val="24"/>
          <w:szCs w:val="24"/>
          <w:lang w:eastAsia="zh-CN"/>
        </w:rPr>
      </w:pP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color w:val="auto"/>
          <w:spacing w:val="0"/>
          <w:w w:val="100"/>
          <w:kern w:val="0"/>
          <w:position w:val="0"/>
          <w:sz w:val="24"/>
          <w:szCs w:val="24"/>
          <w:lang w:eastAsia="zh-CN"/>
        </w:rPr>
        <w:t>根据表</w:t>
      </w:r>
      <w:r>
        <w:rPr>
          <w:rFonts w:hint="default" w:ascii="Times New Roman" w:hAnsi="Times New Roman" w:eastAsia="宋体" w:cs="Times New Roman"/>
          <w:color w:val="auto"/>
          <w:spacing w:val="0"/>
          <w:w w:val="100"/>
          <w:kern w:val="0"/>
          <w:position w:val="0"/>
          <w:sz w:val="24"/>
          <w:szCs w:val="24"/>
          <w:lang w:val="en-US" w:eastAsia="zh-CN"/>
        </w:rPr>
        <w:t>3.2-10</w:t>
      </w:r>
      <w:r>
        <w:rPr>
          <w:rFonts w:hint="default" w:ascii="Times New Roman" w:hAnsi="Times New Roman" w:eastAsia="宋体" w:cs="Times New Roman"/>
          <w:color w:val="auto"/>
          <w:spacing w:val="0"/>
          <w:w w:val="100"/>
          <w:kern w:val="0"/>
          <w:position w:val="0"/>
          <w:sz w:val="24"/>
          <w:szCs w:val="24"/>
        </w:rPr>
        <w:t>监测结果可知：</w:t>
      </w:r>
      <w:r>
        <w:rPr>
          <w:rFonts w:hint="eastAsia" w:ascii="Times New Roman" w:hAnsi="Times New Roman" w:cs="Times New Roman"/>
          <w:color w:val="auto"/>
          <w:spacing w:val="0"/>
          <w:w w:val="100"/>
          <w:kern w:val="0"/>
          <w:position w:val="0"/>
          <w:sz w:val="24"/>
          <w:szCs w:val="24"/>
          <w:lang w:eastAsia="zh-CN"/>
        </w:rPr>
        <w:t>监测</w:t>
      </w:r>
      <w:r>
        <w:rPr>
          <w:rFonts w:hint="default" w:ascii="Times New Roman" w:hAnsi="Times New Roman" w:eastAsia="宋体" w:cs="Times New Roman"/>
          <w:color w:val="auto"/>
          <w:spacing w:val="0"/>
          <w:w w:val="100"/>
          <w:kern w:val="0"/>
          <w:position w:val="0"/>
          <w:sz w:val="24"/>
          <w:szCs w:val="24"/>
        </w:rPr>
        <w:t>点检测因子中总硬度</w:t>
      </w:r>
      <w:r>
        <w:rPr>
          <w:rFonts w:hint="eastAsia" w:ascii="Times New Roman" w:hAnsi="Times New Roman" w:cs="Times New Roman"/>
          <w:color w:val="auto"/>
          <w:spacing w:val="0"/>
          <w:w w:val="100"/>
          <w:kern w:val="0"/>
          <w:position w:val="0"/>
          <w:sz w:val="24"/>
          <w:szCs w:val="24"/>
          <w:lang w:eastAsia="zh-CN"/>
        </w:rPr>
        <w:t>、溶解性总固体、氯化物、氟化物、硫酸盐</w:t>
      </w:r>
      <w:r>
        <w:rPr>
          <w:rFonts w:hint="default" w:ascii="Times New Roman" w:hAnsi="Times New Roman" w:eastAsia="宋体" w:cs="Times New Roman"/>
          <w:color w:val="auto"/>
          <w:spacing w:val="0"/>
          <w:w w:val="100"/>
          <w:kern w:val="0"/>
          <w:position w:val="0"/>
          <w:sz w:val="24"/>
          <w:szCs w:val="24"/>
        </w:rPr>
        <w:t>出现超标</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超标原因主要为该区域地下水背景值较高所致不能满足《地下水质量标准》（GB/T14848-2017）中的Ⅲ类标准</w:t>
      </w:r>
      <w:r>
        <w:rPr>
          <w:rFonts w:hint="default" w:ascii="Times New Roman" w:hAnsi="Times New Roman" w:eastAsia="宋体" w:cs="Times New Roman"/>
          <w:color w:val="auto"/>
          <w:spacing w:val="0"/>
          <w:w w:val="100"/>
          <w:kern w:val="0"/>
          <w:position w:val="0"/>
          <w:sz w:val="24"/>
          <w:szCs w:val="24"/>
          <w:lang w:eastAsia="zh-CN"/>
        </w:rPr>
        <w:t>，其他</w:t>
      </w:r>
      <w:r>
        <w:rPr>
          <w:rFonts w:hint="eastAsia" w:ascii="Times New Roman" w:hAnsi="Times New Roman" w:cs="Times New Roman"/>
          <w:color w:val="auto"/>
          <w:spacing w:val="0"/>
          <w:w w:val="100"/>
          <w:kern w:val="0"/>
          <w:position w:val="0"/>
          <w:sz w:val="24"/>
          <w:szCs w:val="24"/>
          <w:lang w:eastAsia="zh-CN"/>
        </w:rPr>
        <w:t>监测</w:t>
      </w:r>
      <w:r>
        <w:rPr>
          <w:rFonts w:hint="default" w:ascii="Times New Roman" w:hAnsi="Times New Roman" w:eastAsia="宋体" w:cs="Times New Roman"/>
          <w:color w:val="auto"/>
          <w:spacing w:val="0"/>
          <w:w w:val="100"/>
          <w:kern w:val="0"/>
          <w:position w:val="0"/>
          <w:sz w:val="24"/>
          <w:szCs w:val="24"/>
          <w:lang w:eastAsia="zh-CN"/>
        </w:rPr>
        <w:t>因子均符合</w:t>
      </w:r>
      <w:r>
        <w:rPr>
          <w:rFonts w:hint="default" w:ascii="Times New Roman" w:hAnsi="Times New Roman" w:eastAsia="宋体" w:cs="Times New Roman"/>
          <w:color w:val="auto"/>
          <w:spacing w:val="0"/>
          <w:w w:val="100"/>
          <w:kern w:val="0"/>
          <w:position w:val="0"/>
          <w:sz w:val="24"/>
          <w:szCs w:val="24"/>
        </w:rPr>
        <w:t>《地下水质量标准》（GB/T14848-2017）中的Ⅲ类标准</w:t>
      </w:r>
      <w:r>
        <w:rPr>
          <w:rFonts w:hint="default" w:ascii="Times New Roman" w:hAnsi="Times New Roman" w:eastAsia="宋体" w:cs="Times New Roman"/>
          <w:color w:val="auto"/>
          <w:spacing w:val="0"/>
          <w:w w:val="100"/>
          <w:kern w:val="0"/>
          <w:position w:val="0"/>
          <w:sz w:val="24"/>
          <w:szCs w:val="24"/>
          <w:lang w:eastAsia="zh-CN"/>
        </w:rPr>
        <w:t>。</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645" w:name="_Toc284"/>
      <w:bookmarkStart w:id="646" w:name="_Toc18777"/>
      <w:r>
        <w:rPr>
          <w:rFonts w:hint="default" w:ascii="Times New Roman" w:hAnsi="Times New Roman" w:eastAsia="宋体" w:cs="Times New Roman"/>
          <w:snapToGrid w:val="0"/>
          <w:color w:val="auto"/>
          <w:spacing w:val="0"/>
          <w:w w:val="100"/>
          <w:kern w:val="0"/>
          <w:position w:val="0"/>
          <w:sz w:val="28"/>
          <w:szCs w:val="28"/>
          <w:highlight w:val="none"/>
          <w:lang w:val="en-US" w:eastAsia="zh-CN"/>
        </w:rPr>
        <w:t>3.2.4声环境质量现状监测与评价</w:t>
      </w:r>
      <w:bookmarkEnd w:id="643"/>
      <w:bookmarkEnd w:id="645"/>
      <w:bookmarkEnd w:id="646"/>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47" w:name="_Toc16197"/>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监测点的布设</w:t>
      </w:r>
      <w:bookmarkEnd w:id="647"/>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在东、西、南、北厂界共设置</w:t>
      </w:r>
      <w:r>
        <w:rPr>
          <w:rFonts w:hint="default" w:ascii="Times New Roman" w:hAnsi="Times New Roman" w:eastAsia="宋体"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rPr>
        <w:t>个噪声监测点位，监测点位见图3.2-</w:t>
      </w:r>
      <w:r>
        <w:rPr>
          <w:rFonts w:hint="eastAsia" w:ascii="Times New Roman" w:hAnsi="Times New Roman" w:cs="Times New Roman"/>
          <w:color w:val="auto"/>
          <w:spacing w:val="0"/>
          <w:w w:val="100"/>
          <w:kern w:val="0"/>
          <w:position w:val="0"/>
          <w:sz w:val="24"/>
          <w:szCs w:val="24"/>
          <w:highlight w:val="none"/>
          <w:lang w:val="en-US" w:eastAsia="zh-CN"/>
        </w:rPr>
        <w:t>2</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48" w:name="_Toc20379"/>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监测时间及频率</w:t>
      </w:r>
      <w:bookmarkEnd w:id="648"/>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eastAsia" w:ascii="Times New Roman" w:hAnsi="Times New Roman" w:cs="Times New Roman"/>
          <w:bCs/>
          <w:color w:val="auto"/>
          <w:spacing w:val="0"/>
          <w:w w:val="100"/>
          <w:kern w:val="0"/>
          <w:position w:val="0"/>
          <w:sz w:val="24"/>
          <w:highlight w:val="none"/>
          <w:lang w:val="en-US" w:eastAsia="zh-CN"/>
        </w:rPr>
        <w:t>宁夏盛世绿源环境检测有限责任公司</w:t>
      </w:r>
      <w:r>
        <w:rPr>
          <w:rFonts w:hint="default" w:ascii="Times New Roman" w:hAnsi="Times New Roman" w:eastAsia="宋体" w:cs="Times New Roman"/>
          <w:color w:val="auto"/>
          <w:spacing w:val="0"/>
          <w:w w:val="100"/>
          <w:kern w:val="0"/>
          <w:position w:val="0"/>
          <w:sz w:val="24"/>
          <w:szCs w:val="24"/>
          <w:highlight w:val="none"/>
        </w:rPr>
        <w:t>于</w:t>
      </w:r>
      <w:r>
        <w:rPr>
          <w:rFonts w:hint="default" w:ascii="Times New Roman" w:hAnsi="Times New Roman" w:eastAsia="宋体" w:cs="Times New Roman"/>
          <w:color w:val="auto"/>
          <w:spacing w:val="0"/>
          <w:w w:val="100"/>
          <w:kern w:val="0"/>
          <w:position w:val="0"/>
          <w:sz w:val="24"/>
          <w:szCs w:val="24"/>
          <w:highlight w:val="none"/>
          <w:lang w:val="en-US" w:eastAsia="zh-CN"/>
        </w:rPr>
        <w:t>2021</w:t>
      </w:r>
      <w:r>
        <w:rPr>
          <w:rFonts w:hint="default" w:ascii="Times New Roman" w:hAnsi="Times New Roman" w:eastAsia="宋体" w:cs="Times New Roman"/>
          <w:color w:val="auto"/>
          <w:spacing w:val="0"/>
          <w:w w:val="100"/>
          <w:kern w:val="0"/>
          <w:position w:val="0"/>
          <w:sz w:val="24"/>
          <w:szCs w:val="24"/>
          <w:highlight w:val="none"/>
        </w:rPr>
        <w:t>年</w:t>
      </w:r>
      <w:r>
        <w:rPr>
          <w:rFonts w:hint="eastAsia" w:ascii="Times New Roman" w:hAnsi="Times New Roman" w:cs="Times New Roman"/>
          <w:color w:val="auto"/>
          <w:spacing w:val="0"/>
          <w:w w:val="100"/>
          <w:kern w:val="0"/>
          <w:position w:val="0"/>
          <w:sz w:val="24"/>
          <w:szCs w:val="24"/>
          <w:highlight w:val="none"/>
          <w:lang w:val="en-US" w:eastAsia="zh-CN"/>
        </w:rPr>
        <w:t>12</w:t>
      </w:r>
      <w:r>
        <w:rPr>
          <w:rFonts w:hint="default" w:ascii="Times New Roman" w:hAnsi="Times New Roman" w:eastAsia="宋体" w:cs="Times New Roman"/>
          <w:color w:val="auto"/>
          <w:spacing w:val="0"/>
          <w:w w:val="100"/>
          <w:kern w:val="0"/>
          <w:position w:val="0"/>
          <w:sz w:val="24"/>
          <w:szCs w:val="24"/>
          <w:highlight w:val="none"/>
        </w:rPr>
        <w:t>月</w:t>
      </w:r>
      <w:r>
        <w:rPr>
          <w:rFonts w:hint="eastAsia" w:ascii="Times New Roman" w:hAnsi="Times New Roman" w:cs="Times New Roman"/>
          <w:color w:val="auto"/>
          <w:spacing w:val="0"/>
          <w:w w:val="100"/>
          <w:kern w:val="0"/>
          <w:position w:val="0"/>
          <w:sz w:val="24"/>
          <w:szCs w:val="24"/>
          <w:highlight w:val="none"/>
          <w:lang w:val="en-US" w:eastAsia="zh-CN"/>
        </w:rPr>
        <w:t>6</w:t>
      </w:r>
      <w:r>
        <w:rPr>
          <w:rFonts w:hint="default" w:ascii="Times New Roman" w:hAnsi="Times New Roman" w:eastAsia="宋体" w:cs="Times New Roman"/>
          <w:color w:val="auto"/>
          <w:spacing w:val="0"/>
          <w:w w:val="100"/>
          <w:kern w:val="0"/>
          <w:position w:val="0"/>
          <w:sz w:val="24"/>
          <w:szCs w:val="24"/>
          <w:highlight w:val="none"/>
        </w:rPr>
        <w:t>~</w:t>
      </w:r>
      <w:r>
        <w:rPr>
          <w:rFonts w:hint="eastAsia" w:ascii="Times New Roman" w:hAnsi="Times New Roman" w:cs="Times New Roman"/>
          <w:color w:val="auto"/>
          <w:spacing w:val="0"/>
          <w:w w:val="100"/>
          <w:kern w:val="0"/>
          <w:position w:val="0"/>
          <w:sz w:val="24"/>
          <w:szCs w:val="24"/>
          <w:highlight w:val="none"/>
          <w:lang w:val="en-US" w:eastAsia="zh-CN"/>
        </w:rPr>
        <w:t>7</w:t>
      </w:r>
      <w:r>
        <w:rPr>
          <w:rFonts w:hint="default" w:ascii="Times New Roman" w:hAnsi="Times New Roman" w:eastAsia="宋体" w:cs="Times New Roman"/>
          <w:color w:val="auto"/>
          <w:spacing w:val="0"/>
          <w:w w:val="100"/>
          <w:kern w:val="0"/>
          <w:position w:val="0"/>
          <w:sz w:val="24"/>
          <w:szCs w:val="24"/>
          <w:highlight w:val="none"/>
        </w:rPr>
        <w:t>日对项目厂址区域环境噪声进行监测，昼间、夜间各进行了2次监测。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49" w:name="_Toc12870"/>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监测项目</w:t>
      </w:r>
      <w:bookmarkEnd w:id="649"/>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连续等效A声级。</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50" w:name="_Toc20531"/>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监测方法及质控措施</w:t>
      </w:r>
      <w:bookmarkEnd w:id="650"/>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噪声监测根据《声环境质量标准》（GB12348-2008）；噪声统计分析仪在每次使用前需进行校验；噪声统计分析仪使用时需加防风罩；在天气情况为晴天（风速＜5m/s）下监测。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51" w:name="_Toc25042"/>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5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⑸</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评价标准</w:t>
      </w:r>
      <w:bookmarkEnd w:id="651"/>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本次评价噪声评价标准采用《声环境质量标准》（GB12348-2008）中的</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类标准。</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52" w:name="_Toc29488"/>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6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⑹</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评价方法</w:t>
      </w:r>
      <w:bookmarkEnd w:id="652"/>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根据现状监测结果，采用直接比较法，即用各监测点等效声级值与评价标准相比较，得出声环境质量现状评价结果。</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653" w:name="_Toc4887"/>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7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⑺</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监测结果统计与评价</w:t>
      </w:r>
      <w:bookmarkEnd w:id="653"/>
    </w:p>
    <w:p>
      <w:pPr>
        <w:adjustRightInd w:val="0"/>
        <w:snapToGrid w:val="0"/>
        <w:spacing w:line="408"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声环境质量现状监测结果统计情况见表3.2-1</w:t>
      </w:r>
      <w:r>
        <w:rPr>
          <w:rFonts w:hint="default" w:ascii="Times New Roman" w:hAnsi="Times New Roman" w:eastAsia="宋体" w:cs="Times New Roman"/>
          <w:bCs/>
          <w:color w:val="auto"/>
          <w:spacing w:val="0"/>
          <w:w w:val="100"/>
          <w:kern w:val="0"/>
          <w:position w:val="0"/>
          <w:sz w:val="24"/>
          <w:highlight w:val="none"/>
          <w:lang w:val="en-US" w:eastAsia="zh-CN"/>
        </w:rPr>
        <w:t>1</w:t>
      </w:r>
      <w:r>
        <w:rPr>
          <w:rFonts w:hint="default" w:ascii="Times New Roman" w:hAnsi="Times New Roman" w:eastAsia="宋体" w:cs="Times New Roman"/>
          <w:bCs/>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表3.2-11   噪声监测结果表   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145"/>
        <w:gridCol w:w="1395"/>
        <w:gridCol w:w="1491"/>
        <w:gridCol w:w="1481"/>
        <w:gridCol w:w="1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62" w:type="dxa"/>
            <w:vMerge w:val="restart"/>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bookmarkStart w:id="654" w:name="_Toc299368907"/>
            <w:bookmarkEnd w:id="654"/>
            <w:r>
              <w:rPr>
                <w:rFonts w:hint="default" w:ascii="Times New Roman" w:hAnsi="Times New Roman" w:eastAsia="宋体" w:cs="Times New Roman"/>
                <w:b/>
                <w:bCs/>
                <w:color w:val="auto"/>
                <w:spacing w:val="0"/>
                <w:w w:val="100"/>
                <w:kern w:val="0"/>
                <w:position w:val="0"/>
                <w:szCs w:val="21"/>
                <w:highlight w:val="none"/>
              </w:rPr>
              <w:t>编号</w:t>
            </w:r>
          </w:p>
        </w:tc>
        <w:tc>
          <w:tcPr>
            <w:tcW w:w="2145" w:type="dxa"/>
            <w:vMerge w:val="restart"/>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检测点位置</w:t>
            </w:r>
          </w:p>
        </w:tc>
        <w:tc>
          <w:tcPr>
            <w:tcW w:w="2886" w:type="dxa"/>
            <w:gridSpan w:val="2"/>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eastAsia" w:ascii="Times New Roman" w:hAnsi="Times New Roman" w:eastAsia="宋体" w:cs="Times New Roman"/>
                <w:b/>
                <w:bCs/>
                <w:color w:val="auto"/>
                <w:spacing w:val="0"/>
                <w:w w:val="100"/>
                <w:kern w:val="0"/>
                <w:position w:val="0"/>
                <w:sz w:val="21"/>
                <w:szCs w:val="21"/>
                <w:highlight w:val="none"/>
              </w:rPr>
              <w:t>202</w:t>
            </w:r>
            <w:r>
              <w:rPr>
                <w:rFonts w:hint="eastAsia" w:ascii="Times New Roman" w:hAnsi="Times New Roman" w:eastAsia="宋体" w:cs="Times New Roman"/>
                <w:b/>
                <w:bCs/>
                <w:color w:val="auto"/>
                <w:spacing w:val="0"/>
                <w:w w:val="100"/>
                <w:kern w:val="0"/>
                <w:position w:val="0"/>
                <w:sz w:val="21"/>
                <w:szCs w:val="21"/>
                <w:highlight w:val="none"/>
                <w:lang w:val="en-US" w:eastAsia="zh-CN"/>
              </w:rPr>
              <w:t>1</w:t>
            </w:r>
            <w:r>
              <w:rPr>
                <w:rFonts w:hint="eastAsia" w:ascii="Times New Roman" w:hAnsi="Times New Roman" w:eastAsia="宋体" w:cs="Times New Roman"/>
                <w:b/>
                <w:bCs/>
                <w:color w:val="auto"/>
                <w:spacing w:val="0"/>
                <w:w w:val="100"/>
                <w:kern w:val="0"/>
                <w:position w:val="0"/>
                <w:sz w:val="21"/>
                <w:szCs w:val="21"/>
                <w:highlight w:val="none"/>
              </w:rPr>
              <w:t>年</w:t>
            </w:r>
            <w:r>
              <w:rPr>
                <w:rFonts w:hint="default" w:ascii="Times New Roman" w:hAnsi="Times New Roman" w:eastAsia="宋体" w:cs="Times New Roman"/>
                <w:b/>
                <w:bCs/>
                <w:color w:val="auto"/>
                <w:spacing w:val="0"/>
                <w:w w:val="100"/>
                <w:kern w:val="0"/>
                <w:position w:val="0"/>
                <w:sz w:val="21"/>
                <w:szCs w:val="21"/>
                <w:highlight w:val="none"/>
              </w:rPr>
              <w:t>1</w:t>
            </w:r>
            <w:r>
              <w:rPr>
                <w:rFonts w:hint="eastAsia" w:ascii="Times New Roman" w:hAnsi="Times New Roman" w:eastAsia="宋体" w:cs="Times New Roman"/>
                <w:b/>
                <w:bCs/>
                <w:color w:val="auto"/>
                <w:spacing w:val="0"/>
                <w:w w:val="100"/>
                <w:kern w:val="0"/>
                <w:position w:val="0"/>
                <w:sz w:val="21"/>
                <w:szCs w:val="21"/>
                <w:highlight w:val="none"/>
              </w:rPr>
              <w:t>2</w:t>
            </w:r>
            <w:r>
              <w:rPr>
                <w:rFonts w:hint="default" w:ascii="Times New Roman" w:hAnsi="Times New Roman" w:eastAsia="宋体" w:cs="Times New Roman"/>
                <w:b/>
                <w:bCs/>
                <w:color w:val="auto"/>
                <w:spacing w:val="0"/>
                <w:w w:val="100"/>
                <w:kern w:val="0"/>
                <w:position w:val="0"/>
                <w:sz w:val="21"/>
                <w:szCs w:val="21"/>
                <w:highlight w:val="none"/>
              </w:rPr>
              <w:t>月</w:t>
            </w:r>
            <w:r>
              <w:rPr>
                <w:rFonts w:hint="eastAsia" w:ascii="Times New Roman" w:hAnsi="Times New Roman" w:eastAsia="宋体" w:cs="Times New Roman"/>
                <w:b/>
                <w:bCs/>
                <w:color w:val="auto"/>
                <w:spacing w:val="0"/>
                <w:w w:val="100"/>
                <w:kern w:val="0"/>
                <w:position w:val="0"/>
                <w:sz w:val="21"/>
                <w:szCs w:val="21"/>
                <w:highlight w:val="none"/>
                <w:lang w:val="en-US" w:eastAsia="zh-CN"/>
              </w:rPr>
              <w:t>6</w:t>
            </w:r>
            <w:r>
              <w:rPr>
                <w:rFonts w:hint="default" w:ascii="Times New Roman" w:hAnsi="Times New Roman" w:eastAsia="宋体" w:cs="Times New Roman"/>
                <w:b/>
                <w:bCs/>
                <w:color w:val="auto"/>
                <w:spacing w:val="0"/>
                <w:w w:val="100"/>
                <w:kern w:val="0"/>
                <w:position w:val="0"/>
                <w:sz w:val="21"/>
                <w:szCs w:val="21"/>
                <w:highlight w:val="none"/>
              </w:rPr>
              <w:t>日</w:t>
            </w:r>
          </w:p>
        </w:tc>
        <w:tc>
          <w:tcPr>
            <w:tcW w:w="2865" w:type="dxa"/>
            <w:gridSpan w:val="2"/>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eastAsia" w:ascii="Times New Roman" w:hAnsi="Times New Roman" w:eastAsia="宋体" w:cs="Times New Roman"/>
                <w:b/>
                <w:bCs/>
                <w:color w:val="auto"/>
                <w:spacing w:val="0"/>
                <w:w w:val="100"/>
                <w:kern w:val="0"/>
                <w:position w:val="0"/>
                <w:sz w:val="21"/>
                <w:szCs w:val="21"/>
                <w:highlight w:val="none"/>
              </w:rPr>
              <w:t>2021年</w:t>
            </w:r>
            <w:r>
              <w:rPr>
                <w:rFonts w:hint="eastAsia" w:ascii="Times New Roman" w:hAnsi="Times New Roman" w:eastAsia="宋体" w:cs="Times New Roman"/>
                <w:b/>
                <w:bCs/>
                <w:color w:val="auto"/>
                <w:spacing w:val="0"/>
                <w:w w:val="100"/>
                <w:kern w:val="0"/>
                <w:position w:val="0"/>
                <w:sz w:val="21"/>
                <w:szCs w:val="21"/>
                <w:highlight w:val="none"/>
                <w:lang w:val="en-US" w:eastAsia="zh-CN"/>
              </w:rPr>
              <w:t>12</w:t>
            </w:r>
            <w:r>
              <w:rPr>
                <w:rFonts w:hint="default" w:ascii="Times New Roman" w:hAnsi="Times New Roman" w:eastAsia="宋体" w:cs="Times New Roman"/>
                <w:b/>
                <w:bCs/>
                <w:color w:val="auto"/>
                <w:spacing w:val="0"/>
                <w:w w:val="100"/>
                <w:kern w:val="0"/>
                <w:position w:val="0"/>
                <w:sz w:val="21"/>
                <w:szCs w:val="21"/>
                <w:highlight w:val="none"/>
              </w:rPr>
              <w:t>月</w:t>
            </w:r>
            <w:r>
              <w:rPr>
                <w:rFonts w:hint="eastAsia" w:ascii="Times New Roman" w:hAnsi="Times New Roman" w:eastAsia="宋体" w:cs="Times New Roman"/>
                <w:b/>
                <w:bCs/>
                <w:color w:val="auto"/>
                <w:spacing w:val="0"/>
                <w:w w:val="100"/>
                <w:kern w:val="0"/>
                <w:position w:val="0"/>
                <w:sz w:val="21"/>
                <w:szCs w:val="21"/>
                <w:highlight w:val="none"/>
                <w:lang w:val="en-US" w:eastAsia="zh-CN"/>
              </w:rPr>
              <w:t>7</w:t>
            </w:r>
            <w:r>
              <w:rPr>
                <w:rFonts w:hint="default" w:ascii="Times New Roman" w:hAnsi="Times New Roman" w:eastAsia="宋体" w:cs="Times New Roman"/>
                <w:b/>
                <w:bCs/>
                <w:color w:val="auto"/>
                <w:spacing w:val="0"/>
                <w:w w:val="100"/>
                <w:kern w:val="0"/>
                <w:position w:val="0"/>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62" w:type="dxa"/>
            <w:vMerge w:val="continue"/>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2145" w:type="dxa"/>
            <w:vMerge w:val="continue"/>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p>
        </w:tc>
        <w:tc>
          <w:tcPr>
            <w:tcW w:w="1395" w:type="dxa"/>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昼间</w:t>
            </w:r>
          </w:p>
        </w:tc>
        <w:tc>
          <w:tcPr>
            <w:tcW w:w="1491" w:type="dxa"/>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夜间</w:t>
            </w:r>
          </w:p>
        </w:tc>
        <w:tc>
          <w:tcPr>
            <w:tcW w:w="1481" w:type="dxa"/>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昼间</w:t>
            </w:r>
          </w:p>
        </w:tc>
        <w:tc>
          <w:tcPr>
            <w:tcW w:w="1384" w:type="dxa"/>
            <w:noWrap w:val="0"/>
            <w:vAlign w:val="center"/>
          </w:tcPr>
          <w:p>
            <w:pPr>
              <w:adjustRightInd w:val="0"/>
              <w:snapToGrid w:val="0"/>
              <w:spacing w:line="36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62" w:type="dxa"/>
            <w:noWrap w:val="0"/>
            <w:vAlign w:val="center"/>
          </w:tcPr>
          <w:p>
            <w:pPr>
              <w:adjustRightInd w:val="0"/>
              <w:snapToGrid w:val="0"/>
              <w:spacing w:line="36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w:t>
            </w:r>
          </w:p>
        </w:tc>
        <w:tc>
          <w:tcPr>
            <w:tcW w:w="21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厂界东</w:t>
            </w:r>
          </w:p>
        </w:tc>
        <w:tc>
          <w:tcPr>
            <w:tcW w:w="139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49</w:t>
            </w:r>
          </w:p>
        </w:tc>
        <w:tc>
          <w:tcPr>
            <w:tcW w:w="149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42</w:t>
            </w:r>
          </w:p>
        </w:tc>
        <w:tc>
          <w:tcPr>
            <w:tcW w:w="14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48</w:t>
            </w:r>
          </w:p>
        </w:tc>
        <w:tc>
          <w:tcPr>
            <w:tcW w:w="138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62" w:type="dxa"/>
            <w:noWrap w:val="0"/>
            <w:vAlign w:val="center"/>
          </w:tcPr>
          <w:p>
            <w:pPr>
              <w:adjustRightInd w:val="0"/>
              <w:snapToGrid w:val="0"/>
              <w:spacing w:line="36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21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厂界南</w:t>
            </w:r>
          </w:p>
        </w:tc>
        <w:tc>
          <w:tcPr>
            <w:tcW w:w="139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50</w:t>
            </w:r>
          </w:p>
        </w:tc>
        <w:tc>
          <w:tcPr>
            <w:tcW w:w="149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43</w:t>
            </w:r>
          </w:p>
        </w:tc>
        <w:tc>
          <w:tcPr>
            <w:tcW w:w="14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50</w:t>
            </w:r>
          </w:p>
        </w:tc>
        <w:tc>
          <w:tcPr>
            <w:tcW w:w="138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62" w:type="dxa"/>
            <w:noWrap w:val="0"/>
            <w:vAlign w:val="center"/>
          </w:tcPr>
          <w:p>
            <w:pPr>
              <w:adjustRightInd w:val="0"/>
              <w:snapToGrid w:val="0"/>
              <w:spacing w:line="360" w:lineRule="exact"/>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21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厂界西</w:t>
            </w:r>
          </w:p>
        </w:tc>
        <w:tc>
          <w:tcPr>
            <w:tcW w:w="139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48</w:t>
            </w:r>
          </w:p>
        </w:tc>
        <w:tc>
          <w:tcPr>
            <w:tcW w:w="149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43</w:t>
            </w:r>
          </w:p>
        </w:tc>
        <w:tc>
          <w:tcPr>
            <w:tcW w:w="14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49</w:t>
            </w:r>
          </w:p>
        </w:tc>
        <w:tc>
          <w:tcPr>
            <w:tcW w:w="138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62" w:type="dxa"/>
            <w:noWrap w:val="0"/>
            <w:vAlign w:val="center"/>
          </w:tcPr>
          <w:p>
            <w:pPr>
              <w:adjustRightInd w:val="0"/>
              <w:snapToGrid w:val="0"/>
              <w:spacing w:line="360" w:lineRule="exact"/>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▲4#</w:t>
            </w:r>
          </w:p>
        </w:tc>
        <w:tc>
          <w:tcPr>
            <w:tcW w:w="214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厂界北</w:t>
            </w:r>
          </w:p>
        </w:tc>
        <w:tc>
          <w:tcPr>
            <w:tcW w:w="139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50</w:t>
            </w:r>
          </w:p>
        </w:tc>
        <w:tc>
          <w:tcPr>
            <w:tcW w:w="149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42</w:t>
            </w:r>
          </w:p>
        </w:tc>
        <w:tc>
          <w:tcPr>
            <w:tcW w:w="14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50</w:t>
            </w:r>
          </w:p>
        </w:tc>
        <w:tc>
          <w:tcPr>
            <w:tcW w:w="138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eastAsia="宋体" w:cs="Times New Roman"/>
                <w:color w:val="auto"/>
                <w:spacing w:val="0"/>
                <w:w w:val="100"/>
                <w:kern w:val="0"/>
                <w:position w:val="0"/>
                <w:szCs w:val="21"/>
                <w:highlight w:val="none"/>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007" w:type="dxa"/>
            <w:gridSpan w:val="2"/>
            <w:noWrap w:val="0"/>
            <w:vAlign w:val="center"/>
          </w:tcPr>
          <w:p>
            <w:pPr>
              <w:adjustRightInd w:val="0"/>
              <w:snapToGrid w:val="0"/>
              <w:jc w:val="center"/>
              <w:rPr>
                <w:rFonts w:hint="eastAsia" w:ascii="Times New Roman" w:hAnsi="Times New Roman" w:eastAsia="宋体" w:cs="Times New Roman"/>
                <w:snapToGrid w:val="0"/>
                <w:color w:val="auto"/>
                <w:spacing w:val="0"/>
                <w:w w:val="100"/>
                <w:kern w:val="0"/>
                <w:position w:val="0"/>
                <w:highlight w:val="none"/>
                <w:lang w:eastAsia="zh-CN"/>
              </w:rPr>
            </w:pPr>
            <w:r>
              <w:rPr>
                <w:rFonts w:hint="default" w:ascii="Times New Roman" w:hAnsi="Times New Roman" w:eastAsia="宋体" w:cs="Times New Roman"/>
                <w:color w:val="auto"/>
                <w:spacing w:val="0"/>
                <w:w w:val="100"/>
                <w:kern w:val="0"/>
                <w:position w:val="0"/>
                <w:sz w:val="21"/>
                <w:szCs w:val="21"/>
                <w:highlight w:val="none"/>
              </w:rPr>
              <w:t>《声环境质量标准》（GB3096-2008）</w:t>
            </w:r>
            <w:r>
              <w:rPr>
                <w:rFonts w:hint="default" w:ascii="Times New Roman" w:hAnsi="Times New Roman" w:eastAsia="宋体" w:cs="Times New Roman"/>
                <w:color w:val="auto"/>
                <w:spacing w:val="0"/>
                <w:w w:val="100"/>
                <w:kern w:val="0"/>
                <w:position w:val="0"/>
                <w:sz w:val="21"/>
                <w:szCs w:val="21"/>
                <w:highlight w:val="none"/>
                <w:lang w:val="en-US" w:eastAsia="zh-CN"/>
              </w:rPr>
              <w:t>1</w:t>
            </w:r>
            <w:r>
              <w:rPr>
                <w:rFonts w:hint="default" w:ascii="Times New Roman" w:hAnsi="Times New Roman" w:eastAsia="宋体" w:cs="Times New Roman"/>
                <w:color w:val="auto"/>
                <w:spacing w:val="0"/>
                <w:w w:val="100"/>
                <w:kern w:val="0"/>
                <w:position w:val="0"/>
                <w:sz w:val="21"/>
                <w:szCs w:val="21"/>
                <w:highlight w:val="none"/>
              </w:rPr>
              <w:t>类标准</w:t>
            </w:r>
          </w:p>
        </w:tc>
        <w:tc>
          <w:tcPr>
            <w:tcW w:w="139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55</w:t>
            </w:r>
          </w:p>
        </w:tc>
        <w:tc>
          <w:tcPr>
            <w:tcW w:w="149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45</w:t>
            </w:r>
          </w:p>
        </w:tc>
        <w:tc>
          <w:tcPr>
            <w:tcW w:w="148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55</w:t>
            </w:r>
          </w:p>
        </w:tc>
        <w:tc>
          <w:tcPr>
            <w:tcW w:w="138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45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分析可知，项目厂界各监测点昼间等效连续A声级在</w:t>
      </w:r>
      <w:r>
        <w:rPr>
          <w:rFonts w:hint="default" w:ascii="Times New Roman" w:hAnsi="Times New Roman" w:eastAsia="宋体" w:cs="Times New Roman"/>
          <w:color w:val="auto"/>
          <w:spacing w:val="0"/>
          <w:w w:val="100"/>
          <w:kern w:val="0"/>
          <w:position w:val="0"/>
          <w:sz w:val="24"/>
          <w:highlight w:val="none"/>
          <w:lang w:val="en-US" w:eastAsia="zh-CN"/>
        </w:rPr>
        <w:t>50</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53</w:t>
      </w:r>
      <w:r>
        <w:rPr>
          <w:rFonts w:hint="default" w:ascii="Times New Roman" w:hAnsi="Times New Roman" w:eastAsia="宋体" w:cs="Times New Roman"/>
          <w:color w:val="auto"/>
          <w:spacing w:val="0"/>
          <w:w w:val="100"/>
          <w:kern w:val="0"/>
          <w:position w:val="0"/>
          <w:sz w:val="24"/>
          <w:highlight w:val="none"/>
        </w:rPr>
        <w:t>dB（A），夜间等效连续A声级在</w:t>
      </w:r>
      <w:r>
        <w:rPr>
          <w:rFonts w:hint="default" w:ascii="Times New Roman" w:hAnsi="Times New Roman" w:eastAsia="宋体" w:cs="Times New Roman"/>
          <w:color w:val="auto"/>
          <w:spacing w:val="0"/>
          <w:w w:val="100"/>
          <w:kern w:val="0"/>
          <w:position w:val="0"/>
          <w:sz w:val="24"/>
          <w:highlight w:val="none"/>
          <w:lang w:val="en-US" w:eastAsia="zh-CN"/>
        </w:rPr>
        <w:t>40</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43</w:t>
      </w:r>
      <w:r>
        <w:rPr>
          <w:rFonts w:hint="default" w:ascii="Times New Roman" w:hAnsi="Times New Roman" w:eastAsia="宋体" w:cs="Times New Roman"/>
          <w:color w:val="auto"/>
          <w:spacing w:val="0"/>
          <w:w w:val="100"/>
          <w:kern w:val="0"/>
          <w:position w:val="0"/>
          <w:sz w:val="24"/>
          <w:highlight w:val="none"/>
        </w:rPr>
        <w:t>dB（A）</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厂址周围声环境现状监测值均满足《声环境质量标准》（GB3096-2008）</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类标准要求，表明区域声环境质量较好。</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655" w:name="_Toc5282"/>
      <w:bookmarkStart w:id="656" w:name="_Toc13324"/>
      <w:bookmarkStart w:id="657" w:name="_Toc7811"/>
      <w:r>
        <w:rPr>
          <w:rFonts w:hint="default" w:ascii="Times New Roman" w:hAnsi="Times New Roman" w:eastAsia="宋体" w:cs="Times New Roman"/>
          <w:snapToGrid w:val="0"/>
          <w:color w:val="auto"/>
          <w:spacing w:val="0"/>
          <w:w w:val="100"/>
          <w:kern w:val="0"/>
          <w:position w:val="0"/>
          <w:sz w:val="28"/>
          <w:szCs w:val="28"/>
          <w:highlight w:val="none"/>
          <w:lang w:val="en-US" w:eastAsia="zh-CN"/>
        </w:rPr>
        <w:t>3.2.5土壤环境质量现状监测与评价</w:t>
      </w:r>
      <w:bookmarkEnd w:id="655"/>
      <w:bookmarkEnd w:id="656"/>
      <w:bookmarkEnd w:id="657"/>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本次评价项目土壤监测数据采用</w:t>
      </w:r>
      <w:r>
        <w:rPr>
          <w:rFonts w:hint="eastAsia" w:ascii="Times New Roman" w:hAnsi="Times New Roman" w:cs="Times New Roman"/>
          <w:bCs/>
          <w:color w:val="auto"/>
          <w:spacing w:val="0"/>
          <w:w w:val="100"/>
          <w:kern w:val="0"/>
          <w:position w:val="0"/>
          <w:sz w:val="24"/>
          <w:highlight w:val="none"/>
          <w:lang w:val="en-US" w:eastAsia="zh-CN"/>
        </w:rPr>
        <w:t>宁夏盛世绿源环境检测有限责任公司</w:t>
      </w:r>
      <w:r>
        <w:rPr>
          <w:rFonts w:hint="default" w:ascii="Times New Roman" w:hAnsi="Times New Roman" w:eastAsia="宋体" w:cs="Times New Roman"/>
          <w:color w:val="auto"/>
          <w:spacing w:val="0"/>
          <w:w w:val="100"/>
          <w:kern w:val="0"/>
          <w:position w:val="0"/>
          <w:sz w:val="24"/>
          <w:szCs w:val="24"/>
          <w:highlight w:val="none"/>
        </w:rPr>
        <w:t>对项目厂区土壤的监测数据。</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监测时间及频次</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监测时间及频次：本项目</w:t>
      </w:r>
      <w:r>
        <w:rPr>
          <w:rFonts w:hint="default" w:ascii="Times New Roman" w:hAnsi="Times New Roman" w:eastAsia="宋体" w:cs="Times New Roman"/>
          <w:color w:val="auto"/>
          <w:spacing w:val="0"/>
          <w:w w:val="100"/>
          <w:kern w:val="0"/>
          <w:position w:val="0"/>
          <w:sz w:val="24"/>
          <w:szCs w:val="24"/>
          <w:highlight w:val="none"/>
          <w:lang w:eastAsia="zh-CN"/>
        </w:rPr>
        <w:t>土壤监测</w:t>
      </w:r>
      <w:r>
        <w:rPr>
          <w:rFonts w:hint="default" w:ascii="Times New Roman" w:hAnsi="Times New Roman" w:eastAsia="宋体" w:cs="Times New Roman"/>
          <w:color w:val="auto"/>
          <w:spacing w:val="0"/>
          <w:w w:val="100"/>
          <w:kern w:val="0"/>
          <w:position w:val="0"/>
          <w:sz w:val="24"/>
          <w:szCs w:val="24"/>
          <w:highlight w:val="none"/>
        </w:rPr>
        <w:t>时间为20</w:t>
      </w:r>
      <w:r>
        <w:rPr>
          <w:rFonts w:hint="default" w:ascii="Times New Roman" w:hAnsi="Times New Roman" w:eastAsia="宋体" w:cs="Times New Roman"/>
          <w:color w:val="auto"/>
          <w:spacing w:val="0"/>
          <w:w w:val="100"/>
          <w:kern w:val="0"/>
          <w:position w:val="0"/>
          <w:sz w:val="24"/>
          <w:szCs w:val="24"/>
          <w:highlight w:val="none"/>
          <w:lang w:val="en-US" w:eastAsia="zh-CN"/>
        </w:rPr>
        <w:t>21</w:t>
      </w:r>
      <w:r>
        <w:rPr>
          <w:rFonts w:hint="default" w:ascii="Times New Roman" w:hAnsi="Times New Roman" w:eastAsia="宋体" w:cs="Times New Roman"/>
          <w:color w:val="auto"/>
          <w:spacing w:val="0"/>
          <w:w w:val="100"/>
          <w:kern w:val="0"/>
          <w:position w:val="0"/>
          <w:sz w:val="24"/>
          <w:szCs w:val="24"/>
          <w:highlight w:val="none"/>
        </w:rPr>
        <w:t>年</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eastAsia" w:ascii="Times New Roman" w:hAnsi="Times New Roman" w:cs="Times New Roman"/>
          <w:color w:val="auto"/>
          <w:spacing w:val="0"/>
          <w:w w:val="100"/>
          <w:kern w:val="0"/>
          <w:position w:val="0"/>
          <w:sz w:val="24"/>
          <w:szCs w:val="24"/>
          <w:highlight w:val="none"/>
          <w:lang w:val="en-US" w:eastAsia="zh-CN"/>
        </w:rPr>
        <w:t>2</w:t>
      </w:r>
      <w:r>
        <w:rPr>
          <w:rFonts w:hint="default" w:ascii="Times New Roman" w:hAnsi="Times New Roman" w:eastAsia="宋体" w:cs="Times New Roman"/>
          <w:color w:val="auto"/>
          <w:spacing w:val="0"/>
          <w:w w:val="100"/>
          <w:kern w:val="0"/>
          <w:position w:val="0"/>
          <w:sz w:val="24"/>
          <w:szCs w:val="24"/>
          <w:highlight w:val="none"/>
        </w:rPr>
        <w:t>月</w:t>
      </w:r>
      <w:r>
        <w:rPr>
          <w:rFonts w:hint="eastAsia" w:ascii="Times New Roman" w:hAnsi="Times New Roman" w:cs="Times New Roman"/>
          <w:color w:val="auto"/>
          <w:spacing w:val="0"/>
          <w:w w:val="100"/>
          <w:kern w:val="0"/>
          <w:position w:val="0"/>
          <w:sz w:val="24"/>
          <w:szCs w:val="24"/>
          <w:highlight w:val="none"/>
          <w:lang w:val="en-US" w:eastAsia="zh-CN"/>
        </w:rPr>
        <w:t>6</w:t>
      </w:r>
      <w:r>
        <w:rPr>
          <w:rFonts w:hint="default" w:ascii="Times New Roman" w:hAnsi="Times New Roman" w:eastAsia="宋体" w:cs="Times New Roman"/>
          <w:color w:val="auto"/>
          <w:spacing w:val="0"/>
          <w:w w:val="100"/>
          <w:kern w:val="0"/>
          <w:position w:val="0"/>
          <w:sz w:val="24"/>
          <w:szCs w:val="24"/>
          <w:highlight w:val="none"/>
        </w:rPr>
        <w:t>日。</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监测因子</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监测因子：pH、砷、镉、汞、铅、铬、铜、镍、锌</w:t>
      </w:r>
      <w:r>
        <w:rPr>
          <w:rFonts w:hint="default" w:ascii="Times New Roman" w:hAnsi="Times New Roman" w:eastAsia="宋体"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4"/>
          <w:highlight w:val="none"/>
        </w:rPr>
        <w:t>共计9项。</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3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⑶</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监测点位</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Cs/>
          <w:color w:val="auto"/>
          <w:spacing w:val="0"/>
          <w:w w:val="100"/>
          <w:kern w:val="0"/>
          <w:position w:val="0"/>
          <w:sz w:val="24"/>
          <w:highlight w:val="none"/>
          <w:lang w:eastAsia="zh-CN"/>
        </w:rPr>
        <w:t>本次评价</w:t>
      </w:r>
      <w:r>
        <w:rPr>
          <w:rFonts w:hint="default" w:ascii="Times New Roman" w:hAnsi="Times New Roman" w:eastAsia="宋体" w:cs="Times New Roman"/>
          <w:bCs/>
          <w:color w:val="auto"/>
          <w:spacing w:val="0"/>
          <w:w w:val="100"/>
          <w:kern w:val="0"/>
          <w:position w:val="0"/>
          <w:sz w:val="24"/>
          <w:highlight w:val="none"/>
        </w:rPr>
        <w:t>在项目</w:t>
      </w:r>
      <w:r>
        <w:rPr>
          <w:rFonts w:hint="default" w:ascii="Times New Roman" w:hAnsi="Times New Roman" w:eastAsia="宋体" w:cs="Times New Roman"/>
          <w:bCs/>
          <w:color w:val="auto"/>
          <w:spacing w:val="0"/>
          <w:w w:val="100"/>
          <w:kern w:val="0"/>
          <w:position w:val="0"/>
          <w:sz w:val="24"/>
          <w:highlight w:val="none"/>
          <w:lang w:eastAsia="zh-CN"/>
        </w:rPr>
        <w:t>区</w:t>
      </w:r>
      <w:r>
        <w:rPr>
          <w:rFonts w:hint="default" w:ascii="Times New Roman" w:hAnsi="Times New Roman" w:eastAsia="宋体" w:cs="Times New Roman"/>
          <w:bCs/>
          <w:color w:val="auto"/>
          <w:spacing w:val="0"/>
          <w:w w:val="100"/>
          <w:kern w:val="0"/>
          <w:position w:val="0"/>
          <w:sz w:val="24"/>
          <w:highlight w:val="none"/>
        </w:rPr>
        <w:t>设</w:t>
      </w:r>
      <w:r>
        <w:rPr>
          <w:rFonts w:hint="default" w:ascii="Times New Roman" w:hAnsi="Times New Roman" w:eastAsia="宋体" w:cs="Times New Roman"/>
          <w:bCs/>
          <w:color w:val="auto"/>
          <w:spacing w:val="0"/>
          <w:w w:val="100"/>
          <w:kern w:val="0"/>
          <w:position w:val="0"/>
          <w:sz w:val="24"/>
          <w:highlight w:val="none"/>
          <w:lang w:val="en-US" w:eastAsia="zh-CN"/>
        </w:rPr>
        <w:t>3</w:t>
      </w:r>
      <w:r>
        <w:rPr>
          <w:rFonts w:hint="default" w:ascii="Times New Roman" w:hAnsi="Times New Roman" w:eastAsia="宋体" w:cs="Times New Roman"/>
          <w:bCs/>
          <w:color w:val="auto"/>
          <w:spacing w:val="0"/>
          <w:w w:val="100"/>
          <w:kern w:val="0"/>
          <w:position w:val="0"/>
          <w:sz w:val="24"/>
          <w:highlight w:val="none"/>
        </w:rPr>
        <w:t>个</w:t>
      </w:r>
      <w:r>
        <w:rPr>
          <w:rFonts w:hint="default" w:ascii="Times New Roman" w:hAnsi="Times New Roman" w:eastAsia="宋体" w:cs="Times New Roman"/>
          <w:bCs/>
          <w:color w:val="auto"/>
          <w:spacing w:val="0"/>
          <w:w w:val="100"/>
          <w:kern w:val="0"/>
          <w:position w:val="0"/>
          <w:sz w:val="24"/>
          <w:highlight w:val="none"/>
          <w:lang w:eastAsia="zh-CN"/>
        </w:rPr>
        <w:t>土壤监测</w:t>
      </w:r>
      <w:r>
        <w:rPr>
          <w:rFonts w:hint="default" w:ascii="Times New Roman" w:hAnsi="Times New Roman" w:eastAsia="宋体" w:cs="Times New Roman"/>
          <w:bCs/>
          <w:color w:val="auto"/>
          <w:spacing w:val="0"/>
          <w:w w:val="100"/>
          <w:kern w:val="0"/>
          <w:position w:val="0"/>
          <w:sz w:val="24"/>
          <w:highlight w:val="none"/>
        </w:rPr>
        <w:t>点位，具体监测点位见表3.2-1</w:t>
      </w:r>
      <w:r>
        <w:rPr>
          <w:rFonts w:hint="eastAsia" w:ascii="Times New Roman" w:hAnsi="Times New Roman" w:cs="Times New Roman"/>
          <w:bCs/>
          <w:color w:val="auto"/>
          <w:spacing w:val="0"/>
          <w:w w:val="100"/>
          <w:kern w:val="0"/>
          <w:position w:val="0"/>
          <w:sz w:val="24"/>
          <w:highlight w:val="none"/>
          <w:lang w:val="en-US" w:eastAsia="zh-CN"/>
        </w:rPr>
        <w:t>2</w:t>
      </w:r>
      <w:r>
        <w:rPr>
          <w:rFonts w:hint="default" w:ascii="Times New Roman" w:hAnsi="Times New Roman" w:eastAsia="宋体" w:cs="Times New Roman"/>
          <w:bCs/>
          <w:color w:val="auto"/>
          <w:spacing w:val="0"/>
          <w:w w:val="100"/>
          <w:kern w:val="0"/>
          <w:position w:val="0"/>
          <w:sz w:val="24"/>
          <w:highlight w:val="none"/>
        </w:rPr>
        <w:t>及图3.2-</w:t>
      </w:r>
      <w:r>
        <w:rPr>
          <w:rFonts w:hint="eastAsia" w:ascii="Times New Roman" w:hAnsi="Times New Roman" w:cs="Times New Roman"/>
          <w:bCs/>
          <w:color w:val="auto"/>
          <w:spacing w:val="0"/>
          <w:w w:val="100"/>
          <w:kern w:val="0"/>
          <w:position w:val="0"/>
          <w:sz w:val="24"/>
          <w:highlight w:val="none"/>
          <w:lang w:val="en-US" w:eastAsia="zh-CN"/>
        </w:rPr>
        <w:t>2</w:t>
      </w:r>
      <w:r>
        <w:rPr>
          <w:rFonts w:hint="default" w:ascii="Times New Roman" w:hAnsi="Times New Roman" w:eastAsia="宋体" w:cs="Times New Roman"/>
          <w:bCs/>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w:t>
      </w:r>
      <w:r>
        <w:rPr>
          <w:rFonts w:hint="eastAsia" w:ascii="Times New Roman" w:hAnsi="Times New Roman" w:cs="Times New Roman"/>
          <w:b/>
          <w:bCs w:val="0"/>
          <w:color w:val="auto"/>
          <w:spacing w:val="0"/>
          <w:w w:val="100"/>
          <w:kern w:val="0"/>
          <w:position w:val="0"/>
          <w:sz w:val="24"/>
          <w:szCs w:val="24"/>
          <w:highlight w:val="none"/>
          <w:lang w:val="en-US" w:eastAsia="zh-CN" w:bidi="ar-SA"/>
        </w:rPr>
        <w:t>12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土壤现状监测布点情况一览表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7"/>
        <w:gridCol w:w="1590"/>
        <w:gridCol w:w="1020"/>
        <w:gridCol w:w="1155"/>
        <w:gridCol w:w="4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737" w:type="dxa"/>
            <w:noWrap w:val="0"/>
            <w:vAlign w:val="center"/>
          </w:tcPr>
          <w:p>
            <w:pPr>
              <w:widowControl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序号</w:t>
            </w:r>
          </w:p>
        </w:tc>
        <w:tc>
          <w:tcPr>
            <w:tcW w:w="2610" w:type="dxa"/>
            <w:gridSpan w:val="2"/>
            <w:noWrap w:val="0"/>
            <w:vAlign w:val="center"/>
          </w:tcPr>
          <w:p>
            <w:pPr>
              <w:widowControl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监测地点</w:t>
            </w:r>
          </w:p>
        </w:tc>
        <w:tc>
          <w:tcPr>
            <w:tcW w:w="1155" w:type="dxa"/>
            <w:noWrap w:val="0"/>
            <w:vAlign w:val="center"/>
          </w:tcPr>
          <w:p>
            <w:pPr>
              <w:widowControl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采样深度</w:t>
            </w:r>
          </w:p>
        </w:tc>
        <w:tc>
          <w:tcPr>
            <w:tcW w:w="4229" w:type="dxa"/>
            <w:noWrap w:val="0"/>
            <w:vAlign w:val="center"/>
          </w:tcPr>
          <w:p>
            <w:pPr>
              <w:widowControl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737"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w:t>
            </w:r>
          </w:p>
        </w:tc>
        <w:tc>
          <w:tcPr>
            <w:tcW w:w="159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Cs w:val="21"/>
              </w:rPr>
              <w:t>养殖场上风向</w:t>
            </w:r>
          </w:p>
        </w:tc>
        <w:tc>
          <w:tcPr>
            <w:tcW w:w="1020" w:type="dxa"/>
            <w:tcBorders>
              <w:left w:val="single" w:color="auto" w:sz="4" w:space="0"/>
            </w:tcBorders>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表层样</w:t>
            </w:r>
          </w:p>
        </w:tc>
        <w:tc>
          <w:tcPr>
            <w:tcW w:w="1155"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0~20cm</w:t>
            </w:r>
          </w:p>
        </w:tc>
        <w:tc>
          <w:tcPr>
            <w:tcW w:w="422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737"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w:t>
            </w:r>
          </w:p>
        </w:tc>
        <w:tc>
          <w:tcPr>
            <w:tcW w:w="159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lang w:eastAsia="zh-CN"/>
              </w:rPr>
            </w:pPr>
            <w:r>
              <w:rPr>
                <w:rFonts w:hint="default" w:ascii="Times New Roman" w:hAnsi="Times New Roman" w:eastAsia="宋体" w:cs="Times New Roman"/>
                <w:color w:val="auto"/>
                <w:spacing w:val="0"/>
                <w:w w:val="100"/>
                <w:kern w:val="0"/>
                <w:position w:val="0"/>
                <w:szCs w:val="21"/>
              </w:rPr>
              <w:t>污水处理站</w:t>
            </w:r>
          </w:p>
        </w:tc>
        <w:tc>
          <w:tcPr>
            <w:tcW w:w="1020"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表层样</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0~20cm</w:t>
            </w:r>
          </w:p>
        </w:tc>
        <w:tc>
          <w:tcPr>
            <w:tcW w:w="422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737"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3#</w:t>
            </w:r>
          </w:p>
        </w:tc>
        <w:tc>
          <w:tcPr>
            <w:tcW w:w="159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lang w:eastAsia="zh-CN"/>
              </w:rPr>
            </w:pPr>
            <w:r>
              <w:rPr>
                <w:rFonts w:hint="default" w:ascii="Times New Roman" w:hAnsi="Times New Roman" w:eastAsia="宋体" w:cs="Times New Roman"/>
                <w:color w:val="auto"/>
                <w:spacing w:val="0"/>
                <w:w w:val="100"/>
                <w:kern w:val="0"/>
                <w:position w:val="0"/>
                <w:szCs w:val="21"/>
              </w:rPr>
              <w:t>养殖场</w:t>
            </w:r>
          </w:p>
        </w:tc>
        <w:tc>
          <w:tcPr>
            <w:tcW w:w="1020"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表层样</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0~20cm</w:t>
            </w:r>
          </w:p>
        </w:tc>
        <w:tc>
          <w:tcPr>
            <w:tcW w:w="422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p>
        </w:tc>
      </w:tr>
    </w:tbl>
    <w:p>
      <w:pPr>
        <w:adjustRightInd w:val="0"/>
        <w:snapToGrid w:val="0"/>
        <w:spacing w:line="460" w:lineRule="exact"/>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4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⑷</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监测方法</w:t>
      </w:r>
    </w:p>
    <w:p>
      <w:pPr>
        <w:adjustRightInd w:val="0"/>
        <w:snapToGrid w:val="0"/>
        <w:spacing w:line="460" w:lineRule="exact"/>
        <w:ind w:firstLine="480" w:firstLineChars="200"/>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监测及分析方法《土壤元素的近代分析方法》</w:t>
      </w:r>
      <w:r>
        <w:rPr>
          <w:rFonts w:hint="eastAsia" w:ascii="Times New Roman" w:hAnsi="Times New Roman" w:cs="Times New Roman"/>
          <w:bCs/>
          <w:color w:val="auto"/>
          <w:spacing w:val="0"/>
          <w:w w:val="100"/>
          <w:kern w:val="0"/>
          <w:position w:val="0"/>
          <w:sz w:val="24"/>
          <w:highlight w:val="none"/>
          <w:lang w:val="en-US" w:eastAsia="zh-CN"/>
        </w:rPr>
        <w:t xml:space="preserve"> </w:t>
      </w:r>
      <w:r>
        <w:rPr>
          <w:rFonts w:hint="default" w:ascii="Times New Roman" w:hAnsi="Times New Roman" w:eastAsia="宋体" w:cs="Times New Roman"/>
          <w:bCs/>
          <w:color w:val="auto"/>
          <w:spacing w:val="0"/>
          <w:w w:val="100"/>
          <w:kern w:val="0"/>
          <w:position w:val="0"/>
          <w:sz w:val="24"/>
          <w:highlight w:val="none"/>
        </w:rPr>
        <w:t>、《环境监测分析方法》及《土壤理化分析》的要求进行。具体见表3.2-1</w:t>
      </w:r>
      <w:r>
        <w:rPr>
          <w:rFonts w:hint="eastAsia" w:ascii="Times New Roman" w:hAnsi="Times New Roman" w:cs="Times New Roman"/>
          <w:bCs/>
          <w:color w:val="auto"/>
          <w:spacing w:val="0"/>
          <w:w w:val="100"/>
          <w:kern w:val="0"/>
          <w:position w:val="0"/>
          <w:sz w:val="24"/>
          <w:highlight w:val="none"/>
          <w:lang w:val="en-US" w:eastAsia="zh-CN"/>
        </w:rPr>
        <w:t>3</w:t>
      </w:r>
      <w:r>
        <w:rPr>
          <w:rFonts w:hint="default" w:ascii="Times New Roman" w:hAnsi="Times New Roman" w:eastAsia="宋体" w:cs="Times New Roman"/>
          <w:bCs/>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表3.2-1</w:t>
      </w:r>
      <w:r>
        <w:rPr>
          <w:rFonts w:hint="eastAsia" w:ascii="Times New Roman" w:hAnsi="Times New Roman" w:cs="Times New Roman"/>
          <w:b/>
          <w:bCs w:val="0"/>
          <w:color w:val="auto"/>
          <w:spacing w:val="0"/>
          <w:w w:val="100"/>
          <w:kern w:val="0"/>
          <w:position w:val="0"/>
          <w:sz w:val="24"/>
          <w:szCs w:val="24"/>
          <w:highlight w:val="none"/>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土壤检测内容及分析方法   单位：mg/kg</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4"/>
        <w:gridCol w:w="1657"/>
        <w:gridCol w:w="3430"/>
        <w:gridCol w:w="1452"/>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检测项目</w:t>
            </w:r>
          </w:p>
        </w:tc>
        <w:tc>
          <w:tcPr>
            <w:tcW w:w="1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分析方法</w:t>
            </w: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方法检出限</w:t>
            </w:r>
          </w:p>
        </w:tc>
        <w:tc>
          <w:tcPr>
            <w:tcW w:w="98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仪器型号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eastAsiaTheme="minorEastAsia"/>
                <w:sz w:val="21"/>
                <w:szCs w:val="21"/>
              </w:rPr>
              <w:t>土壤</w:t>
            </w: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1902"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 pH值的测定 电位法》（HJ 962-2018）</w:t>
            </w:r>
          </w:p>
        </w:tc>
        <w:tc>
          <w:tcPr>
            <w:tcW w:w="805"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bCs/>
                <w:sz w:val="21"/>
                <w:szCs w:val="21"/>
              </w:rPr>
            </w:pPr>
            <w:r>
              <w:rPr>
                <w:rFonts w:hint="default" w:ascii="Times New Roman" w:hAnsi="Times New Roman" w:cs="Times New Roman"/>
                <w:sz w:val="21"/>
                <w:szCs w:val="21"/>
              </w:rPr>
              <w:t>-</w:t>
            </w:r>
          </w:p>
        </w:tc>
        <w:tc>
          <w:tcPr>
            <w:tcW w:w="982"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sz w:val="21"/>
                <w:szCs w:val="21"/>
              </w:rPr>
              <w:t>pH（酸度）计pHS-3E型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汞</w:t>
            </w:r>
          </w:p>
        </w:tc>
        <w:tc>
          <w:tcPr>
            <w:tcW w:w="1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《土壤质量 总汞、总砷、总铅的测定 第1部分：土壤中总汞的测定 原子荧光法》（GB/T 22105.1-2008）</w:t>
            </w: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0.002mg/kg</w:t>
            </w:r>
          </w:p>
        </w:tc>
        <w:tc>
          <w:tcPr>
            <w:tcW w:w="98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color w:val="000000"/>
                <w:sz w:val="21"/>
                <w:szCs w:val="21"/>
              </w:rPr>
              <w:t>原子荧光光度计AFS-8520型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砷</w:t>
            </w:r>
          </w:p>
        </w:tc>
        <w:tc>
          <w:tcPr>
            <w:tcW w:w="1902"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《土壤质量 总汞、总砷、总铅的测定第2部分：土壤中总砷的测定 原子荧光法》（GB/T 22105.2-2008）</w:t>
            </w:r>
          </w:p>
        </w:tc>
        <w:tc>
          <w:tcPr>
            <w:tcW w:w="805"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0.01mg/kg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铜</w:t>
            </w:r>
          </w:p>
        </w:tc>
        <w:tc>
          <w:tcPr>
            <w:tcW w:w="1902" w:type="pct"/>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《全国土壤污染状况详查 土壤样品分析测试方法技术规定》</w:t>
            </w:r>
          </w:p>
        </w:tc>
        <w:tc>
          <w:tcPr>
            <w:tcW w:w="805" w:type="pc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0.4mg/kg</w:t>
            </w:r>
          </w:p>
        </w:tc>
        <w:tc>
          <w:tcPr>
            <w:tcW w:w="98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ICP光谱仪ICAP6300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铅</w:t>
            </w:r>
          </w:p>
        </w:tc>
        <w:tc>
          <w:tcPr>
            <w:tcW w:w="190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r>
              <w:rPr>
                <w:rFonts w:hint="default" w:ascii="Times New Roman" w:hAnsi="Times New Roman" w:cs="Times New Roman"/>
                <w:sz w:val="21"/>
                <w:szCs w:val="21"/>
              </w:rPr>
              <w:t>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镉</w:t>
            </w:r>
          </w:p>
        </w:tc>
        <w:tc>
          <w:tcPr>
            <w:tcW w:w="1902" w:type="pct"/>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0" w:line="240" w:lineRule="auto"/>
              <w:ind w:left="0" w:firstLine="0" w:firstLineChars="0"/>
              <w:jc w:val="center"/>
              <w:textAlignment w:val="auto"/>
              <w:rPr>
                <w:rFonts w:hint="default" w:ascii="Times New Roman" w:hAnsi="Times New Roman" w:cs="Times New Roman"/>
                <w:sz w:val="21"/>
                <w:szCs w:val="21"/>
              </w:rPr>
            </w:pP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w:t>
            </w:r>
            <w:r>
              <w:rPr>
                <w:rFonts w:hint="default" w:ascii="Times New Roman" w:hAnsi="Times New Roman" w:cs="Times New Roman"/>
                <w:sz w:val="21"/>
                <w:szCs w:val="21"/>
              </w:rPr>
              <w:t>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镍</w:t>
            </w:r>
          </w:p>
        </w:tc>
        <w:tc>
          <w:tcPr>
            <w:tcW w:w="190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r>
              <w:rPr>
                <w:rFonts w:hint="default" w:ascii="Times New Roman" w:hAnsi="Times New Roman" w:cs="Times New Roman"/>
                <w:sz w:val="21"/>
                <w:szCs w:val="21"/>
              </w:rPr>
              <w:t>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锌</w:t>
            </w:r>
          </w:p>
        </w:tc>
        <w:tc>
          <w:tcPr>
            <w:tcW w:w="190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r>
              <w:rPr>
                <w:rFonts w:hint="default" w:ascii="Times New Roman" w:hAnsi="Times New Roman" w:cs="Times New Roman"/>
                <w:sz w:val="21"/>
                <w:szCs w:val="21"/>
              </w:rPr>
              <w:t>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9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sz w:val="21"/>
                <w:szCs w:val="21"/>
              </w:rPr>
            </w:pPr>
          </w:p>
        </w:tc>
        <w:tc>
          <w:tcPr>
            <w:tcW w:w="91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铬</w:t>
            </w:r>
          </w:p>
        </w:tc>
        <w:tc>
          <w:tcPr>
            <w:tcW w:w="190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1"/>
                <w:szCs w:val="21"/>
              </w:rPr>
            </w:pPr>
          </w:p>
        </w:tc>
        <w:tc>
          <w:tcPr>
            <w:tcW w:w="8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Cs/>
                <w:sz w:val="21"/>
                <w:szCs w:val="21"/>
              </w:rPr>
            </w:pPr>
            <w:r>
              <w:rPr>
                <w:rFonts w:hint="default" w:ascii="Times New Roman" w:hAnsi="Times New Roman" w:cs="Times New Roman"/>
                <w:color w:val="000000"/>
                <w:sz w:val="21"/>
                <w:szCs w:val="21"/>
              </w:rPr>
              <w:t>0.4</w:t>
            </w:r>
            <w:r>
              <w:rPr>
                <w:rFonts w:hint="default" w:ascii="Times New Roman" w:hAnsi="Times New Roman" w:cs="Times New Roman"/>
                <w:sz w:val="21"/>
                <w:szCs w:val="21"/>
              </w:rPr>
              <w:t>mg/kg</w:t>
            </w:r>
          </w:p>
        </w:tc>
        <w:tc>
          <w:tcPr>
            <w:tcW w:w="98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FF0000"/>
                <w:sz w:val="21"/>
                <w:szCs w:val="21"/>
                <w:highlight w:val="yellow"/>
              </w:rPr>
            </w:pPr>
          </w:p>
        </w:tc>
      </w:tr>
    </w:tbl>
    <w:p>
      <w:pPr>
        <w:pStyle w:val="31"/>
        <w:rPr>
          <w:rFonts w:hint="default"/>
          <w:lang w:val="en-US" w:eastAsia="zh-CN"/>
        </w:rPr>
      </w:pPr>
    </w:p>
    <w:p>
      <w:pPr>
        <w:pStyle w:val="16"/>
        <w:adjustRightInd w:val="0"/>
        <w:spacing w:line="348"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5 \* GB2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⑸</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评价标准</w:t>
      </w:r>
    </w:p>
    <w:p>
      <w:pPr>
        <w:adjustRightInd w:val="0"/>
        <w:snapToGrid w:val="0"/>
        <w:spacing w:line="348"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评价区域土壤环境质量执行《土壤环境质量</w:t>
      </w:r>
      <w:r>
        <w:rPr>
          <w:rFonts w:hint="eastAsia" w:ascii="Times New Roman" w:hAnsi="Times New Roman" w:cs="Times New Roman"/>
          <w:color w:val="auto"/>
          <w:spacing w:val="0"/>
          <w:w w:val="100"/>
          <w:kern w:val="0"/>
          <w:position w:val="0"/>
          <w:sz w:val="24"/>
          <w:highlight w:val="none"/>
          <w:lang w:val="en-US" w:eastAsia="zh-CN"/>
        </w:rPr>
        <w:t xml:space="preserve"> </w:t>
      </w:r>
      <w:r>
        <w:rPr>
          <w:rFonts w:hint="default" w:ascii="Times New Roman" w:hAnsi="Times New Roman" w:eastAsia="宋体" w:cs="Times New Roman"/>
          <w:color w:val="auto"/>
          <w:spacing w:val="0"/>
          <w:w w:val="100"/>
          <w:kern w:val="0"/>
          <w:position w:val="0"/>
          <w:sz w:val="24"/>
          <w:highlight w:val="none"/>
        </w:rPr>
        <w:t>农用地土壤污染风险管控标准》（试行）（GB15618-2018）风险筛选值。</w:t>
      </w:r>
    </w:p>
    <w:p>
      <w:pPr>
        <w:adjustRightInd w:val="0"/>
        <w:snapToGrid w:val="0"/>
        <w:spacing w:line="348"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⑹监测结果</w:t>
      </w:r>
    </w:p>
    <w:p>
      <w:pPr>
        <w:adjustRightInd w:val="0"/>
        <w:snapToGrid w:val="0"/>
        <w:spacing w:line="348"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有机物监测结果见表3.2-1</w:t>
      </w:r>
      <w:r>
        <w:rPr>
          <w:rFonts w:hint="eastAsia" w:ascii="Times New Roman" w:hAnsi="Times New Roman" w:cs="Times New Roman"/>
          <w:bCs/>
          <w:color w:val="auto"/>
          <w:spacing w:val="0"/>
          <w:w w:val="100"/>
          <w:kern w:val="0"/>
          <w:position w:val="0"/>
          <w:sz w:val="24"/>
          <w:highlight w:val="none"/>
          <w:lang w:val="en-US" w:eastAsia="zh-CN"/>
        </w:rPr>
        <w:t>4</w:t>
      </w:r>
      <w:r>
        <w:rPr>
          <w:rFonts w:hint="default" w:ascii="Times New Roman" w:hAnsi="Times New Roman" w:eastAsia="宋体" w:cs="Times New Roman"/>
          <w:bCs/>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表3.2-1</w:t>
      </w:r>
      <w:r>
        <w:rPr>
          <w:rFonts w:hint="eastAsia" w:ascii="Times New Roman" w:hAnsi="Times New Roman"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土壤监测结果一览表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单位：mg/kg</w:t>
      </w:r>
    </w:p>
    <w:tbl>
      <w:tblPr>
        <w:tblStyle w:val="26"/>
        <w:tblW w:w="5036"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04"/>
        <w:gridCol w:w="1127"/>
        <w:gridCol w:w="1656"/>
        <w:gridCol w:w="1656"/>
        <w:gridCol w:w="1657"/>
        <w:gridCol w:w="729"/>
        <w:gridCol w:w="68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检测</w:t>
            </w:r>
          </w:p>
          <w:p>
            <w:pPr>
              <w:widowControl/>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项目</w:t>
            </w:r>
          </w:p>
        </w:tc>
        <w:tc>
          <w:tcPr>
            <w:tcW w:w="625" w:type="pct"/>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单位</w:t>
            </w:r>
          </w:p>
        </w:tc>
        <w:tc>
          <w:tcPr>
            <w:tcW w:w="2755" w:type="pct"/>
            <w:gridSpan w:val="3"/>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检测结果</w:t>
            </w:r>
          </w:p>
        </w:tc>
        <w:tc>
          <w:tcPr>
            <w:tcW w:w="404"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标准限值</w:t>
            </w:r>
          </w:p>
        </w:tc>
        <w:tc>
          <w:tcPr>
            <w:tcW w:w="379"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达标情况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p>
        </w:tc>
        <w:tc>
          <w:tcPr>
            <w:tcW w:w="625"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p>
        </w:tc>
        <w:tc>
          <w:tcPr>
            <w:tcW w:w="918" w:type="pct"/>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eastAsia" w:ascii="Times New Roman" w:hAnsi="Times New Roman" w:cs="Times New Roman"/>
                <w:b/>
                <w:snapToGrid w:val="0"/>
                <w:color w:val="auto"/>
                <w:spacing w:val="0"/>
                <w:w w:val="100"/>
                <w:kern w:val="0"/>
                <w:position w:val="0"/>
                <w:sz w:val="21"/>
                <w:szCs w:val="21"/>
                <w:lang w:val="en-US" w:eastAsia="zh-CN"/>
              </w:rPr>
              <w:t>1</w:t>
            </w:r>
            <w:r>
              <w:rPr>
                <w:rFonts w:hint="default" w:ascii="Times New Roman" w:hAnsi="Times New Roman" w:eastAsia="宋体" w:cs="Times New Roman"/>
                <w:b/>
                <w:snapToGrid w:val="0"/>
                <w:color w:val="auto"/>
                <w:spacing w:val="0"/>
                <w:w w:val="100"/>
                <w:kern w:val="0"/>
                <w:position w:val="0"/>
                <w:sz w:val="21"/>
                <w:szCs w:val="21"/>
              </w:rPr>
              <w:t>#</w:t>
            </w:r>
            <w:r>
              <w:rPr>
                <w:rFonts w:hint="default" w:ascii="Times New Roman" w:hAnsi="Times New Roman" w:eastAsia="宋体" w:cs="Times New Roman"/>
                <w:b/>
                <w:bCs/>
                <w:color w:val="auto"/>
                <w:spacing w:val="0"/>
                <w:w w:val="100"/>
                <w:kern w:val="0"/>
                <w:position w:val="0"/>
                <w:sz w:val="21"/>
                <w:szCs w:val="21"/>
              </w:rPr>
              <w:t>表层</w:t>
            </w:r>
          </w:p>
          <w:p>
            <w:pPr>
              <w:widowControl/>
              <w:adjustRightInd w:val="0"/>
              <w:snapToGrid w:val="0"/>
              <w:jc w:val="center"/>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（0～0.2m）</w:t>
            </w:r>
          </w:p>
        </w:tc>
        <w:tc>
          <w:tcPr>
            <w:tcW w:w="918" w:type="pct"/>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2#</w:t>
            </w:r>
            <w:r>
              <w:rPr>
                <w:rFonts w:hint="default" w:ascii="Times New Roman" w:hAnsi="Times New Roman" w:eastAsia="宋体" w:cs="Times New Roman"/>
                <w:b/>
                <w:bCs/>
                <w:color w:val="auto"/>
                <w:spacing w:val="0"/>
                <w:w w:val="100"/>
                <w:kern w:val="0"/>
                <w:position w:val="0"/>
                <w:sz w:val="21"/>
                <w:szCs w:val="21"/>
              </w:rPr>
              <w:t>表层</w:t>
            </w:r>
          </w:p>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（0～0.2m）</w:t>
            </w:r>
          </w:p>
        </w:tc>
        <w:tc>
          <w:tcPr>
            <w:tcW w:w="918" w:type="pct"/>
            <w:tcBorders>
              <w:tl2br w:val="nil"/>
              <w:tr2bl w:val="nil"/>
            </w:tcBorders>
            <w:vAlign w:val="center"/>
          </w:tcPr>
          <w:p>
            <w:pPr>
              <w:widowControl/>
              <w:adjustRightInd w:val="0"/>
              <w:snapToGrid w:val="0"/>
              <w:jc w:val="center"/>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3#</w:t>
            </w:r>
            <w:r>
              <w:rPr>
                <w:rFonts w:hint="default" w:ascii="Times New Roman" w:hAnsi="Times New Roman" w:eastAsia="宋体" w:cs="Times New Roman"/>
                <w:b/>
                <w:bCs/>
                <w:color w:val="auto"/>
                <w:spacing w:val="0"/>
                <w:w w:val="100"/>
                <w:kern w:val="0"/>
                <w:position w:val="0"/>
                <w:sz w:val="21"/>
                <w:szCs w:val="21"/>
              </w:rPr>
              <w:t>表层</w:t>
            </w:r>
          </w:p>
          <w:p>
            <w:pPr>
              <w:widowControl/>
              <w:adjustRightInd w:val="0"/>
              <w:snapToGrid w:val="0"/>
              <w:jc w:val="center"/>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（0～0.2m）</w:t>
            </w:r>
          </w:p>
        </w:tc>
        <w:tc>
          <w:tcPr>
            <w:tcW w:w="404"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
                <w:snapToGrid w:val="0"/>
                <w:color w:val="auto"/>
                <w:spacing w:val="0"/>
                <w:w w:val="100"/>
                <w:kern w:val="0"/>
                <w:position w:val="0"/>
                <w:sz w:val="21"/>
                <w:szCs w:val="21"/>
              </w:rPr>
            </w:pPr>
          </w:p>
        </w:tc>
        <w:tc>
          <w:tcPr>
            <w:tcW w:w="379"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
                <w:snapToGrid w:val="0"/>
                <w:color w:val="auto"/>
                <w:spacing w:val="0"/>
                <w:w w:val="100"/>
                <w:kern w:val="0"/>
                <w:position w:val="0"/>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pH</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无量纲</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9.27</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9.31</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9.42</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铜</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25.8</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26.6</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28.9</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100</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镍</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34.0</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29.8</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32.9</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190</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铅</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10.6</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8.3</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10.4</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170</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镉</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0.2</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0.2</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0.3</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0.6</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汞</w:t>
            </w:r>
          </w:p>
        </w:tc>
        <w:tc>
          <w:tcPr>
            <w:tcW w:w="625"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0.053</w:t>
            </w:r>
          </w:p>
        </w:tc>
        <w:tc>
          <w:tcPr>
            <w:tcW w:w="918"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0.026</w:t>
            </w:r>
          </w:p>
        </w:tc>
        <w:tc>
          <w:tcPr>
            <w:tcW w:w="918"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0.029</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3.4</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砷</w:t>
            </w:r>
          </w:p>
        </w:tc>
        <w:tc>
          <w:tcPr>
            <w:tcW w:w="625"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7.71</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8.28</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10.4</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25</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铬</w:t>
            </w:r>
          </w:p>
        </w:tc>
        <w:tc>
          <w:tcPr>
            <w:tcW w:w="625"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53.7</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44.8</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51.9</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250</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锌</w:t>
            </w:r>
          </w:p>
        </w:tc>
        <w:tc>
          <w:tcPr>
            <w:tcW w:w="625"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mg/kg</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70.7</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83.3</w:t>
            </w:r>
          </w:p>
        </w:tc>
        <w:tc>
          <w:tcPr>
            <w:tcW w:w="91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eastAsia" w:ascii="Times New Roman" w:hAnsi="Times New Roman" w:eastAsia="宋体" w:cs="Times New Roman"/>
                <w:snapToGrid w:val="0"/>
                <w:color w:val="auto"/>
                <w:spacing w:val="0"/>
                <w:w w:val="100"/>
                <w:kern w:val="0"/>
                <w:position w:val="0"/>
                <w:sz w:val="21"/>
                <w:szCs w:val="21"/>
                <w:lang w:val="en-US" w:eastAsia="zh-CN"/>
              </w:rPr>
              <w:t>71.7</w:t>
            </w: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300</w:t>
            </w:r>
          </w:p>
        </w:tc>
        <w:tc>
          <w:tcPr>
            <w:tcW w:w="379"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达标</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根据土壤环境监测数据的统计分析结果，采用与评价标准直接比较的方法，对项目区内土壤环境质量现状做出评价。由监测结果可知，项目区域各监测点土壤监测值均低于</w:t>
      </w:r>
      <w:r>
        <w:rPr>
          <w:rFonts w:hint="default" w:ascii="Times New Roman" w:hAnsi="Times New Roman" w:eastAsia="宋体" w:cs="Times New Roman"/>
          <w:color w:val="auto"/>
          <w:spacing w:val="0"/>
          <w:w w:val="100"/>
          <w:kern w:val="0"/>
          <w:position w:val="0"/>
          <w:sz w:val="24"/>
          <w:highlight w:val="none"/>
        </w:rPr>
        <w:t>《土壤环境质量</w:t>
      </w:r>
      <w:r>
        <w:rPr>
          <w:rFonts w:hint="default" w:ascii="Times New Roman" w:hAnsi="Times New Roman" w:cs="Times New Roman"/>
          <w:color w:val="auto"/>
          <w:spacing w:val="0"/>
          <w:w w:val="100"/>
          <w:kern w:val="0"/>
          <w:position w:val="0"/>
          <w:sz w:val="24"/>
          <w:highlight w:val="none"/>
          <w:lang w:val="en-US" w:eastAsia="zh-CN"/>
        </w:rPr>
        <w:t xml:space="preserve"> </w:t>
      </w:r>
      <w:r>
        <w:rPr>
          <w:rFonts w:hint="default" w:ascii="Times New Roman" w:hAnsi="Times New Roman" w:eastAsia="宋体" w:cs="Times New Roman"/>
          <w:color w:val="auto"/>
          <w:spacing w:val="0"/>
          <w:w w:val="100"/>
          <w:kern w:val="0"/>
          <w:position w:val="0"/>
          <w:sz w:val="24"/>
          <w:highlight w:val="none"/>
        </w:rPr>
        <w:t>农用地土壤污染风险管控标准》（试行）（GB15618-2018）风险筛选值</w:t>
      </w:r>
      <w:r>
        <w:rPr>
          <w:rFonts w:hint="default" w:ascii="Times New Roman" w:hAnsi="Times New Roman" w:eastAsia="宋体" w:cs="Times New Roman"/>
          <w:bCs/>
          <w:color w:val="auto"/>
          <w:spacing w:val="0"/>
          <w:w w:val="100"/>
          <w:kern w:val="0"/>
          <w:position w:val="0"/>
          <w:sz w:val="24"/>
          <w:highlight w:val="none"/>
        </w:rPr>
        <w:t>，说明项目区域土壤环境质量现状良好。</w:t>
      </w:r>
    </w:p>
    <w:p>
      <w:pPr>
        <w:pStyle w:val="12"/>
        <w:rPr>
          <w:rFonts w:hint="default" w:ascii="Times New Roman" w:hAnsi="Times New Roman" w:eastAsia="宋体" w:cs="Times New Roman"/>
          <w:color w:val="auto"/>
          <w:spacing w:val="0"/>
          <w:w w:val="100"/>
          <w:kern w:val="0"/>
          <w:position w:val="0"/>
          <w:lang w:eastAsia="zh-CN"/>
        </w:rPr>
      </w:pPr>
    </w:p>
    <w:p>
      <w:pPr>
        <w:pStyle w:val="12"/>
        <w:rPr>
          <w:rFonts w:hint="default" w:ascii="Times New Roman" w:hAnsi="Times New Roman" w:eastAsia="宋体" w:cs="Times New Roman"/>
          <w:color w:val="auto"/>
          <w:spacing w:val="0"/>
          <w:w w:val="100"/>
          <w:kern w:val="0"/>
          <w:position w:val="0"/>
          <w:sz w:val="24"/>
          <w:szCs w:val="24"/>
          <w:lang w:val="en-US" w:eastAsia="zh-CN"/>
        </w:rPr>
        <w:sectPr>
          <w:headerReference r:id="rId13"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keepLines/>
        <w:pageBreakBefore w:val="0"/>
        <w:widowControl w:val="0"/>
        <w:kinsoku/>
        <w:wordWrap/>
        <w:overflowPunct/>
        <w:topLinePunct w:val="0"/>
        <w:autoSpaceDE/>
        <w:autoSpaceDN/>
        <w:bidi w:val="0"/>
        <w:adjustRightInd/>
        <w:snapToGrid w:val="0"/>
        <w:spacing w:before="312" w:beforeLines="100" w:after="156" w:afterLines="50"/>
        <w:contextualSpacing/>
        <w:textAlignment w:val="auto"/>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658" w:name="_Toc2022"/>
      <w:bookmarkStart w:id="659" w:name="_Toc15888"/>
      <w:bookmarkStart w:id="660" w:name="_Toc26593"/>
      <w:bookmarkStart w:id="661" w:name="_Toc18241"/>
      <w:bookmarkStart w:id="662" w:name="_Toc22128"/>
      <w:bookmarkStart w:id="663" w:name="_Toc12159"/>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4施工期环境影响预测与评价</w:t>
      </w:r>
      <w:bookmarkEnd w:id="658"/>
      <w:bookmarkEnd w:id="659"/>
      <w:bookmarkEnd w:id="660"/>
      <w:bookmarkEnd w:id="661"/>
      <w:bookmarkEnd w:id="662"/>
      <w:bookmarkEnd w:id="663"/>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664" w:name="_Toc505"/>
      <w:bookmarkStart w:id="665" w:name="_Toc17073"/>
      <w:bookmarkStart w:id="666" w:name="_Toc12279"/>
      <w:bookmarkStart w:id="667" w:name="_Toc24658"/>
      <w:bookmarkStart w:id="668" w:name="_Toc302"/>
      <w:bookmarkStart w:id="669" w:name="_Toc30351"/>
      <w:bookmarkStart w:id="670" w:name="_Toc10673"/>
      <w:bookmarkStart w:id="671" w:name="_Toc11708"/>
      <w:bookmarkStart w:id="672" w:name="_Toc4037"/>
      <w:r>
        <w:rPr>
          <w:rFonts w:hint="default" w:ascii="Times New Roman" w:hAnsi="Times New Roman" w:eastAsia="宋体" w:cs="Times New Roman"/>
          <w:snapToGrid w:val="0"/>
          <w:color w:val="auto"/>
          <w:spacing w:val="0"/>
          <w:w w:val="100"/>
          <w:kern w:val="0"/>
          <w:position w:val="0"/>
          <w:highlight w:val="none"/>
          <w:lang w:val="en-US" w:eastAsia="zh-CN"/>
        </w:rPr>
        <w:t>4.1施工期环境空气影响分析与防护措施</w:t>
      </w:r>
      <w:bookmarkEnd w:id="664"/>
      <w:bookmarkEnd w:id="665"/>
      <w:bookmarkEnd w:id="666"/>
      <w:bookmarkEnd w:id="667"/>
      <w:bookmarkEnd w:id="668"/>
      <w:bookmarkEnd w:id="669"/>
      <w:bookmarkEnd w:id="670"/>
      <w:bookmarkEnd w:id="671"/>
      <w:bookmarkEnd w:id="672"/>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673" w:name="_Toc61426871"/>
      <w:bookmarkStart w:id="674" w:name="_Toc61368444"/>
      <w:bookmarkStart w:id="675" w:name="_Toc61255607"/>
      <w:bookmarkStart w:id="676" w:name="_Toc503861246"/>
      <w:bookmarkStart w:id="677" w:name="_Toc490447664"/>
      <w:bookmarkStart w:id="678" w:name="_Toc9221311"/>
      <w:bookmarkStart w:id="679" w:name="_Toc5382000"/>
      <w:bookmarkStart w:id="680" w:name="_Toc503860820"/>
      <w:bookmarkStart w:id="681" w:name="_Toc5257124"/>
      <w:bookmarkStart w:id="682" w:name="_Toc49915777"/>
      <w:bookmarkStart w:id="683" w:name="_Toc240270224"/>
      <w:bookmarkStart w:id="684" w:name="_Toc240270063"/>
      <w:bookmarkStart w:id="685" w:name="_Toc240269902"/>
      <w:bookmarkStart w:id="686" w:name="_Toc206933760"/>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施工期环境空气影响</w:t>
      </w:r>
      <w:bookmarkEnd w:id="673"/>
      <w:bookmarkEnd w:id="674"/>
      <w:bookmarkEnd w:id="675"/>
      <w:bookmarkEnd w:id="676"/>
      <w:bookmarkEnd w:id="677"/>
      <w:bookmarkEnd w:id="678"/>
      <w:bookmarkEnd w:id="679"/>
      <w:bookmarkEnd w:id="680"/>
      <w:bookmarkEnd w:id="681"/>
      <w:bookmarkEnd w:id="682"/>
      <w:r>
        <w:rPr>
          <w:rFonts w:hint="default" w:ascii="Times New Roman" w:hAnsi="Times New Roman" w:eastAsia="宋体" w:cs="Times New Roman"/>
          <w:color w:val="auto"/>
          <w:spacing w:val="0"/>
          <w:w w:val="100"/>
          <w:kern w:val="0"/>
          <w:position w:val="0"/>
          <w:sz w:val="24"/>
          <w:szCs w:val="24"/>
          <w:highlight w:val="none"/>
        </w:rPr>
        <w:t>因素</w:t>
      </w:r>
      <w:bookmarkEnd w:id="683"/>
      <w:bookmarkEnd w:id="684"/>
      <w:bookmarkEnd w:id="685"/>
      <w:bookmarkEnd w:id="686"/>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在本项目施工期间，施工扬尘主要产生于以下环节：①施工时，场地的平整、路面的开挖及土方的挖掘等环节产生的扬尘；②水泥、砂石等建筑材料的装卸和车辆运输过程中产生的扬尘；③施工中产生的弃土，若堆放时覆盖不当或装卸运输时撒落产生的扬尘。</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期间对环境空气影响最主要的是扬尘。干燥地表开挖时产生的粉尘，一部分悬浮于空中，另一部分随风飘落到附近地面和建筑物表面；开挖的弃土堆放过程中，在风力较大时，会产生风力扬尘；而装卸和运输过程中，又会造成部分粉尘扬起和洒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施工期环境空气污染的防护措施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结合本项目区域周围的特点，为使施工过程中产生的粉尘对周围环境空气的影响降低到最小程度，应当采取以下防护措施：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①对施工现场进行科学管理，砂石料应统一堆放。</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②对作业面和临时土堆应适当地洒水，使其保持一定的湿度，减小起尘量，施工便道应进行夯实硬化处理，减少起尘量，由于施工需要，不能硬化的道路，应采取定期洒水，铺草帘子等措施减少扬尘量。</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③谨防运输车辆装载过满，并采取遮盖、密闭措施，减少其沿途抛洒，并及时清扫散落在路面的泥土和灰尘，冲洗轮胎，定时洒水压尘，减少运输过程中的扬尘。散装车辆装运货物的高度不得超过马槽的高度，文明装卸和驾驶，限速驾驶，在装卸点须对散落在车顶、蓬布、马槽外部等处的物料进行清扫。</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④施工现场要使用围栏进行遮挡，减少施工扬尘扩散范围。</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⑤风速超过6m/s时应停止施工作业，并对堆放的砂石等建筑材料进行遮盖处理。</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采取以上措施后，将会降低扬尘量50~70%，可有效减少扬尘对周围环境的影响。随着施工过程的结束，这些污染也将随之结束。</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687" w:name="_Toc13288"/>
      <w:bookmarkStart w:id="688" w:name="_Toc16301"/>
      <w:bookmarkStart w:id="689" w:name="_Toc20035"/>
      <w:bookmarkStart w:id="690" w:name="_Toc29571"/>
      <w:bookmarkStart w:id="691" w:name="_Toc12133"/>
      <w:bookmarkStart w:id="692" w:name="_Toc7166"/>
      <w:bookmarkStart w:id="693" w:name="_Toc857"/>
      <w:bookmarkStart w:id="694" w:name="_Toc15107"/>
      <w:bookmarkStart w:id="695" w:name="_Toc11555"/>
      <w:r>
        <w:rPr>
          <w:rFonts w:hint="default" w:ascii="Times New Roman" w:hAnsi="Times New Roman" w:eastAsia="宋体" w:cs="Times New Roman"/>
          <w:snapToGrid w:val="0"/>
          <w:color w:val="auto"/>
          <w:spacing w:val="0"/>
          <w:w w:val="100"/>
          <w:kern w:val="0"/>
          <w:position w:val="0"/>
          <w:highlight w:val="none"/>
          <w:lang w:val="en-US" w:eastAsia="zh-CN"/>
        </w:rPr>
        <w:t>4.2施工期声环境影响分析与防护措施</w:t>
      </w:r>
      <w:bookmarkEnd w:id="687"/>
      <w:bookmarkEnd w:id="688"/>
      <w:bookmarkEnd w:id="689"/>
      <w:bookmarkEnd w:id="690"/>
      <w:bookmarkEnd w:id="691"/>
      <w:bookmarkEnd w:id="692"/>
      <w:bookmarkEnd w:id="693"/>
      <w:bookmarkEnd w:id="694"/>
      <w:bookmarkEnd w:id="69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696" w:name="_Toc5061"/>
      <w:bookmarkStart w:id="697" w:name="_Toc240270227"/>
      <w:bookmarkStart w:id="698" w:name="_Toc503860814"/>
      <w:bookmarkStart w:id="699" w:name="_Toc240269905"/>
      <w:bookmarkStart w:id="700" w:name="_Toc206933756"/>
      <w:bookmarkStart w:id="701" w:name="_Toc61426864"/>
      <w:bookmarkStart w:id="702" w:name="_Toc61255601"/>
      <w:bookmarkStart w:id="703" w:name="_Toc503861240"/>
      <w:bookmarkStart w:id="704" w:name="_Toc31912"/>
      <w:bookmarkStart w:id="705" w:name="_Toc61368437"/>
      <w:bookmarkStart w:id="706" w:name="_Toc49915771"/>
      <w:bookmarkStart w:id="707" w:name="_Toc490447658"/>
      <w:bookmarkStart w:id="708" w:name="_Toc9221305"/>
      <w:bookmarkStart w:id="709" w:name="_Toc240270066"/>
      <w:bookmarkStart w:id="710" w:name="_Toc5381994"/>
      <w:bookmarkStart w:id="711" w:name="_Toc5257118"/>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执行标准</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项目施工期间噪声评价标准采用《建筑施工场界环境噪声排放标准》（GB12523-2011），该标准对不同施工阶段作业所产生的施工噪声在其施工场界的限值见表</w:t>
      </w:r>
      <w:r>
        <w:rPr>
          <w:rFonts w:hint="default" w:ascii="Times New Roman" w:hAnsi="Times New Roman" w:eastAsia="宋体"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rPr>
        <w:t>.1-1。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表4.1-1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建筑施工场界环境噪声排放标准   单位：dB(A)</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4394"/>
        <w:gridCol w:w="43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9240" w:type="dxa"/>
            <w:gridSpan w:val="2"/>
            <w:noWrap w:val="0"/>
            <w:vAlign w:val="center"/>
          </w:tcPr>
          <w:p>
            <w:pPr>
              <w:widowControl/>
              <w:autoSpaceDE w:val="0"/>
              <w:autoSpaceDN w:val="0"/>
              <w:jc w:val="center"/>
              <w:textAlignment w:val="bottom"/>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噪声限值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4620" w:type="dxa"/>
            <w:noWrap w:val="0"/>
            <w:vAlign w:val="center"/>
          </w:tcPr>
          <w:p>
            <w:pPr>
              <w:widowControl/>
              <w:autoSpaceDE w:val="0"/>
              <w:autoSpaceDN w:val="0"/>
              <w:jc w:val="center"/>
              <w:textAlignment w:val="bottom"/>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昼间</w:t>
            </w:r>
          </w:p>
        </w:tc>
        <w:tc>
          <w:tcPr>
            <w:tcW w:w="4620" w:type="dxa"/>
            <w:noWrap w:val="0"/>
            <w:vAlign w:val="center"/>
          </w:tcPr>
          <w:p>
            <w:pPr>
              <w:widowControl/>
              <w:autoSpaceDE w:val="0"/>
              <w:autoSpaceDN w:val="0"/>
              <w:jc w:val="center"/>
              <w:textAlignment w:val="bottom"/>
              <w:rPr>
                <w:rFonts w:hint="default" w:ascii="Times New Roman" w:hAnsi="Times New Roman" w:eastAsia="宋体" w:cs="Times New Roman"/>
                <w:b/>
                <w:snapToGrid w:val="0"/>
                <w:color w:val="auto"/>
                <w:spacing w:val="0"/>
                <w:w w:val="100"/>
                <w:kern w:val="0"/>
                <w:position w:val="0"/>
                <w:szCs w:val="21"/>
                <w:highlight w:val="none"/>
              </w:rPr>
            </w:pPr>
            <w:r>
              <w:rPr>
                <w:rFonts w:hint="default" w:ascii="Times New Roman" w:hAnsi="Times New Roman" w:eastAsia="宋体" w:cs="Times New Roman"/>
                <w:b/>
                <w:snapToGrid w:val="0"/>
                <w:color w:val="auto"/>
                <w:spacing w:val="0"/>
                <w:w w:val="100"/>
                <w:kern w:val="0"/>
                <w:position w:val="0"/>
                <w:szCs w:val="21"/>
                <w:highlight w:val="none"/>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4620" w:type="dxa"/>
            <w:noWrap w:val="0"/>
            <w:vAlign w:val="center"/>
          </w:tcPr>
          <w:p>
            <w:pPr>
              <w:widowControl/>
              <w:autoSpaceDE w:val="0"/>
              <w:autoSpaceDN w:val="0"/>
              <w:jc w:val="center"/>
              <w:textAlignment w:val="bottom"/>
              <w:rPr>
                <w:rFonts w:hint="default" w:ascii="Times New Roman" w:hAnsi="Times New Roman" w:eastAsia="宋体" w:cs="Times New Roman"/>
                <w:bCs/>
                <w:snapToGrid w:val="0"/>
                <w:color w:val="auto"/>
                <w:spacing w:val="0"/>
                <w:w w:val="100"/>
                <w:kern w:val="0"/>
                <w:position w:val="0"/>
                <w:szCs w:val="21"/>
                <w:highlight w:val="none"/>
              </w:rPr>
            </w:pPr>
            <w:r>
              <w:rPr>
                <w:rFonts w:hint="default" w:ascii="Times New Roman" w:hAnsi="Times New Roman" w:eastAsia="宋体" w:cs="Times New Roman"/>
                <w:bCs/>
                <w:snapToGrid w:val="0"/>
                <w:color w:val="auto"/>
                <w:spacing w:val="0"/>
                <w:w w:val="100"/>
                <w:kern w:val="0"/>
                <w:position w:val="0"/>
                <w:szCs w:val="21"/>
                <w:highlight w:val="none"/>
              </w:rPr>
              <w:t>70</w:t>
            </w:r>
          </w:p>
        </w:tc>
        <w:tc>
          <w:tcPr>
            <w:tcW w:w="4620" w:type="dxa"/>
            <w:noWrap w:val="0"/>
            <w:vAlign w:val="center"/>
          </w:tcPr>
          <w:p>
            <w:pPr>
              <w:widowControl/>
              <w:autoSpaceDE w:val="0"/>
              <w:autoSpaceDN w:val="0"/>
              <w:jc w:val="center"/>
              <w:textAlignment w:val="bottom"/>
              <w:rPr>
                <w:rFonts w:hint="default" w:ascii="Times New Roman" w:hAnsi="Times New Roman" w:eastAsia="宋体" w:cs="Times New Roman"/>
                <w:bCs/>
                <w:snapToGrid w:val="0"/>
                <w:color w:val="auto"/>
                <w:spacing w:val="0"/>
                <w:w w:val="100"/>
                <w:kern w:val="0"/>
                <w:position w:val="0"/>
                <w:szCs w:val="21"/>
                <w:highlight w:val="none"/>
              </w:rPr>
            </w:pPr>
            <w:r>
              <w:rPr>
                <w:rFonts w:hint="default" w:ascii="Times New Roman" w:hAnsi="Times New Roman" w:eastAsia="宋体" w:cs="Times New Roman"/>
                <w:bCs/>
                <w:snapToGrid w:val="0"/>
                <w:color w:val="auto"/>
                <w:spacing w:val="0"/>
                <w:w w:val="100"/>
                <w:kern w:val="0"/>
                <w:position w:val="0"/>
                <w:szCs w:val="21"/>
                <w:highlight w:val="none"/>
              </w:rPr>
              <w:t>55</w:t>
            </w:r>
          </w:p>
        </w:tc>
      </w:tr>
    </w:tbl>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12" w:name="_Toc9221306"/>
      <w:bookmarkStart w:id="713" w:name="_Toc490447659"/>
      <w:bookmarkStart w:id="714" w:name="_Toc61368438"/>
      <w:bookmarkStart w:id="715" w:name="_Toc61255602"/>
      <w:bookmarkStart w:id="716" w:name="_Toc61426865"/>
      <w:bookmarkStart w:id="717" w:name="_Toc19893"/>
      <w:bookmarkStart w:id="718" w:name="_Toc5381995"/>
      <w:bookmarkStart w:id="719" w:name="_Toc240270228"/>
      <w:bookmarkStart w:id="720" w:name="_Toc240270067"/>
      <w:bookmarkStart w:id="721" w:name="_Toc5257119"/>
      <w:bookmarkStart w:id="722" w:name="_Toc503860815"/>
      <w:bookmarkStart w:id="723" w:name="_Toc206933757"/>
      <w:bookmarkStart w:id="724" w:name="_Toc49915772"/>
      <w:bookmarkStart w:id="725" w:name="_Toc25731"/>
      <w:bookmarkStart w:id="726" w:name="_Toc240269906"/>
      <w:bookmarkStart w:id="727" w:name="_Toc503861241"/>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施工噪声强度调查</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28" w:name="_Toc30256"/>
      <w:bookmarkStart w:id="729" w:name="_Toc184"/>
      <w:r>
        <w:rPr>
          <w:rFonts w:hint="default" w:ascii="Times New Roman" w:hAnsi="Times New Roman" w:eastAsia="宋体" w:cs="Times New Roman"/>
          <w:color w:val="auto"/>
          <w:spacing w:val="0"/>
          <w:w w:val="100"/>
          <w:kern w:val="0"/>
          <w:position w:val="0"/>
          <w:sz w:val="24"/>
          <w:szCs w:val="24"/>
          <w:highlight w:val="none"/>
        </w:rPr>
        <w:t>施工噪声主要有设备噪声、机械噪声等。施工设备噪声主要是翻斗车、载重机等设备的发动机噪声；机械噪声主要是装卸材料的碰击声、拆除模板及清除模板上附着物的敲击声。这些噪声源的声级值最高可达110dB（A）左右。各种施工机械设备的噪声源强见表</w:t>
      </w:r>
      <w:r>
        <w:rPr>
          <w:rFonts w:hint="default" w:ascii="Times New Roman" w:hAnsi="Times New Roman" w:eastAsia="宋体"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rPr>
        <w:t>.1-2。</w:t>
      </w:r>
      <w:bookmarkEnd w:id="728"/>
      <w:bookmarkEnd w:id="729"/>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表4.1-2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各种施工机械在不同距离的噪声预测值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单位：dB(A)</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4"/>
        <w:gridCol w:w="544"/>
        <w:gridCol w:w="512"/>
        <w:gridCol w:w="553"/>
        <w:gridCol w:w="560"/>
        <w:gridCol w:w="560"/>
        <w:gridCol w:w="576"/>
        <w:gridCol w:w="567"/>
        <w:gridCol w:w="560"/>
        <w:gridCol w:w="568"/>
        <w:gridCol w:w="560"/>
        <w:gridCol w:w="536"/>
        <w:gridCol w:w="553"/>
        <w:gridCol w:w="512"/>
        <w:gridCol w:w="512"/>
        <w:gridCol w:w="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施工</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机械</w:t>
            </w:r>
          </w:p>
        </w:tc>
        <w:tc>
          <w:tcPr>
            <w:tcW w:w="8422" w:type="dxa"/>
            <w:gridSpan w:val="1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15</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25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50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80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100</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150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200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250</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300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400</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500</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600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700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800</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装载机</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85.0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74.5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68.5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65.0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59.0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56.5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54.5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52.4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49.9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铲土机</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83.0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78.6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72.5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68.5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66.5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63.0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58.5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57.0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54.5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52.5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50.1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48.9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推土机</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86.0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81.6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75.5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71.5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69.5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66.0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63.5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61.5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57.5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55.5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54.4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53.1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混凝</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土泵</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79.0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74.6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68.5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64.5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59.0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56.5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54.5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53.5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51.0</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48.5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48.4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47.1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45.9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载重</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汽车</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82.0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77.6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71.5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67.5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65.5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59.5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57.5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56.0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53.5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50.4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49.1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47.9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振捣机</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74.0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69.6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63.5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59.5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57.5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54.0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49.5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48.0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45.5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43.5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42.4</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41.1</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39.9</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2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锯床</w:t>
            </w:r>
          </w:p>
        </w:tc>
        <w:tc>
          <w:tcPr>
            <w:tcW w:w="5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82.0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77.6</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71.5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67.5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65.5</w:t>
            </w:r>
          </w:p>
        </w:tc>
        <w:tc>
          <w:tcPr>
            <w:tcW w:w="5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62.0</w:t>
            </w:r>
          </w:p>
        </w:tc>
        <w:tc>
          <w:tcPr>
            <w:tcW w:w="5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59.5</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57.5</w:t>
            </w:r>
          </w:p>
        </w:tc>
        <w:tc>
          <w:tcPr>
            <w:tcW w:w="5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56.0</w:t>
            </w:r>
          </w:p>
        </w:tc>
        <w:tc>
          <w:tcPr>
            <w:tcW w:w="5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53.5</w:t>
            </w:r>
          </w:p>
        </w:tc>
        <w:tc>
          <w:tcPr>
            <w:tcW w:w="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51.5</w:t>
            </w:r>
          </w:p>
        </w:tc>
        <w:tc>
          <w:tcPr>
            <w:tcW w:w="57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50.2</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49.0</w:t>
            </w:r>
          </w:p>
        </w:tc>
        <w:tc>
          <w:tcPr>
            <w:tcW w:w="52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47.6</w:t>
            </w:r>
          </w:p>
        </w:tc>
        <w:tc>
          <w:tcPr>
            <w:tcW w:w="49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46.6</w:t>
            </w:r>
          </w:p>
        </w:tc>
      </w:tr>
    </w:tbl>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30" w:name="_Toc24633"/>
      <w:bookmarkStart w:id="731" w:name="_Toc14030"/>
      <w:r>
        <w:rPr>
          <w:rFonts w:hint="default" w:ascii="Times New Roman" w:hAnsi="Times New Roman" w:eastAsia="宋体" w:cs="Times New Roman"/>
          <w:color w:val="auto"/>
          <w:spacing w:val="0"/>
          <w:w w:val="100"/>
          <w:kern w:val="0"/>
          <w:position w:val="0"/>
          <w:sz w:val="24"/>
          <w:szCs w:val="24"/>
          <w:highlight w:val="none"/>
        </w:rPr>
        <w:t>施工期间各种机械设备除少部分高噪声设备可以固定安装在一个地方外，绝大多数设备都会因施工地点的不同而不能固定在一个地方。</w:t>
      </w:r>
      <w:bookmarkEnd w:id="730"/>
      <w:bookmarkEnd w:id="731"/>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32" w:name="_Toc20465"/>
      <w:bookmarkStart w:id="733" w:name="_Toc22277"/>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施工期噪声预测</w:t>
      </w:r>
      <w:bookmarkEnd w:id="732"/>
      <w:bookmarkEnd w:id="733"/>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施工期各种噪声源为多点源，根据点声源噪声衰减模式，可估算其施工期间离噪声源不同距离处的噪声值，预测模式如下: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L</w:t>
      </w:r>
      <w:r>
        <w:rPr>
          <w:rFonts w:hint="default" w:ascii="Times New Roman" w:hAnsi="Times New Roman" w:eastAsia="宋体" w:cs="Times New Roman"/>
          <w:snapToGrid w:val="0"/>
          <w:color w:val="auto"/>
          <w:spacing w:val="0"/>
          <w:w w:val="100"/>
          <w:kern w:val="0"/>
          <w:position w:val="0"/>
          <w:sz w:val="24"/>
          <w:highlight w:val="none"/>
          <w:vertAlign w:val="subscript"/>
        </w:rPr>
        <w:t>p</w:t>
      </w:r>
      <w:r>
        <w:rPr>
          <w:rFonts w:hint="default" w:ascii="Times New Roman" w:hAnsi="Times New Roman" w:eastAsia="宋体" w:cs="Times New Roman"/>
          <w:snapToGrid w:val="0"/>
          <w:color w:val="auto"/>
          <w:spacing w:val="0"/>
          <w:w w:val="100"/>
          <w:kern w:val="0"/>
          <w:position w:val="0"/>
          <w:sz w:val="24"/>
          <w:highlight w:val="none"/>
        </w:rPr>
        <w:t>=Lp</w:t>
      </w:r>
      <w:r>
        <w:rPr>
          <w:rFonts w:hint="default" w:ascii="Times New Roman" w:hAnsi="Times New Roman" w:eastAsia="宋体" w:cs="Times New Roman"/>
          <w:snapToGrid w:val="0"/>
          <w:color w:val="auto"/>
          <w:spacing w:val="0"/>
          <w:w w:val="100"/>
          <w:kern w:val="0"/>
          <w:position w:val="0"/>
          <w:sz w:val="24"/>
          <w:highlight w:val="none"/>
          <w:vertAlign w:val="subscript"/>
        </w:rPr>
        <w:t>0</w:t>
      </w:r>
      <w:r>
        <w:rPr>
          <w:rFonts w:hint="default" w:ascii="Times New Roman" w:hAnsi="Times New Roman" w:eastAsia="宋体" w:cs="Times New Roman"/>
          <w:snapToGrid w:val="0"/>
          <w:color w:val="auto"/>
          <w:spacing w:val="0"/>
          <w:w w:val="100"/>
          <w:kern w:val="0"/>
          <w:position w:val="0"/>
          <w:sz w:val="24"/>
          <w:highlight w:val="none"/>
        </w:rPr>
        <w:t>—20Log(r/r</w:t>
      </w:r>
      <w:r>
        <w:rPr>
          <w:rFonts w:hint="default" w:ascii="Times New Roman" w:hAnsi="Times New Roman" w:eastAsia="宋体" w:cs="Times New Roman"/>
          <w:snapToGrid w:val="0"/>
          <w:color w:val="auto"/>
          <w:spacing w:val="0"/>
          <w:w w:val="100"/>
          <w:kern w:val="0"/>
          <w:position w:val="0"/>
          <w:sz w:val="24"/>
          <w:highlight w:val="none"/>
          <w:vertAlign w:val="subscript"/>
        </w:rPr>
        <w:t>0</w:t>
      </w:r>
      <w:r>
        <w:rPr>
          <w:rFonts w:hint="default" w:ascii="Times New Roman" w:hAnsi="Times New Roman" w:eastAsia="宋体" w:cs="Times New Roman"/>
          <w:snapToGrid w:val="0"/>
          <w:color w:val="auto"/>
          <w:spacing w:val="0"/>
          <w:w w:val="100"/>
          <w:kern w:val="0"/>
          <w:position w:val="0"/>
          <w:sz w:val="24"/>
          <w:highlight w:val="none"/>
        </w:rPr>
        <w:t>)—△Loct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式中：L</w:t>
      </w:r>
      <w:r>
        <w:rPr>
          <w:rFonts w:hint="default" w:ascii="Times New Roman" w:hAnsi="Times New Roman" w:eastAsia="宋体" w:cs="Times New Roman"/>
          <w:snapToGrid w:val="0"/>
          <w:color w:val="auto"/>
          <w:spacing w:val="0"/>
          <w:w w:val="100"/>
          <w:kern w:val="0"/>
          <w:position w:val="0"/>
          <w:sz w:val="24"/>
          <w:highlight w:val="none"/>
          <w:vertAlign w:val="subscript"/>
        </w:rPr>
        <w:t>p</w:t>
      </w:r>
      <w:r>
        <w:rPr>
          <w:rFonts w:hint="default" w:ascii="Times New Roman" w:hAnsi="Times New Roman" w:eastAsia="宋体" w:cs="Times New Roman"/>
          <w:snapToGrid w:val="0"/>
          <w:color w:val="auto"/>
          <w:spacing w:val="0"/>
          <w:w w:val="100"/>
          <w:kern w:val="0"/>
          <w:position w:val="0"/>
          <w:sz w:val="24"/>
          <w:highlight w:val="none"/>
        </w:rPr>
        <w:t>——距声源r米处的施工噪声预测值dB(A)；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L</w:t>
      </w:r>
      <w:r>
        <w:rPr>
          <w:rFonts w:hint="default" w:ascii="Times New Roman" w:hAnsi="Times New Roman" w:eastAsia="宋体" w:cs="Times New Roman"/>
          <w:snapToGrid w:val="0"/>
          <w:color w:val="auto"/>
          <w:spacing w:val="0"/>
          <w:w w:val="100"/>
          <w:kern w:val="0"/>
          <w:position w:val="0"/>
          <w:sz w:val="24"/>
          <w:highlight w:val="none"/>
          <w:vertAlign w:val="subscript"/>
        </w:rPr>
        <w:t>p0</w:t>
      </w:r>
      <w:r>
        <w:rPr>
          <w:rFonts w:hint="default" w:ascii="Times New Roman" w:hAnsi="Times New Roman" w:eastAsia="宋体" w:cs="Times New Roman"/>
          <w:snapToGrid w:val="0"/>
          <w:color w:val="auto"/>
          <w:spacing w:val="0"/>
          <w:w w:val="100"/>
          <w:kern w:val="0"/>
          <w:position w:val="0"/>
          <w:sz w:val="24"/>
          <w:highlight w:val="none"/>
        </w:rPr>
        <w:t>——距声源r米处的参考声级dB(A)；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r、r</w:t>
      </w:r>
      <w:r>
        <w:rPr>
          <w:rFonts w:hint="default" w:ascii="Times New Roman" w:hAnsi="Times New Roman" w:eastAsia="宋体" w:cs="Times New Roman"/>
          <w:snapToGrid w:val="0"/>
          <w:color w:val="auto"/>
          <w:spacing w:val="0"/>
          <w:w w:val="100"/>
          <w:kern w:val="0"/>
          <w:position w:val="0"/>
          <w:sz w:val="24"/>
          <w:highlight w:val="none"/>
          <w:vertAlign w:val="subscript"/>
        </w:rPr>
        <w:t>0</w:t>
      </w:r>
      <w:r>
        <w:rPr>
          <w:rFonts w:hint="default" w:ascii="Times New Roman" w:hAnsi="Times New Roman" w:eastAsia="宋体" w:cs="Times New Roman"/>
          <w:snapToGrid w:val="0"/>
          <w:color w:val="auto"/>
          <w:spacing w:val="0"/>
          <w:w w:val="100"/>
          <w:kern w:val="0"/>
          <w:position w:val="0"/>
          <w:sz w:val="24"/>
          <w:highlight w:val="none"/>
        </w:rPr>
        <w:t>——点距离声源(m)；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△Loct—各种因素引起的衰减量(包括声障、遮挡物、空气吸收、地面效应引起的衰减量)。</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根据表</w:t>
      </w:r>
      <w:r>
        <w:rPr>
          <w:rFonts w:hint="default" w:ascii="Times New Roman" w:hAnsi="Times New Roman" w:eastAsia="宋体"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rPr>
        <w:t>.1-2中各种施工机械噪声值，通过计算可以得出不同类型施工机械在不同距离处的噪声预测值，见表</w:t>
      </w:r>
      <w:r>
        <w:rPr>
          <w:rFonts w:hint="default" w:ascii="Times New Roman" w:hAnsi="Times New Roman" w:eastAsia="宋体" w:cs="Times New Roman"/>
          <w:color w:val="auto"/>
          <w:spacing w:val="0"/>
          <w:w w:val="100"/>
          <w:kern w:val="0"/>
          <w:position w:val="0"/>
          <w:sz w:val="24"/>
          <w:szCs w:val="24"/>
          <w:highlight w:val="none"/>
          <w:lang w:val="en-US" w:eastAsia="zh-CN"/>
        </w:rPr>
        <w:t>4.1-3</w:t>
      </w:r>
      <w:r>
        <w:rPr>
          <w:rFonts w:hint="default" w:ascii="Times New Roman" w:hAnsi="Times New Roman" w:eastAsia="宋体" w:cs="Times New Roman"/>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表4.1-3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施工机械噪声影响范围预测结果   单位：dB(A)</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2421"/>
        <w:gridCol w:w="2000"/>
        <w:gridCol w:w="1710"/>
        <w:gridCol w:w="1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noWrap w:val="0"/>
            <w:vAlign w:val="center"/>
          </w:tcPr>
          <w:p>
            <w:pPr>
              <w:adjustRightInd w:val="0"/>
              <w:snapToGrid w:val="0"/>
              <w:spacing w:line="40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施工阶段</w:t>
            </w:r>
          </w:p>
        </w:tc>
        <w:tc>
          <w:tcPr>
            <w:tcW w:w="2441" w:type="dxa"/>
            <w:noWrap w:val="0"/>
            <w:vAlign w:val="center"/>
          </w:tcPr>
          <w:p>
            <w:pPr>
              <w:adjustRightInd w:val="0"/>
              <w:snapToGrid w:val="0"/>
              <w:spacing w:line="40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主要噪声源</w:t>
            </w:r>
          </w:p>
        </w:tc>
        <w:tc>
          <w:tcPr>
            <w:tcW w:w="2016" w:type="dxa"/>
            <w:noWrap w:val="0"/>
            <w:vAlign w:val="center"/>
          </w:tcPr>
          <w:p>
            <w:pPr>
              <w:adjustRightInd w:val="0"/>
              <w:snapToGrid w:val="0"/>
              <w:spacing w:line="32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执行标准Leq[dB(A)]昼/夜</w:t>
            </w:r>
          </w:p>
        </w:tc>
        <w:tc>
          <w:tcPr>
            <w:tcW w:w="1723" w:type="dxa"/>
            <w:noWrap w:val="0"/>
            <w:vAlign w:val="center"/>
          </w:tcPr>
          <w:p>
            <w:pPr>
              <w:adjustRightInd w:val="0"/>
              <w:snapToGrid w:val="0"/>
              <w:spacing w:line="40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昼间影响距离m</w:t>
            </w:r>
          </w:p>
        </w:tc>
        <w:tc>
          <w:tcPr>
            <w:tcW w:w="1721" w:type="dxa"/>
            <w:noWrap w:val="0"/>
            <w:vAlign w:val="center"/>
          </w:tcPr>
          <w:p>
            <w:pPr>
              <w:adjustRightInd w:val="0"/>
              <w:snapToGrid w:val="0"/>
              <w:spacing w:line="400" w:lineRule="exact"/>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夜间影响距离m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土石方</w:t>
            </w:r>
          </w:p>
        </w:tc>
        <w:tc>
          <w:tcPr>
            <w:tcW w:w="24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推土机、挖掘机、装载机载重汽车、重型碾压机等</w:t>
            </w:r>
          </w:p>
        </w:tc>
        <w:tc>
          <w:tcPr>
            <w:tcW w:w="2016"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70/55</w:t>
            </w:r>
          </w:p>
        </w:tc>
        <w:tc>
          <w:tcPr>
            <w:tcW w:w="1723"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100</w:t>
            </w:r>
          </w:p>
        </w:tc>
        <w:tc>
          <w:tcPr>
            <w:tcW w:w="1721"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结构</w:t>
            </w:r>
          </w:p>
        </w:tc>
        <w:tc>
          <w:tcPr>
            <w:tcW w:w="2441"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混凝土搅拌机、振捣棒等</w:t>
            </w:r>
          </w:p>
        </w:tc>
        <w:tc>
          <w:tcPr>
            <w:tcW w:w="2016"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70/55</w:t>
            </w:r>
          </w:p>
        </w:tc>
        <w:tc>
          <w:tcPr>
            <w:tcW w:w="1723"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50</w:t>
            </w:r>
          </w:p>
        </w:tc>
        <w:tc>
          <w:tcPr>
            <w:tcW w:w="1721" w:type="dxa"/>
            <w:noWrap w:val="0"/>
            <w:vAlign w:val="center"/>
          </w:tcPr>
          <w:p>
            <w:pPr>
              <w:adjustRightInd w:val="0"/>
              <w:snapToGrid w:val="0"/>
              <w:spacing w:line="400" w:lineRule="exact"/>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350</w:t>
            </w:r>
          </w:p>
        </w:tc>
      </w:tr>
    </w:tbl>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34" w:name="_Toc23975"/>
      <w:r>
        <w:rPr>
          <w:rFonts w:hint="default" w:ascii="Times New Roman" w:hAnsi="Times New Roman" w:eastAsia="宋体" w:cs="Times New Roman"/>
          <w:color w:val="auto"/>
          <w:spacing w:val="0"/>
          <w:w w:val="100"/>
          <w:kern w:val="0"/>
          <w:position w:val="0"/>
          <w:sz w:val="24"/>
          <w:szCs w:val="24"/>
          <w:highlight w:val="none"/>
        </w:rPr>
        <w:t>从表中预测结果看，对照《建筑施工场界环境噪声排放标准》（GB 12523-2011），在声源与受声点之间无任何屏障时，项目施工机械影响情况为：</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35" w:name="_Toc29597_WPSOffice_Level3"/>
      <w:bookmarkStart w:id="736" w:name="_Toc22683_WPSOffice_Level3"/>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土石方施工阶段</w:t>
      </w:r>
      <w:bookmarkEnd w:id="735"/>
      <w:bookmarkEnd w:id="736"/>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施工机械噪声昼间的超标范围在距声源</w:t>
      </w:r>
      <w:r>
        <w:rPr>
          <w:rFonts w:hint="default" w:ascii="Times New Roman" w:hAnsi="Times New Roman" w:eastAsia="宋体" w:cs="Times New Roman"/>
          <w:color w:val="auto"/>
          <w:spacing w:val="0"/>
          <w:w w:val="100"/>
          <w:kern w:val="0"/>
          <w:position w:val="0"/>
          <w:sz w:val="24"/>
          <w:szCs w:val="24"/>
          <w:highlight w:val="none"/>
          <w:lang w:val="en-US" w:eastAsia="zh-CN"/>
        </w:rPr>
        <w:t>3</w:t>
      </w:r>
      <w:r>
        <w:rPr>
          <w:rFonts w:hint="default" w:ascii="Times New Roman" w:hAnsi="Times New Roman" w:eastAsia="宋体" w:cs="Times New Roman"/>
          <w:color w:val="auto"/>
          <w:spacing w:val="0"/>
          <w:w w:val="100"/>
          <w:kern w:val="0"/>
          <w:position w:val="0"/>
          <w:sz w:val="24"/>
          <w:szCs w:val="24"/>
          <w:highlight w:val="none"/>
        </w:rPr>
        <w:t>00m以内，夜间超标范围在500m以内。</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37" w:name="_Toc14441_WPSOffice_Level3"/>
      <w:bookmarkStart w:id="738" w:name="_Toc15984_WPSOffice_Level3"/>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结构施工阶段</w:t>
      </w:r>
      <w:bookmarkEnd w:id="737"/>
      <w:bookmarkEnd w:id="738"/>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施工机械噪声昼间的超标范围在距声源50m以内，夜间超标范围在350m以内。在上述范围之外，施工噪声能够达到《建筑施工场界环境噪声排放标准》（GB12523-2011）标准要求。</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本项目所在区域属</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类标准适用区，执行《声环境质量标准》（GB3096-2008）中的</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类标准，即昼间</w:t>
      </w:r>
      <w:r>
        <w:rPr>
          <w:rFonts w:hint="default" w:ascii="Times New Roman" w:hAnsi="Times New Roman" w:eastAsia="宋体" w:cs="Times New Roman"/>
          <w:color w:val="auto"/>
          <w:spacing w:val="0"/>
          <w:w w:val="100"/>
          <w:kern w:val="0"/>
          <w:position w:val="0"/>
          <w:sz w:val="24"/>
          <w:szCs w:val="24"/>
          <w:highlight w:val="none"/>
          <w:lang w:val="en-US" w:eastAsia="zh-CN"/>
        </w:rPr>
        <w:t>55</w:t>
      </w:r>
      <w:r>
        <w:rPr>
          <w:rFonts w:hint="default" w:ascii="Times New Roman" w:hAnsi="Times New Roman" w:eastAsia="宋体" w:cs="Times New Roman"/>
          <w:color w:val="auto"/>
          <w:spacing w:val="0"/>
          <w:w w:val="100"/>
          <w:kern w:val="0"/>
          <w:position w:val="0"/>
          <w:sz w:val="24"/>
          <w:szCs w:val="24"/>
          <w:highlight w:val="none"/>
        </w:rPr>
        <w:t>dB(A)、夜间</w:t>
      </w:r>
      <w:r>
        <w:rPr>
          <w:rFonts w:hint="default" w:ascii="Times New Roman" w:hAnsi="Times New Roman" w:eastAsia="宋体" w:cs="Times New Roman"/>
          <w:color w:val="auto"/>
          <w:spacing w:val="0"/>
          <w:w w:val="100"/>
          <w:kern w:val="0"/>
          <w:position w:val="0"/>
          <w:sz w:val="24"/>
          <w:szCs w:val="24"/>
          <w:highlight w:val="none"/>
          <w:lang w:val="en-US" w:eastAsia="zh-CN"/>
        </w:rPr>
        <w:t>45</w:t>
      </w:r>
      <w:r>
        <w:rPr>
          <w:rFonts w:hint="default" w:ascii="Times New Roman" w:hAnsi="Times New Roman" w:eastAsia="宋体" w:cs="Times New Roman"/>
          <w:color w:val="auto"/>
          <w:spacing w:val="0"/>
          <w:w w:val="100"/>
          <w:kern w:val="0"/>
          <w:position w:val="0"/>
          <w:sz w:val="24"/>
          <w:szCs w:val="24"/>
          <w:highlight w:val="none"/>
        </w:rPr>
        <w:t>dB(A)；由预测结果可知，在采用噪声强度较大的施工机械施工时，项目施工噪声对周边区域声环境有一定影响，但本项目评价范围内无声环境保护目标，因此不会造成噪声扰民现象发生。</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739" w:name="_Toc18469"/>
      <w:bookmarkStart w:id="740" w:name="_Toc9254"/>
      <w:bookmarkStart w:id="741" w:name="_Toc16302"/>
      <w:bookmarkStart w:id="742" w:name="_Toc32200"/>
      <w:bookmarkStart w:id="743" w:name="_Toc21189"/>
      <w:bookmarkStart w:id="744" w:name="_Toc28734"/>
      <w:bookmarkStart w:id="745" w:name="_Toc2670"/>
      <w:bookmarkStart w:id="746" w:name="_Toc11424"/>
      <w:r>
        <w:rPr>
          <w:rFonts w:hint="default" w:ascii="Times New Roman" w:hAnsi="Times New Roman" w:eastAsia="宋体" w:cs="Times New Roman"/>
          <w:snapToGrid w:val="0"/>
          <w:color w:val="auto"/>
          <w:spacing w:val="0"/>
          <w:w w:val="100"/>
          <w:kern w:val="0"/>
          <w:position w:val="0"/>
          <w:highlight w:val="none"/>
          <w:lang w:val="en-US" w:eastAsia="zh-CN"/>
        </w:rPr>
        <w:t>4.3</w:t>
      </w:r>
      <w:bookmarkStart w:id="747" w:name="_Toc23101"/>
      <w:r>
        <w:rPr>
          <w:rFonts w:hint="default" w:ascii="Times New Roman" w:hAnsi="Times New Roman" w:eastAsia="宋体" w:cs="Times New Roman"/>
          <w:snapToGrid w:val="0"/>
          <w:color w:val="auto"/>
          <w:spacing w:val="0"/>
          <w:w w:val="100"/>
          <w:kern w:val="0"/>
          <w:position w:val="0"/>
          <w:highlight w:val="none"/>
          <w:lang w:val="en-US" w:eastAsia="zh-CN"/>
        </w:rPr>
        <w:fldChar w:fldCharType="begin"/>
      </w:r>
      <w:r>
        <w:rPr>
          <w:rFonts w:hint="default" w:ascii="Times New Roman" w:hAnsi="Times New Roman" w:eastAsia="宋体" w:cs="Times New Roman"/>
          <w:snapToGrid w:val="0"/>
          <w:color w:val="auto"/>
          <w:spacing w:val="0"/>
          <w:w w:val="100"/>
          <w:kern w:val="0"/>
          <w:position w:val="0"/>
          <w:highlight w:val="none"/>
          <w:lang w:val="en-US" w:eastAsia="zh-CN"/>
        </w:rPr>
        <w:instrText xml:space="preserve"> HYPERLINK \l "_Toc237827476" </w:instrText>
      </w:r>
      <w:r>
        <w:rPr>
          <w:rFonts w:hint="default" w:ascii="Times New Roman" w:hAnsi="Times New Roman" w:eastAsia="宋体" w:cs="Times New Roman"/>
          <w:snapToGrid w:val="0"/>
          <w:color w:val="auto"/>
          <w:spacing w:val="0"/>
          <w:w w:val="100"/>
          <w:kern w:val="0"/>
          <w:position w:val="0"/>
          <w:highlight w:val="none"/>
          <w:lang w:val="en-US" w:eastAsia="zh-CN"/>
        </w:rPr>
        <w:fldChar w:fldCharType="separate"/>
      </w:r>
      <w:bookmarkStart w:id="748" w:name="_Toc240338505"/>
      <w:bookmarkStart w:id="749" w:name="_Toc240273962"/>
      <w:bookmarkStart w:id="750" w:name="_Toc240269908"/>
      <w:bookmarkStart w:id="751" w:name="_Toc324171508"/>
      <w:bookmarkStart w:id="752" w:name="_Toc240270069"/>
      <w:bookmarkStart w:id="753" w:name="_Toc240270230"/>
      <w:r>
        <w:rPr>
          <w:rFonts w:hint="default" w:ascii="Times New Roman" w:hAnsi="Times New Roman" w:eastAsia="宋体" w:cs="Times New Roman"/>
          <w:snapToGrid w:val="0"/>
          <w:color w:val="auto"/>
          <w:spacing w:val="0"/>
          <w:w w:val="100"/>
          <w:kern w:val="0"/>
          <w:position w:val="0"/>
          <w:highlight w:val="none"/>
          <w:lang w:val="en-US" w:eastAsia="zh-CN"/>
        </w:rPr>
        <w:t>施工期水环境影响分析及防控措施</w:t>
      </w:r>
      <w:bookmarkEnd w:id="748"/>
      <w:bookmarkEnd w:id="749"/>
      <w:bookmarkEnd w:id="750"/>
      <w:bookmarkEnd w:id="751"/>
      <w:bookmarkEnd w:id="752"/>
      <w:bookmarkEnd w:id="753"/>
      <w:r>
        <w:rPr>
          <w:rFonts w:hint="default" w:ascii="Times New Roman" w:hAnsi="Times New Roman" w:eastAsia="宋体" w:cs="Times New Roman"/>
          <w:snapToGrid w:val="0"/>
          <w:color w:val="auto"/>
          <w:spacing w:val="0"/>
          <w:w w:val="100"/>
          <w:kern w:val="0"/>
          <w:position w:val="0"/>
          <w:highlight w:val="none"/>
          <w:lang w:val="en-US" w:eastAsia="zh-CN"/>
        </w:rPr>
        <w:fldChar w:fldCharType="end"/>
      </w:r>
      <w:bookmarkEnd w:id="734"/>
      <w:bookmarkEnd w:id="739"/>
      <w:bookmarkEnd w:id="740"/>
      <w:bookmarkEnd w:id="741"/>
      <w:bookmarkEnd w:id="742"/>
      <w:bookmarkEnd w:id="743"/>
      <w:bookmarkEnd w:id="744"/>
      <w:bookmarkEnd w:id="745"/>
      <w:bookmarkEnd w:id="746"/>
      <w:bookmarkEnd w:id="747"/>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54" w:name="_Toc503861249"/>
      <w:bookmarkStart w:id="755" w:name="_Toc49915780"/>
      <w:bookmarkStart w:id="756" w:name="_Toc503860823"/>
      <w:bookmarkStart w:id="757" w:name="_Toc61368447"/>
      <w:bookmarkStart w:id="758" w:name="_Toc61255610"/>
      <w:bookmarkStart w:id="759" w:name="_Toc490447667"/>
      <w:bookmarkStart w:id="760" w:name="_Toc5382003"/>
      <w:bookmarkStart w:id="761" w:name="_Toc5257127"/>
      <w:bookmarkStart w:id="762" w:name="_Toc61426874"/>
      <w:bookmarkStart w:id="763" w:name="_Toc9221314"/>
      <w:bookmarkStart w:id="764" w:name="_Toc206933763"/>
      <w:bookmarkStart w:id="765" w:name="_Toc240270070"/>
      <w:bookmarkStart w:id="766" w:name="_Toc18399"/>
      <w:bookmarkStart w:id="767" w:name="_Toc22568"/>
      <w:bookmarkStart w:id="768" w:name="_Toc240270231"/>
      <w:bookmarkStart w:id="769" w:name="_Toc240269909"/>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施工期水环境影响</w:t>
      </w:r>
      <w:bookmarkEnd w:id="754"/>
      <w:bookmarkEnd w:id="755"/>
      <w:bookmarkEnd w:id="756"/>
      <w:bookmarkEnd w:id="757"/>
      <w:bookmarkEnd w:id="758"/>
      <w:bookmarkEnd w:id="759"/>
      <w:bookmarkEnd w:id="760"/>
      <w:bookmarkEnd w:id="761"/>
      <w:bookmarkEnd w:id="762"/>
      <w:bookmarkEnd w:id="763"/>
      <w:r>
        <w:rPr>
          <w:rFonts w:hint="default" w:ascii="Times New Roman" w:hAnsi="Times New Roman" w:eastAsia="宋体" w:cs="Times New Roman"/>
          <w:color w:val="auto"/>
          <w:spacing w:val="0"/>
          <w:w w:val="100"/>
          <w:kern w:val="0"/>
          <w:position w:val="0"/>
          <w:sz w:val="24"/>
          <w:szCs w:val="24"/>
          <w:highlight w:val="none"/>
        </w:rPr>
        <w:t>因素</w:t>
      </w:r>
      <w:bookmarkEnd w:id="764"/>
      <w:bookmarkEnd w:id="765"/>
      <w:bookmarkEnd w:id="766"/>
      <w:bookmarkEnd w:id="767"/>
      <w:bookmarkEnd w:id="768"/>
      <w:bookmarkEnd w:id="769"/>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项目施工期间，由于场地清洗、建筑安装等工程的实施，将会产生一定量的施工废水。此外，还有施工人员产生的生活污水。</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施工废水包括地基、道路开挖和管道铺设、场房建设过程中产生的泥浆水、机械设备运转的冷却水和施工现场的清洗废水。施工污水中含有较多的建筑砂石、水泥、弃土等悬浮物。</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生活污水包括施工人员的盥洗水。此外，暴雨地表径流冲刷浮土、建筑砂石、垃圾、弃土等，还将夹带大量泥沙，但该地区暴雨极少。</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770" w:name="_Toc240270071"/>
      <w:bookmarkStart w:id="771" w:name="_Toc5257128"/>
      <w:bookmarkStart w:id="772" w:name="_Toc206933764"/>
      <w:bookmarkStart w:id="773" w:name="_Toc240269910"/>
      <w:bookmarkStart w:id="774" w:name="_Toc240270232"/>
      <w:bookmarkStart w:id="775" w:name="_Toc5382004"/>
      <w:bookmarkStart w:id="776" w:name="_Toc490447668"/>
      <w:bookmarkStart w:id="777" w:name="_Toc9221315"/>
      <w:bookmarkStart w:id="778" w:name="_Toc61255611"/>
      <w:bookmarkStart w:id="779" w:name="_Toc503860824"/>
      <w:bookmarkStart w:id="780" w:name="_Toc61426875"/>
      <w:bookmarkStart w:id="781" w:name="_Toc49915781"/>
      <w:bookmarkStart w:id="782" w:name="_Toc503861250"/>
      <w:bookmarkStart w:id="783" w:name="_Toc5798"/>
      <w:bookmarkStart w:id="784" w:name="_Toc4429"/>
      <w:bookmarkStart w:id="785" w:name="_Toc61368448"/>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施工期污水防</w:t>
      </w:r>
      <w:r>
        <w:rPr>
          <w:rFonts w:hint="default" w:ascii="Times New Roman" w:hAnsi="Times New Roman" w:eastAsia="宋体" w:cs="Times New Roman"/>
          <w:color w:val="auto"/>
          <w:spacing w:val="0"/>
          <w:w w:val="100"/>
          <w:kern w:val="0"/>
          <w:position w:val="0"/>
          <w:sz w:val="24"/>
          <w:szCs w:val="24"/>
          <w:highlight w:val="none"/>
          <w:lang w:eastAsia="zh-CN"/>
        </w:rPr>
        <w:t>控</w:t>
      </w:r>
      <w:r>
        <w:rPr>
          <w:rFonts w:hint="default" w:ascii="Times New Roman" w:hAnsi="Times New Roman" w:eastAsia="宋体" w:cs="Times New Roman"/>
          <w:color w:val="auto"/>
          <w:spacing w:val="0"/>
          <w:w w:val="100"/>
          <w:kern w:val="0"/>
          <w:position w:val="0"/>
          <w:sz w:val="24"/>
          <w:szCs w:val="24"/>
          <w:highlight w:val="none"/>
        </w:rPr>
        <w:t>措施</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单位应严格执行相关环境管理规定，对地面水的排放进行组织设计，严禁乱排、乱流污染道路、环境等。施工时产生的泥浆水未经处理不得随意排放，不得污染现场及周围环境。在回填土堆放场、施工泥浆产生点以及商品混凝土及输送系统的冲洗废水应设置临时沉沙池，含泥沙雨水、泥浆水经沉沙池沉淀后回用到施工过程中去。</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本项目施工高峰期约有</w:t>
      </w:r>
      <w:r>
        <w:rPr>
          <w:rFonts w:hint="default" w:ascii="Times New Roman" w:hAnsi="Times New Roman" w:eastAsia="宋体" w:cs="Times New Roman"/>
          <w:color w:val="auto"/>
          <w:spacing w:val="0"/>
          <w:w w:val="100"/>
          <w:kern w:val="0"/>
          <w:position w:val="0"/>
          <w:sz w:val="24"/>
          <w:szCs w:val="22"/>
          <w:highlight w:val="none"/>
          <w:lang w:val="en-US" w:eastAsia="zh-CN"/>
        </w:rPr>
        <w:t>30</w:t>
      </w:r>
      <w:r>
        <w:rPr>
          <w:rFonts w:hint="default" w:ascii="Times New Roman" w:hAnsi="Times New Roman" w:eastAsia="宋体" w:cs="Times New Roman"/>
          <w:color w:val="auto"/>
          <w:spacing w:val="0"/>
          <w:w w:val="100"/>
          <w:kern w:val="0"/>
          <w:position w:val="0"/>
          <w:sz w:val="24"/>
          <w:szCs w:val="22"/>
          <w:highlight w:val="none"/>
        </w:rPr>
        <w:t>人，</w:t>
      </w:r>
      <w:r>
        <w:rPr>
          <w:rFonts w:hint="default" w:ascii="Times New Roman" w:hAnsi="Times New Roman" w:eastAsia="宋体" w:cs="Times New Roman"/>
          <w:color w:val="auto"/>
          <w:spacing w:val="0"/>
          <w:w w:val="100"/>
          <w:kern w:val="0"/>
          <w:position w:val="0"/>
          <w:sz w:val="24"/>
          <w:szCs w:val="22"/>
          <w:highlight w:val="none"/>
          <w:lang w:eastAsia="zh-CN"/>
        </w:rPr>
        <w:t>施工人员不在厂区食宿，</w:t>
      </w:r>
      <w:r>
        <w:rPr>
          <w:rFonts w:hint="default" w:ascii="Times New Roman" w:hAnsi="Times New Roman" w:eastAsia="宋体" w:cs="Times New Roman"/>
          <w:color w:val="auto"/>
          <w:spacing w:val="0"/>
          <w:w w:val="100"/>
          <w:kern w:val="0"/>
          <w:position w:val="0"/>
          <w:sz w:val="24"/>
          <w:szCs w:val="22"/>
          <w:highlight w:val="none"/>
        </w:rPr>
        <w:t>项目施工期6月（施工时间按照180d计），用水量按</w:t>
      </w:r>
      <w:r>
        <w:rPr>
          <w:rFonts w:hint="default" w:ascii="Times New Roman" w:hAnsi="Times New Roman" w:eastAsia="宋体" w:cs="Times New Roman"/>
          <w:color w:val="auto"/>
          <w:spacing w:val="0"/>
          <w:w w:val="100"/>
          <w:kern w:val="0"/>
          <w:position w:val="0"/>
          <w:sz w:val="24"/>
          <w:szCs w:val="22"/>
          <w:highlight w:val="none"/>
          <w:lang w:val="en-US" w:eastAsia="zh-CN"/>
        </w:rPr>
        <w:t>50</w:t>
      </w:r>
      <w:r>
        <w:rPr>
          <w:rFonts w:hint="default" w:ascii="Times New Roman" w:hAnsi="Times New Roman" w:eastAsia="宋体" w:cs="Times New Roman"/>
          <w:color w:val="auto"/>
          <w:spacing w:val="0"/>
          <w:w w:val="100"/>
          <w:kern w:val="0"/>
          <w:position w:val="0"/>
          <w:sz w:val="24"/>
          <w:szCs w:val="22"/>
          <w:highlight w:val="none"/>
        </w:rPr>
        <w:t>L/人.d计，则生活用水量为</w:t>
      </w:r>
      <w:r>
        <w:rPr>
          <w:rFonts w:hint="default" w:ascii="Times New Roman" w:hAnsi="Times New Roman" w:eastAsia="宋体" w:cs="Times New Roman"/>
          <w:color w:val="auto"/>
          <w:spacing w:val="0"/>
          <w:w w:val="100"/>
          <w:kern w:val="0"/>
          <w:position w:val="0"/>
          <w:sz w:val="24"/>
          <w:szCs w:val="22"/>
          <w:highlight w:val="none"/>
          <w:lang w:val="en-US" w:eastAsia="zh-CN"/>
        </w:rPr>
        <w:t>1</w:t>
      </w:r>
      <w:r>
        <w:rPr>
          <w:rFonts w:hint="default" w:ascii="Times New Roman" w:hAnsi="Times New Roman" w:eastAsia="宋体" w:cs="Times New Roman"/>
          <w:color w:val="auto"/>
          <w:spacing w:val="0"/>
          <w:w w:val="100"/>
          <w:kern w:val="0"/>
          <w:position w:val="0"/>
          <w:sz w:val="24"/>
          <w:szCs w:val="22"/>
          <w:highlight w:val="none"/>
        </w:rPr>
        <w:t>.5m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/d（</w:t>
      </w:r>
      <w:r>
        <w:rPr>
          <w:rFonts w:hint="default" w:ascii="Times New Roman" w:hAnsi="Times New Roman" w:eastAsia="宋体" w:cs="Times New Roman"/>
          <w:color w:val="auto"/>
          <w:spacing w:val="0"/>
          <w:w w:val="100"/>
          <w:kern w:val="0"/>
          <w:position w:val="0"/>
          <w:sz w:val="24"/>
          <w:szCs w:val="22"/>
          <w:highlight w:val="none"/>
          <w:lang w:val="en-US" w:eastAsia="zh-CN"/>
        </w:rPr>
        <w:t>270</w:t>
      </w:r>
      <w:r>
        <w:rPr>
          <w:rFonts w:hint="default" w:ascii="Times New Roman" w:hAnsi="Times New Roman" w:eastAsia="宋体" w:cs="Times New Roman"/>
          <w:color w:val="auto"/>
          <w:spacing w:val="0"/>
          <w:w w:val="100"/>
          <w:kern w:val="0"/>
          <w:position w:val="0"/>
          <w:sz w:val="24"/>
          <w:szCs w:val="22"/>
          <w:highlight w:val="none"/>
        </w:rPr>
        <w:t>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），项目施工场地设旱厕，定期清掏，用于周边农田施肥</w:t>
      </w:r>
      <w:r>
        <w:rPr>
          <w:rFonts w:hint="default" w:ascii="Times New Roman" w:hAnsi="Times New Roman" w:eastAsia="宋体" w:cs="Times New Roman"/>
          <w:color w:val="auto"/>
          <w:spacing w:val="0"/>
          <w:w w:val="100"/>
          <w:kern w:val="0"/>
          <w:position w:val="0"/>
          <w:sz w:val="24"/>
          <w:szCs w:val="22"/>
          <w:highlight w:val="none"/>
          <w:lang w:val="en-US" w:eastAsia="zh-CN"/>
        </w:rPr>
        <w:t>，</w:t>
      </w:r>
      <w:r>
        <w:rPr>
          <w:rFonts w:hint="default" w:ascii="Times New Roman" w:hAnsi="Times New Roman" w:eastAsia="宋体" w:cs="Times New Roman"/>
          <w:color w:val="auto"/>
          <w:spacing w:val="0"/>
          <w:w w:val="100"/>
          <w:kern w:val="0"/>
          <w:position w:val="0"/>
          <w:sz w:val="24"/>
          <w:szCs w:val="22"/>
          <w:highlight w:val="none"/>
        </w:rPr>
        <w:t>施工人员产生的废水为盥洗水，洒水抑尘；本项目使用商品混凝土，无建筑施工废水产生。施工期产生的废水主要为进出车辆除泥冲洗废水，主要污染物为SS、石油类。</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此外，施工期间要尽量求得土石方工程的平衡，减少弃土，做好各项排水、截水、防止水土流失的设计。在施工中，应合理安排施工计划、施工程序，协调好各个施工步骤，雨季中尽量减少地面坡度，减少开挖面，并争取土料随挖、随运，减少堆土裸土的暴露时间，以避免受降雨的直接冲刷，如果遇到暴雨期，还应采取应急措施，尽量用覆盖物覆盖新开挖的陡坡，防止冲刷。</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本项目拟采取以下防护措施以降低对地下水的影响。</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①</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科学选择施工方案，优化配置各种资源，合理安排施工作业面，强化质量安全意识，配备先进适用的技术装备、优质、快速、安全地完成基础工程是施工任务；</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②</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经修建的沉</w:t>
      </w:r>
      <w:r>
        <w:rPr>
          <w:rFonts w:hint="default" w:ascii="Times New Roman" w:hAnsi="Times New Roman" w:eastAsia="宋体" w:cs="Times New Roman"/>
          <w:color w:val="auto"/>
          <w:spacing w:val="0"/>
          <w:w w:val="100"/>
          <w:kern w:val="0"/>
          <w:position w:val="0"/>
          <w:sz w:val="24"/>
          <w:szCs w:val="24"/>
          <w:highlight w:val="none"/>
          <w:lang w:eastAsia="zh-CN"/>
        </w:rPr>
        <w:t>淀</w:t>
      </w:r>
      <w:r>
        <w:rPr>
          <w:rFonts w:hint="default" w:ascii="Times New Roman" w:hAnsi="Times New Roman" w:eastAsia="宋体" w:cs="Times New Roman"/>
          <w:color w:val="auto"/>
          <w:spacing w:val="0"/>
          <w:w w:val="100"/>
          <w:kern w:val="0"/>
          <w:position w:val="0"/>
          <w:sz w:val="24"/>
          <w:szCs w:val="24"/>
          <w:highlight w:val="none"/>
        </w:rPr>
        <w:t>池处理后用于场地洒水抑尘，严禁渗漏和回灌。</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采取以上方案后，施工期对地下水的影响较小。</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786" w:name="_Toc9825"/>
      <w:bookmarkStart w:id="787" w:name="_Toc21873"/>
      <w:bookmarkStart w:id="788" w:name="_Toc29904"/>
      <w:bookmarkStart w:id="789" w:name="_Toc17166"/>
      <w:bookmarkStart w:id="790" w:name="_Toc10444"/>
      <w:bookmarkStart w:id="791" w:name="_Toc2394"/>
      <w:bookmarkStart w:id="792" w:name="_Toc21121"/>
      <w:bookmarkStart w:id="793" w:name="_Toc17961"/>
      <w:bookmarkStart w:id="794" w:name="_Toc8978"/>
      <w:bookmarkStart w:id="795" w:name="_Toc12423"/>
      <w:r>
        <w:rPr>
          <w:rFonts w:hint="default" w:ascii="Times New Roman" w:hAnsi="Times New Roman" w:eastAsia="宋体" w:cs="Times New Roman"/>
          <w:snapToGrid w:val="0"/>
          <w:color w:val="auto"/>
          <w:spacing w:val="0"/>
          <w:w w:val="100"/>
          <w:kern w:val="0"/>
          <w:position w:val="0"/>
          <w:highlight w:val="none"/>
          <w:lang w:val="en-US" w:eastAsia="zh-CN"/>
        </w:rPr>
        <w:fldChar w:fldCharType="begin"/>
      </w:r>
      <w:r>
        <w:rPr>
          <w:rFonts w:hint="default" w:ascii="Times New Roman" w:hAnsi="Times New Roman" w:eastAsia="宋体" w:cs="Times New Roman"/>
          <w:snapToGrid w:val="0"/>
          <w:color w:val="auto"/>
          <w:spacing w:val="0"/>
          <w:w w:val="100"/>
          <w:kern w:val="0"/>
          <w:position w:val="0"/>
          <w:highlight w:val="none"/>
          <w:lang w:val="en-US" w:eastAsia="zh-CN"/>
        </w:rPr>
        <w:instrText xml:space="preserve"> HYPERLINK \l "_Toc237827477" </w:instrText>
      </w:r>
      <w:r>
        <w:rPr>
          <w:rFonts w:hint="default" w:ascii="Times New Roman" w:hAnsi="Times New Roman" w:eastAsia="宋体" w:cs="Times New Roman"/>
          <w:snapToGrid w:val="0"/>
          <w:color w:val="auto"/>
          <w:spacing w:val="0"/>
          <w:w w:val="100"/>
          <w:kern w:val="0"/>
          <w:position w:val="0"/>
          <w:highlight w:val="none"/>
          <w:lang w:val="en-US" w:eastAsia="zh-CN"/>
        </w:rPr>
        <w:fldChar w:fldCharType="separate"/>
      </w:r>
      <w:bookmarkStart w:id="796" w:name="_Toc240270233"/>
      <w:bookmarkStart w:id="797" w:name="_Toc240269911"/>
      <w:bookmarkStart w:id="798" w:name="_Toc240273963"/>
      <w:bookmarkStart w:id="799" w:name="_Toc240338506"/>
      <w:bookmarkStart w:id="800" w:name="_Toc240270072"/>
      <w:bookmarkStart w:id="801" w:name="_Toc324171509"/>
      <w:r>
        <w:rPr>
          <w:rFonts w:hint="default" w:ascii="Times New Roman" w:hAnsi="Times New Roman" w:eastAsia="宋体" w:cs="Times New Roman"/>
          <w:snapToGrid w:val="0"/>
          <w:color w:val="auto"/>
          <w:spacing w:val="0"/>
          <w:w w:val="100"/>
          <w:kern w:val="0"/>
          <w:position w:val="0"/>
          <w:highlight w:val="none"/>
          <w:lang w:val="en-US" w:eastAsia="zh-CN"/>
        </w:rPr>
        <w:t>4.4施工期固体废物影响分析及防控措施</w:t>
      </w:r>
      <w:bookmarkEnd w:id="796"/>
      <w:bookmarkEnd w:id="797"/>
      <w:bookmarkEnd w:id="798"/>
      <w:bookmarkEnd w:id="799"/>
      <w:bookmarkEnd w:id="800"/>
      <w:bookmarkEnd w:id="801"/>
      <w:r>
        <w:rPr>
          <w:rFonts w:hint="default" w:ascii="Times New Roman" w:hAnsi="Times New Roman" w:eastAsia="宋体" w:cs="Times New Roman"/>
          <w:snapToGrid w:val="0"/>
          <w:color w:val="auto"/>
          <w:spacing w:val="0"/>
          <w:w w:val="100"/>
          <w:kern w:val="0"/>
          <w:position w:val="0"/>
          <w:highlight w:val="none"/>
          <w:lang w:val="en-US" w:eastAsia="zh-CN"/>
        </w:rPr>
        <w:fldChar w:fldCharType="end"/>
      </w:r>
      <w:bookmarkEnd w:id="786"/>
      <w:bookmarkEnd w:id="787"/>
      <w:bookmarkEnd w:id="788"/>
      <w:bookmarkEnd w:id="789"/>
      <w:bookmarkEnd w:id="790"/>
      <w:bookmarkEnd w:id="791"/>
      <w:bookmarkEnd w:id="792"/>
      <w:bookmarkEnd w:id="793"/>
      <w:bookmarkEnd w:id="794"/>
      <w:bookmarkEnd w:id="79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施工期固体废物影响因素</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期间施工场地平整会产生渣土、施工剩余废物料等。如不妥善处理这些建筑垃圾，会在一定程度上对周围环境造成影响。在运输过程中，车辆如不注意清洁运输，沿途撒漏泥土，会给沿线镇村的环境卫生带来危害。</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施工期人员每天平均产生0.5kg/d生活垃圾，</w:t>
      </w:r>
      <w:r>
        <w:rPr>
          <w:rFonts w:hint="default" w:ascii="Times New Roman" w:hAnsi="Times New Roman" w:eastAsia="宋体" w:cs="Times New Roman"/>
          <w:color w:val="auto"/>
          <w:spacing w:val="0"/>
          <w:w w:val="100"/>
          <w:kern w:val="0"/>
          <w:position w:val="0"/>
          <w:sz w:val="24"/>
          <w:szCs w:val="22"/>
          <w:highlight w:val="none"/>
        </w:rPr>
        <w:t>施工高峰期约有</w:t>
      </w:r>
      <w:r>
        <w:rPr>
          <w:rFonts w:hint="default" w:ascii="Times New Roman" w:hAnsi="Times New Roman" w:eastAsia="宋体" w:cs="Times New Roman"/>
          <w:color w:val="auto"/>
          <w:spacing w:val="0"/>
          <w:w w:val="100"/>
          <w:kern w:val="0"/>
          <w:position w:val="0"/>
          <w:sz w:val="24"/>
          <w:szCs w:val="22"/>
          <w:highlight w:val="none"/>
          <w:lang w:val="en-US" w:eastAsia="zh-CN"/>
        </w:rPr>
        <w:t>30</w:t>
      </w:r>
      <w:r>
        <w:rPr>
          <w:rFonts w:hint="default" w:ascii="Times New Roman" w:hAnsi="Times New Roman" w:eastAsia="宋体" w:cs="Times New Roman"/>
          <w:color w:val="auto"/>
          <w:spacing w:val="0"/>
          <w:w w:val="100"/>
          <w:kern w:val="0"/>
          <w:position w:val="0"/>
          <w:sz w:val="24"/>
          <w:szCs w:val="22"/>
          <w:highlight w:val="none"/>
        </w:rPr>
        <w:t>人</w:t>
      </w:r>
      <w:r>
        <w:rPr>
          <w:rFonts w:hint="default" w:ascii="Times New Roman" w:hAnsi="Times New Roman" w:eastAsia="宋体" w:cs="Times New Roman"/>
          <w:color w:val="auto"/>
          <w:spacing w:val="0"/>
          <w:w w:val="100"/>
          <w:kern w:val="0"/>
          <w:position w:val="0"/>
          <w:sz w:val="24"/>
          <w:szCs w:val="24"/>
          <w:highlight w:val="none"/>
        </w:rPr>
        <w:t>，生活垃圾产生量约</w:t>
      </w:r>
      <w:r>
        <w:rPr>
          <w:rFonts w:hint="default" w:ascii="Times New Roman" w:hAnsi="Times New Roman" w:eastAsia="宋体" w:cs="Times New Roman"/>
          <w:color w:val="auto"/>
          <w:spacing w:val="0"/>
          <w:w w:val="100"/>
          <w:kern w:val="0"/>
          <w:position w:val="0"/>
          <w:sz w:val="24"/>
          <w:szCs w:val="24"/>
          <w:highlight w:val="none"/>
          <w:lang w:val="en-US" w:eastAsia="zh-CN"/>
        </w:rPr>
        <w:t>15</w:t>
      </w:r>
      <w:r>
        <w:rPr>
          <w:rFonts w:hint="default" w:ascii="Times New Roman" w:hAnsi="Times New Roman" w:eastAsia="宋体" w:cs="Times New Roman"/>
          <w:color w:val="auto"/>
          <w:spacing w:val="0"/>
          <w:w w:val="100"/>
          <w:kern w:val="0"/>
          <w:position w:val="0"/>
          <w:sz w:val="24"/>
          <w:szCs w:val="24"/>
          <w:highlight w:val="none"/>
        </w:rPr>
        <w:t>kg/d，这些生活垃圾经分类，统一收集后，定期由施工单位交由园区环卫部门处置，不会对环境产生明显影响。</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建筑垃圾主要包括施工过程地基处理和建材损耗、内部装修阶段产生的少量砂土石块、水泥、废金属、钢筋、铁丝、废电线、废光缆等。建筑垃圾应当外运至当地政府指定地点堆放。</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施工期固体废物影响防治措施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为减少弃土在堆放和运输过程中对环境的影响，应当采取如下措施：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①车辆运输散体物料和废弃物时，必须密闭、包扎、覆盖，不得沿途漏撒。</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②施工期间，施工人员产生的生活垃圾集中</w:t>
      </w:r>
      <w:r>
        <w:rPr>
          <w:rFonts w:hint="default" w:ascii="Times New Roman" w:hAnsi="Times New Roman" w:eastAsia="宋体" w:cs="Times New Roman"/>
          <w:color w:val="auto"/>
          <w:spacing w:val="0"/>
          <w:w w:val="100"/>
          <w:kern w:val="0"/>
          <w:position w:val="0"/>
          <w:sz w:val="24"/>
          <w:szCs w:val="24"/>
          <w:highlight w:val="none"/>
          <w:lang w:eastAsia="zh-CN"/>
        </w:rPr>
        <w:t>收集</w:t>
      </w:r>
      <w:r>
        <w:rPr>
          <w:rFonts w:hint="default" w:ascii="Times New Roman" w:hAnsi="Times New Roman" w:eastAsia="宋体" w:cs="Times New Roman"/>
          <w:color w:val="auto"/>
          <w:spacing w:val="0"/>
          <w:w w:val="100"/>
          <w:kern w:val="0"/>
          <w:position w:val="0"/>
          <w:sz w:val="24"/>
          <w:szCs w:val="24"/>
          <w:highlight w:val="none"/>
        </w:rPr>
        <w:t>后，运至就近垃圾填埋场安全填埋。</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③施工期产生的一些金属、木材及建筑材料的碎屑和废弃的混凝土等应指派专人专车收集处理，不得随意丢放。</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4"/>
          <w:highlight w:val="none"/>
        </w:rPr>
        <w:t>④施工结束后及时清理施工现场，拆除临时工棚等建筑物。</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02" w:name="_Toc32105"/>
      <w:bookmarkStart w:id="803" w:name="_Toc15921"/>
      <w:bookmarkStart w:id="804" w:name="_Toc324171510"/>
      <w:bookmarkStart w:id="805" w:name="_Toc22205"/>
      <w:bookmarkStart w:id="806" w:name="_Toc305148666"/>
      <w:bookmarkStart w:id="807" w:name="_Toc626"/>
      <w:bookmarkStart w:id="808" w:name="_Toc1995"/>
      <w:bookmarkStart w:id="809" w:name="_Toc31652"/>
      <w:bookmarkStart w:id="810" w:name="_Toc4999"/>
      <w:bookmarkStart w:id="811" w:name="_Toc7671"/>
      <w:bookmarkStart w:id="812" w:name="_Toc20826"/>
      <w:bookmarkStart w:id="813" w:name="_Toc19913"/>
      <w:r>
        <w:rPr>
          <w:rFonts w:hint="default" w:ascii="Times New Roman" w:hAnsi="Times New Roman" w:eastAsia="宋体" w:cs="Times New Roman"/>
          <w:snapToGrid w:val="0"/>
          <w:color w:val="auto"/>
          <w:spacing w:val="0"/>
          <w:w w:val="100"/>
          <w:kern w:val="0"/>
          <w:position w:val="0"/>
          <w:highlight w:val="none"/>
          <w:lang w:val="en-US" w:eastAsia="zh-CN"/>
        </w:rPr>
        <w:t>4.5施工期生态环境影响分析</w:t>
      </w:r>
      <w:bookmarkEnd w:id="802"/>
      <w:bookmarkEnd w:id="803"/>
      <w:bookmarkEnd w:id="804"/>
      <w:bookmarkEnd w:id="805"/>
      <w:bookmarkEnd w:id="806"/>
      <w:bookmarkEnd w:id="807"/>
      <w:bookmarkEnd w:id="808"/>
      <w:bookmarkEnd w:id="809"/>
      <w:bookmarkEnd w:id="810"/>
      <w:bookmarkEnd w:id="811"/>
      <w:bookmarkEnd w:id="812"/>
      <w:bookmarkEnd w:id="813"/>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bookmarkStart w:id="814" w:name="_Toc16068"/>
      <w:bookmarkStart w:id="815" w:name="_Toc20179"/>
      <w:bookmarkStart w:id="816" w:name="_Toc12736"/>
      <w:bookmarkStart w:id="817" w:name="_Toc20235"/>
      <w:bookmarkStart w:id="818" w:name="_Toc29322"/>
      <w:bookmarkStart w:id="819" w:name="_Toc30366"/>
      <w:r>
        <w:rPr>
          <w:rFonts w:hint="default" w:ascii="Times New Roman" w:hAnsi="Times New Roman" w:eastAsia="宋体" w:cs="Times New Roman"/>
          <w:color w:val="auto"/>
          <w:spacing w:val="0"/>
          <w:w w:val="100"/>
          <w:kern w:val="0"/>
          <w:position w:val="0"/>
          <w:sz w:val="24"/>
          <w:szCs w:val="24"/>
          <w:highlight w:val="none"/>
        </w:rPr>
        <w:t>在项目施工期内，项目占地范围内的部分地表将被清除，造成地表裸露，会对项目区域内的植被和动物造成一定的影响。</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820" w:name="_Toc30702"/>
      <w:bookmarkStart w:id="821" w:name="_Toc1312"/>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施工期对土地功能变化</w:t>
      </w:r>
      <w:bookmarkEnd w:id="820"/>
      <w:bookmarkEnd w:id="821"/>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highlight w:val="none"/>
          <w:lang w:val="en-US" w:eastAsia="zh-CN"/>
        </w:rPr>
        <w:t>拟建厂区四周现状为农田</w:t>
      </w:r>
      <w:r>
        <w:rPr>
          <w:rFonts w:hint="default" w:ascii="Times New Roman" w:hAnsi="Times New Roman" w:eastAsia="宋体" w:cs="Times New Roman"/>
          <w:color w:val="auto"/>
          <w:spacing w:val="0"/>
          <w:w w:val="100"/>
          <w:kern w:val="0"/>
          <w:position w:val="0"/>
          <w:sz w:val="24"/>
          <w:szCs w:val="24"/>
          <w:highlight w:val="none"/>
        </w:rPr>
        <w:t>，项目建成后将完全改变土地的原有利用状况，将未利用</w:t>
      </w:r>
      <w:r>
        <w:rPr>
          <w:rFonts w:hint="default" w:ascii="Times New Roman" w:hAnsi="Times New Roman" w:eastAsia="宋体" w:cs="Times New Roman"/>
          <w:color w:val="auto"/>
          <w:spacing w:val="0"/>
          <w:w w:val="100"/>
          <w:kern w:val="0"/>
          <w:position w:val="0"/>
          <w:sz w:val="24"/>
          <w:szCs w:val="24"/>
          <w:highlight w:val="none"/>
          <w:lang w:eastAsia="zh-CN"/>
        </w:rPr>
        <w:t>地</w:t>
      </w:r>
      <w:r>
        <w:rPr>
          <w:rFonts w:hint="default" w:ascii="Times New Roman" w:hAnsi="Times New Roman" w:eastAsia="宋体" w:cs="Times New Roman"/>
          <w:color w:val="auto"/>
          <w:spacing w:val="0"/>
          <w:w w:val="100"/>
          <w:kern w:val="0"/>
          <w:position w:val="0"/>
          <w:sz w:val="24"/>
          <w:szCs w:val="24"/>
          <w:highlight w:val="none"/>
        </w:rPr>
        <w:t>变更为国有养殖用地，并种植大面积绿化植被。</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822" w:name="_Toc28764"/>
      <w:bookmarkStart w:id="823" w:name="_Toc8319"/>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施工期对植被的影响分析</w:t>
      </w:r>
      <w:bookmarkEnd w:id="822"/>
      <w:bookmarkEnd w:id="823"/>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经编制单位现场调查，项目所在区域分布着猫头刺、油蒿等植被，项目施工期间由于各种施工机械、运输车辆进入施工现场，运输车辆产生的扬尘和排放的尾气将对该区域环境产生一定的影响。此外，项目区在建设期间，由于土地使用功能发生变化，施工过程中，所有植被都被去除，表面植被遭到短期破坏。随着工程建设的完成，除被永久性占用外，部分地段植被通过绿化措施得到恢复。</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824" w:name="_Toc29049"/>
      <w:bookmarkStart w:id="825" w:name="_Toc19168"/>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施工期对动物的影响分析</w:t>
      </w:r>
      <w:bookmarkEnd w:id="824"/>
      <w:bookmarkEnd w:id="82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现场走访了解，项目区域范围内野生动物品种、数量均很少，主要是一些常见种类，兽类有野兔和鼠类，爬行类主要有沙蜥；鸟类主要有麻雀、喜鹊等常见种，没有国家级保护动物及珍稀濒危保护动物。项目施工影响范围较小，项目施工期不会对区域内的野生动物产生较大影响。</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826" w:name="_Toc12602"/>
      <w:bookmarkStart w:id="827" w:name="_Toc17564"/>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施工期生态保护措施</w:t>
      </w:r>
      <w:bookmarkEnd w:id="826"/>
      <w:bookmarkEnd w:id="827"/>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为减少工程施工期的生态环境影响，应加强下列生态保护措施，具体如下：</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①加强施工人员的环保措施的宣传教育及相关培训，让他们充分认识到环保工作的重要性，使环保措施落到实处；</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②施工机械和施工人员应严格控制在施工作业范围内，施工机械及其他建筑材料不得乱停乱放，防止破坏植被；</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③爱护生态环境，禁止破坏施工范围以外的植被；</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④尽可能缩短疏松地面、坡面的裸露时间，合理安排施工时间，定期洒水抑尘，减少施工扬尘污染；</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⑤施工单位在施工期应加强对项目区域现有植被的保护，以免对现有植被造成破坏；</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sectPr>
          <w:headerReference r:id="rId14"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szCs w:val="24"/>
          <w:highlight w:val="none"/>
        </w:rPr>
        <w:t>⑥加强施工期的监理工作，确保施工过程中产生废水、废气、废渣、噪声等环保治理措施落实到位。</w:t>
      </w: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828" w:name="_Toc5906"/>
      <w:bookmarkStart w:id="829" w:name="_Toc15767"/>
      <w:bookmarkStart w:id="830" w:name="_Toc4057"/>
      <w:bookmarkStart w:id="831" w:name="_Toc32128"/>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5运营期环境影响预测与评价</w:t>
      </w:r>
      <w:bookmarkEnd w:id="814"/>
      <w:bookmarkEnd w:id="815"/>
      <w:bookmarkEnd w:id="816"/>
      <w:bookmarkEnd w:id="817"/>
      <w:bookmarkEnd w:id="818"/>
      <w:bookmarkEnd w:id="819"/>
      <w:bookmarkEnd w:id="828"/>
      <w:bookmarkEnd w:id="829"/>
      <w:bookmarkEnd w:id="830"/>
      <w:bookmarkEnd w:id="831"/>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32" w:name="_Toc31096"/>
      <w:bookmarkStart w:id="833" w:name="_Toc32679"/>
      <w:bookmarkStart w:id="834" w:name="_Toc1186"/>
      <w:bookmarkStart w:id="835" w:name="_Toc30973"/>
      <w:bookmarkStart w:id="836" w:name="_Toc23225"/>
      <w:bookmarkStart w:id="837" w:name="_Toc13460"/>
      <w:bookmarkStart w:id="838" w:name="_Toc17471"/>
      <w:bookmarkStart w:id="839" w:name="_Toc30096"/>
      <w:r>
        <w:rPr>
          <w:rFonts w:hint="default" w:ascii="Times New Roman" w:hAnsi="Times New Roman" w:eastAsia="宋体" w:cs="Times New Roman"/>
          <w:snapToGrid w:val="0"/>
          <w:color w:val="auto"/>
          <w:spacing w:val="0"/>
          <w:w w:val="100"/>
          <w:kern w:val="0"/>
          <w:position w:val="0"/>
          <w:highlight w:val="none"/>
          <w:lang w:val="en-US" w:eastAsia="zh-CN"/>
        </w:rPr>
        <w:t>5.1环境空气影响</w:t>
      </w:r>
      <w:bookmarkEnd w:id="832"/>
      <w:bookmarkEnd w:id="833"/>
      <w:r>
        <w:rPr>
          <w:rFonts w:hint="default" w:ascii="Times New Roman" w:hAnsi="Times New Roman" w:eastAsia="宋体" w:cs="Times New Roman"/>
          <w:snapToGrid w:val="0"/>
          <w:color w:val="auto"/>
          <w:spacing w:val="0"/>
          <w:w w:val="100"/>
          <w:kern w:val="0"/>
          <w:position w:val="0"/>
          <w:highlight w:val="none"/>
          <w:lang w:val="en-US" w:eastAsia="zh-CN"/>
        </w:rPr>
        <w:t>分析</w:t>
      </w:r>
      <w:bookmarkEnd w:id="834"/>
      <w:bookmarkEnd w:id="835"/>
      <w:bookmarkEnd w:id="836"/>
      <w:bookmarkEnd w:id="837"/>
      <w:bookmarkEnd w:id="838"/>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40" w:name="_Toc24754"/>
      <w:bookmarkStart w:id="841" w:name="_Toc5713"/>
      <w:bookmarkStart w:id="842" w:name="_Toc31148"/>
      <w:bookmarkStart w:id="843" w:name="_Toc31949"/>
      <w:r>
        <w:rPr>
          <w:rFonts w:hint="default" w:ascii="Times New Roman" w:hAnsi="Times New Roman" w:eastAsia="宋体" w:cs="Times New Roman"/>
          <w:snapToGrid w:val="0"/>
          <w:color w:val="auto"/>
          <w:spacing w:val="0"/>
          <w:w w:val="100"/>
          <w:kern w:val="0"/>
          <w:position w:val="0"/>
          <w:sz w:val="28"/>
          <w:szCs w:val="28"/>
          <w:highlight w:val="none"/>
          <w:lang w:val="en-US" w:eastAsia="zh-CN"/>
        </w:rPr>
        <w:t>5.1.1</w:t>
      </w:r>
      <w:bookmarkEnd w:id="839"/>
      <w:bookmarkEnd w:id="840"/>
      <w:bookmarkStart w:id="844" w:name="_Toc21656"/>
      <w:r>
        <w:rPr>
          <w:rFonts w:hint="default" w:ascii="Times New Roman" w:hAnsi="Times New Roman" w:eastAsia="宋体" w:cs="Times New Roman"/>
          <w:snapToGrid w:val="0"/>
          <w:color w:val="auto"/>
          <w:spacing w:val="0"/>
          <w:w w:val="100"/>
          <w:kern w:val="0"/>
          <w:position w:val="0"/>
          <w:sz w:val="28"/>
          <w:szCs w:val="28"/>
          <w:highlight w:val="none"/>
          <w:lang w:val="en-US" w:eastAsia="zh-CN"/>
        </w:rPr>
        <w:t>污染源调查</w:t>
      </w:r>
      <w:bookmarkEnd w:id="841"/>
      <w:bookmarkEnd w:id="842"/>
      <w:bookmarkEnd w:id="843"/>
    </w:p>
    <w:p>
      <w:pPr>
        <w:widowControl w:val="0"/>
        <w:adjustRightInd w:val="0"/>
        <w:snapToGrid w:val="0"/>
        <w:spacing w:line="348"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根据《环境影响评价技术导则 大气环境》（HJ2.2-2018）要求，结合本项目评价工作等级（二级）及污染源排放情况，本次污染源调查清单包括本次新增污染源和项目拟被替代削减污染源。</w:t>
      </w:r>
    </w:p>
    <w:p>
      <w:pPr>
        <w:widowControl w:val="0"/>
        <w:adjustRightInd w:val="0"/>
        <w:snapToGrid w:val="0"/>
        <w:spacing w:line="348"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本项目新增污染源</w:t>
      </w:r>
    </w:p>
    <w:p>
      <w:pPr>
        <w:pStyle w:val="35"/>
        <w:snapToGrid w:val="0"/>
        <w:spacing w:line="348" w:lineRule="auto"/>
        <w:ind w:firstLine="480"/>
        <w:jc w:val="both"/>
        <w:rPr>
          <w:rFonts w:hint="default" w:ascii="Times New Roman" w:hAnsi="Times New Roman" w:eastAsia="宋体" w:cs="Times New Roman"/>
          <w:snapToGrid w:val="0"/>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本项目新增污染源参数具体见表5.1-1。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表5.1-1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面源污染物排放源强及参数一览表</w:t>
      </w:r>
    </w:p>
    <w:tbl>
      <w:tblPr>
        <w:tblStyle w:val="25"/>
        <w:tblW w:w="8974"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95"/>
        <w:gridCol w:w="1447"/>
        <w:gridCol w:w="1305"/>
        <w:gridCol w:w="765"/>
        <w:gridCol w:w="900"/>
        <w:gridCol w:w="1030"/>
        <w:gridCol w:w="967"/>
        <w:gridCol w:w="941"/>
        <w:gridCol w:w="7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vMerge w:val="restart"/>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污染源名称</w:t>
            </w:r>
          </w:p>
        </w:tc>
        <w:tc>
          <w:tcPr>
            <w:tcW w:w="2752"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坐标(°)</w:t>
            </w:r>
          </w:p>
        </w:tc>
        <w:tc>
          <w:tcPr>
            <w:tcW w:w="765"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海拔高度(m)</w:t>
            </w:r>
          </w:p>
        </w:tc>
        <w:tc>
          <w:tcPr>
            <w:tcW w:w="193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0"/>
                <w:w w:val="100"/>
                <w:kern w:val="0"/>
                <w:position w:val="0"/>
                <w:sz w:val="21"/>
                <w:szCs w:val="21"/>
                <w:lang w:val="en-US" w:eastAsia="zh-CN"/>
              </w:rPr>
            </w:pPr>
            <w:r>
              <w:rPr>
                <w:rFonts w:hint="eastAsia" w:ascii="Times New Roman" w:hAnsi="Times New Roman" w:cs="Times New Roman"/>
                <w:b/>
                <w:bCs/>
                <w:color w:val="auto"/>
                <w:spacing w:val="0"/>
                <w:w w:val="100"/>
                <w:kern w:val="0"/>
                <w:position w:val="0"/>
                <w:sz w:val="21"/>
                <w:szCs w:val="21"/>
                <w:lang w:val="en-US" w:eastAsia="zh-CN"/>
              </w:rPr>
              <w:t>等效圆形面源</w:t>
            </w:r>
          </w:p>
        </w:tc>
        <w:tc>
          <w:tcPr>
            <w:tcW w:w="2632" w:type="dxa"/>
            <w:gridSpan w:val="3"/>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经度</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纬度</w:t>
            </w:r>
          </w:p>
        </w:tc>
        <w:tc>
          <w:tcPr>
            <w:tcW w:w="76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p>
        </w:tc>
        <w:tc>
          <w:tcPr>
            <w:tcW w:w="90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有效高度</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/m</w:t>
            </w:r>
          </w:p>
        </w:tc>
        <w:tc>
          <w:tcPr>
            <w:tcW w:w="103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圆形面</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源半径</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lang w:val="en-US" w:eastAsia="zh-CN"/>
              </w:rPr>
              <w:t>(m)</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NH</w:t>
            </w:r>
            <w:r>
              <w:rPr>
                <w:rFonts w:hint="default" w:ascii="Times New Roman" w:hAnsi="Times New Roman" w:eastAsia="宋体" w:cs="Times New Roman"/>
                <w:b/>
                <w:bCs/>
                <w:color w:val="auto"/>
                <w:spacing w:val="0"/>
                <w:w w:val="100"/>
                <w:kern w:val="0"/>
                <w:position w:val="0"/>
                <w:sz w:val="21"/>
                <w:szCs w:val="21"/>
                <w:vertAlign w:val="subscript"/>
              </w:rPr>
              <w:t>3</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rPr>
            </w:pPr>
            <w:r>
              <w:rPr>
                <w:rFonts w:hint="default" w:ascii="Times New Roman" w:hAnsi="Times New Roman" w:eastAsia="宋体" w:cs="Times New Roman"/>
                <w:b/>
                <w:bCs/>
                <w:color w:val="auto"/>
                <w:spacing w:val="0"/>
                <w:w w:val="100"/>
                <w:kern w:val="0"/>
                <w:position w:val="0"/>
                <w:sz w:val="21"/>
                <w:szCs w:val="21"/>
              </w:rPr>
              <w:t>H</w:t>
            </w:r>
            <w:r>
              <w:rPr>
                <w:rFonts w:hint="default" w:ascii="Times New Roman" w:hAnsi="Times New Roman" w:eastAsia="宋体" w:cs="Times New Roman"/>
                <w:b/>
                <w:bCs/>
                <w:color w:val="auto"/>
                <w:spacing w:val="0"/>
                <w:w w:val="100"/>
                <w:kern w:val="0"/>
                <w:position w:val="0"/>
                <w:sz w:val="21"/>
                <w:szCs w:val="21"/>
                <w:vertAlign w:val="subscript"/>
              </w:rPr>
              <w:t>2</w:t>
            </w:r>
            <w:r>
              <w:rPr>
                <w:rFonts w:hint="default" w:ascii="Times New Roman" w:hAnsi="Times New Roman" w:eastAsia="宋体" w:cs="Times New Roman"/>
                <w:b/>
                <w:bCs/>
                <w:color w:val="auto"/>
                <w:spacing w:val="0"/>
                <w:w w:val="100"/>
                <w:kern w:val="0"/>
                <w:position w:val="0"/>
                <w:sz w:val="21"/>
                <w:szCs w:val="21"/>
              </w:rPr>
              <w:t>S</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color w:val="auto"/>
                <w:spacing w:val="0"/>
                <w:w w:val="100"/>
                <w:kern w:val="0"/>
                <w:position w:val="0"/>
                <w:sz w:val="21"/>
                <w:szCs w:val="21"/>
                <w:lang w:val="en-US" w:eastAsia="zh-CN"/>
              </w:rPr>
            </w:pPr>
            <w:r>
              <w:rPr>
                <w:rFonts w:hint="default" w:ascii="Times New Roman" w:hAnsi="Times New Roman" w:eastAsia="宋体" w:cs="Times New Roman"/>
                <w:b/>
                <w:bCs/>
                <w:color w:val="auto"/>
                <w:spacing w:val="0"/>
                <w:w w:val="100"/>
                <w:kern w:val="0"/>
                <w:position w:val="0"/>
                <w:sz w:val="21"/>
                <w:szCs w:val="21"/>
                <w:highlight w:val="none"/>
                <w:lang w:val="en-US" w:eastAsia="zh-CN"/>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eastAsia" w:ascii="Times New Roman" w:hAnsi="Times New Roman" w:cs="Times New Roman"/>
                <w:color w:val="auto"/>
                <w:spacing w:val="0"/>
                <w:w w:val="100"/>
                <w:kern w:val="0"/>
                <w:position w:val="0"/>
                <w:sz w:val="21"/>
                <w:szCs w:val="21"/>
                <w:highlight w:val="none"/>
                <w:lang w:val="en-US" w:eastAsia="zh-CN" w:bidi="ar-SA"/>
              </w:rPr>
              <w:t>牛舍</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1466</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210</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29</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03</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cs="Times New Roman"/>
                <w:b w:val="0"/>
                <w:color w:val="auto"/>
                <w:spacing w:val="0"/>
                <w:w w:val="100"/>
                <w:kern w:val="0"/>
                <w:position w:val="0"/>
                <w:sz w:val="21"/>
                <w:szCs w:val="21"/>
                <w:highlight w:val="none"/>
                <w:lang w:eastAsia="zh-CN"/>
              </w:rPr>
              <w:t>堆粪棚</w:t>
            </w:r>
            <w:r>
              <w:rPr>
                <w:rFonts w:hint="default" w:ascii="Times New Roman" w:hAnsi="Times New Roman" w:eastAsia="宋体" w:cs="Times New Roman"/>
                <w:b w:val="0"/>
                <w:color w:val="auto"/>
                <w:spacing w:val="0"/>
                <w:w w:val="100"/>
                <w:kern w:val="0"/>
                <w:position w:val="0"/>
                <w:sz w:val="21"/>
                <w:szCs w:val="21"/>
                <w:highlight w:val="none"/>
              </w:rPr>
              <w:t>恶臭</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1455</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10</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036</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0.00</w:t>
            </w:r>
            <w:r>
              <w:rPr>
                <w:rFonts w:hint="eastAsia" w:ascii="Times New Roman" w:hAnsi="Times New Roman" w:cs="Times New Roman"/>
                <w:b w:val="0"/>
                <w:color w:val="auto"/>
                <w:spacing w:val="0"/>
                <w:w w:val="100"/>
                <w:kern w:val="0"/>
                <w:position w:val="0"/>
                <w:sz w:val="21"/>
                <w:szCs w:val="21"/>
                <w:lang w:val="en-US" w:eastAsia="zh-CN"/>
              </w:rPr>
              <w:t>034</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bidi="ar-SA"/>
              </w:rPr>
              <w:t>污水处理站恶臭</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1455</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25</w:t>
            </w:r>
          </w:p>
        </w:tc>
        <w:tc>
          <w:tcPr>
            <w:tcW w:w="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w:t>
            </w:r>
            <w:r>
              <w:rPr>
                <w:rFonts w:hint="eastAsia" w:ascii="Times New Roman" w:hAnsi="Times New Roman" w:cs="Times New Roman"/>
                <w:b w:val="0"/>
                <w:color w:val="auto"/>
                <w:spacing w:val="0"/>
                <w:w w:val="100"/>
                <w:kern w:val="0"/>
                <w:position w:val="0"/>
                <w:sz w:val="21"/>
                <w:szCs w:val="21"/>
                <w:lang w:val="en-US" w:eastAsia="zh-CN"/>
              </w:rPr>
              <w:t>12</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0.00</w:t>
            </w:r>
            <w:r>
              <w:rPr>
                <w:rFonts w:hint="eastAsia" w:ascii="Times New Roman" w:hAnsi="Times New Roman" w:cs="Times New Roman"/>
                <w:b w:val="0"/>
                <w:color w:val="auto"/>
                <w:spacing w:val="0"/>
                <w:w w:val="100"/>
                <w:kern w:val="0"/>
                <w:position w:val="0"/>
                <w:sz w:val="21"/>
                <w:szCs w:val="21"/>
                <w:lang w:val="en-US" w:eastAsia="zh-CN"/>
              </w:rPr>
              <w:t>05</w:t>
            </w:r>
          </w:p>
        </w:tc>
        <w:tc>
          <w:tcPr>
            <w:tcW w:w="724"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5" w:type="dxa"/>
            <w:tcBorders>
              <w:top w:val="single" w:color="auto" w:sz="4" w:space="0"/>
              <w:left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highlight w:val="none"/>
              </w:rPr>
              <w:t>饲料加工</w:t>
            </w:r>
          </w:p>
        </w:tc>
        <w:tc>
          <w:tcPr>
            <w:tcW w:w="1447" w:type="dxa"/>
            <w:tcBorders>
              <w:top w:val="single" w:color="auto" w:sz="4" w:space="0"/>
              <w:left w:val="single" w:color="auto" w:sz="4" w:space="0"/>
              <w:bottom w:val="single" w:color="auto" w:sz="12"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1305" w:type="dxa"/>
            <w:tcBorders>
              <w:top w:val="single" w:color="auto" w:sz="4" w:space="0"/>
              <w:left w:val="single" w:color="auto" w:sz="4" w:space="0"/>
              <w:bottom w:val="single" w:color="auto" w:sz="12"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p>
        </w:tc>
        <w:tc>
          <w:tcPr>
            <w:tcW w:w="76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cs="Times New Roman"/>
                <w:b w:val="0"/>
                <w:color w:val="auto"/>
                <w:spacing w:val="0"/>
                <w:w w:val="100"/>
                <w:kern w:val="0"/>
                <w:position w:val="0"/>
                <w:sz w:val="21"/>
                <w:szCs w:val="21"/>
                <w:lang w:val="en-US" w:eastAsia="zh-CN"/>
              </w:rPr>
              <w:t>1466</w:t>
            </w:r>
          </w:p>
        </w:tc>
        <w:tc>
          <w:tcPr>
            <w:tcW w:w="90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6.0</w:t>
            </w:r>
          </w:p>
        </w:tc>
        <w:tc>
          <w:tcPr>
            <w:tcW w:w="103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eastAsia" w:ascii="Times New Roman" w:hAnsi="Times New Roman" w:eastAsia="宋体" w:cs="Times New Roman"/>
                <w:b w:val="0"/>
                <w:color w:val="auto"/>
                <w:spacing w:val="0"/>
                <w:w w:val="100"/>
                <w:kern w:val="0"/>
                <w:position w:val="0"/>
                <w:sz w:val="21"/>
                <w:szCs w:val="21"/>
                <w:lang w:val="en-US" w:eastAsia="zh-CN"/>
              </w:rPr>
              <w:t>20</w:t>
            </w:r>
          </w:p>
        </w:tc>
        <w:tc>
          <w:tcPr>
            <w:tcW w:w="967"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lang w:val="en-US" w:eastAsia="zh-CN"/>
              </w:rPr>
            </w:pPr>
            <w:r>
              <w:rPr>
                <w:rFonts w:hint="default" w:ascii="Times New Roman" w:hAnsi="Times New Roman" w:eastAsia="宋体" w:cs="Times New Roman"/>
                <w:b w:val="0"/>
                <w:color w:val="auto"/>
                <w:spacing w:val="0"/>
                <w:w w:val="100"/>
                <w:kern w:val="0"/>
                <w:position w:val="0"/>
                <w:sz w:val="21"/>
                <w:szCs w:val="21"/>
                <w:lang w:val="en-US" w:eastAsia="zh-CN"/>
              </w:rPr>
              <w:t>-</w:t>
            </w:r>
          </w:p>
        </w:tc>
        <w:tc>
          <w:tcPr>
            <w:tcW w:w="941"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lang w:val="en-US" w:eastAsia="zh-CN"/>
              </w:rPr>
              <w:t>-</w:t>
            </w:r>
          </w:p>
        </w:tc>
        <w:tc>
          <w:tcPr>
            <w:tcW w:w="724" w:type="dxa"/>
            <w:tcBorders>
              <w:top w:val="single" w:color="auto" w:sz="4" w:space="0"/>
              <w:left w:val="single" w:color="auto" w:sz="4"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cs="Times New Roman"/>
                <w:b w:val="0"/>
                <w:color w:val="auto"/>
                <w:spacing w:val="0"/>
                <w:w w:val="100"/>
                <w:kern w:val="0"/>
                <w:position w:val="0"/>
                <w:sz w:val="21"/>
                <w:szCs w:val="21"/>
                <w:highlight w:val="none"/>
                <w:lang w:val="en-US" w:eastAsia="zh-CN"/>
              </w:rPr>
              <w:t>0.006</w:t>
            </w:r>
          </w:p>
        </w:tc>
      </w:tr>
    </w:tbl>
    <w:p>
      <w:pPr>
        <w:pStyle w:val="35"/>
        <w:widowControl w:val="0"/>
        <w:snapToGrid w:val="0"/>
        <w:spacing w:before="156" w:beforeLines="50"/>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⑵项目拟被替代削减污染源</w:t>
      </w:r>
    </w:p>
    <w:p>
      <w:pPr>
        <w:widowControl w:val="0"/>
        <w:adjustRightInd w:val="0"/>
        <w:snapToGrid w:val="0"/>
        <w:spacing w:line="360" w:lineRule="auto"/>
        <w:ind w:left="420" w:left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本项目为新建养殖场，根据调查，本项目无现有和拟被替代削减污染源。</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45" w:name="_Toc13573"/>
      <w:bookmarkStart w:id="846" w:name="_Toc19248"/>
      <w:bookmarkStart w:id="847" w:name="_Toc21670"/>
      <w:r>
        <w:rPr>
          <w:rFonts w:hint="default" w:ascii="Times New Roman" w:hAnsi="Times New Roman" w:eastAsia="宋体" w:cs="Times New Roman"/>
          <w:snapToGrid w:val="0"/>
          <w:color w:val="auto"/>
          <w:spacing w:val="0"/>
          <w:w w:val="100"/>
          <w:kern w:val="0"/>
          <w:position w:val="0"/>
          <w:sz w:val="28"/>
          <w:szCs w:val="28"/>
          <w:highlight w:val="none"/>
          <w:lang w:val="en-US" w:eastAsia="zh-CN"/>
        </w:rPr>
        <w:t>5.1.2环境空气环境影响预测与评价</w:t>
      </w:r>
      <w:bookmarkEnd w:id="844"/>
      <w:bookmarkEnd w:id="845"/>
      <w:bookmarkEnd w:id="846"/>
      <w:bookmarkEnd w:id="847"/>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848" w:name="_Toc392064556"/>
      <w:bookmarkStart w:id="849" w:name="_Toc394052447"/>
      <w:bookmarkStart w:id="850" w:name="_Toc394052814"/>
      <w:bookmarkStart w:id="851" w:name="_Toc394051737"/>
      <w:r>
        <w:rPr>
          <w:rFonts w:hint="default" w:ascii="Times New Roman" w:hAnsi="Times New Roman" w:eastAsia="宋体" w:cs="Times New Roman"/>
          <w:b/>
          <w:color w:val="auto"/>
          <w:spacing w:val="0"/>
          <w:w w:val="100"/>
          <w:kern w:val="0"/>
          <w:position w:val="0"/>
          <w:sz w:val="24"/>
          <w:highlight w:val="none"/>
          <w:lang w:val="en-US" w:eastAsia="zh-CN"/>
        </w:rPr>
        <w:t>5.1.2.1</w:t>
      </w:r>
      <w:bookmarkEnd w:id="848"/>
      <w:bookmarkEnd w:id="849"/>
      <w:bookmarkEnd w:id="850"/>
      <w:bookmarkEnd w:id="851"/>
      <w:r>
        <w:rPr>
          <w:rFonts w:hint="default" w:ascii="Times New Roman" w:hAnsi="Times New Roman" w:eastAsia="宋体" w:cs="Times New Roman"/>
          <w:b/>
          <w:color w:val="auto"/>
          <w:spacing w:val="0"/>
          <w:w w:val="100"/>
          <w:kern w:val="0"/>
          <w:position w:val="0"/>
          <w:sz w:val="24"/>
          <w:highlight w:val="none"/>
          <w:lang w:val="en-US" w:eastAsia="zh-CN"/>
        </w:rPr>
        <w:t>污染物排放量核算</w:t>
      </w:r>
    </w:p>
    <w:p>
      <w:pPr>
        <w:widowControl w:val="0"/>
        <w:overflowPunct w:val="0"/>
        <w:adjustRightInd w:val="0"/>
        <w:snapToGri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⑴无组织污染物核算</w:t>
      </w:r>
    </w:p>
    <w:p>
      <w:pPr>
        <w:widowControl w:val="0"/>
        <w:overflowPunct w:val="0"/>
        <w:adjustRightInd w:val="0"/>
        <w:snapToGri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根据导则，二级评价项目只进行污染量的核算。</w:t>
      </w:r>
    </w:p>
    <w:p>
      <w:pPr>
        <w:widowControl w:val="0"/>
        <w:overflowPunct w:val="0"/>
        <w:adjustRightInd w:val="0"/>
        <w:snapToGrid w:val="0"/>
        <w:spacing w:line="360" w:lineRule="auto"/>
        <w:ind w:firstLine="480" w:firstLineChars="200"/>
        <w:jc w:val="both"/>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无组织污染物排放量核算见表5.1-</w:t>
      </w:r>
      <w:r>
        <w:rPr>
          <w:rFonts w:hint="default" w:ascii="Times New Roman" w:hAnsi="Times New Roman" w:eastAsia="宋体" w:cs="Times New Roman"/>
          <w:snapToGrid w:val="0"/>
          <w:color w:val="auto"/>
          <w:spacing w:val="0"/>
          <w:w w:val="100"/>
          <w:kern w:val="0"/>
          <w:position w:val="0"/>
          <w:sz w:val="24"/>
          <w:highlight w:val="none"/>
          <w:lang w:val="en-US" w:eastAsia="zh-CN"/>
        </w:rPr>
        <w:t>2</w:t>
      </w:r>
      <w:r>
        <w:rPr>
          <w:rFonts w:hint="default" w:ascii="Times New Roman" w:hAnsi="Times New Roman" w:eastAsia="宋体" w:cs="Times New Roman"/>
          <w:snapToGrid w:val="0"/>
          <w:color w:val="auto"/>
          <w:spacing w:val="0"/>
          <w:w w:val="100"/>
          <w:kern w:val="0"/>
          <w:position w:val="0"/>
          <w:sz w:val="24"/>
          <w:highlight w:val="none"/>
        </w:rPr>
        <w:t>。</w:t>
      </w:r>
    </w:p>
    <w:p>
      <w:pPr>
        <w:ind w:firstLine="480" w:firstLineChars="200"/>
        <w:jc w:val="both"/>
        <w:rPr>
          <w:rFonts w:hint="default" w:ascii="Times New Roman" w:hAnsi="Times New Roman" w:eastAsia="宋体" w:cs="Times New Roman"/>
          <w:b w:val="0"/>
          <w:bCs/>
          <w:color w:val="auto"/>
          <w:spacing w:val="0"/>
          <w:w w:val="100"/>
          <w:kern w:val="0"/>
          <w:position w:val="0"/>
          <w:sz w:val="24"/>
          <w:szCs w:val="24"/>
          <w:highlight w:val="none"/>
          <w:lang w:val="en-US" w:eastAsia="zh-CN" w:bidi="ar-SA"/>
        </w:rPr>
      </w:pPr>
    </w:p>
    <w:p>
      <w:pPr>
        <w:ind w:firstLine="480" w:firstLineChars="200"/>
        <w:jc w:val="both"/>
        <w:rPr>
          <w:rFonts w:hint="default" w:ascii="Times New Roman" w:hAnsi="Times New Roman" w:eastAsia="宋体" w:cs="Times New Roman"/>
          <w:b w:val="0"/>
          <w:bCs/>
          <w:color w:val="auto"/>
          <w:spacing w:val="0"/>
          <w:w w:val="100"/>
          <w:kern w:val="0"/>
          <w:position w:val="0"/>
          <w:sz w:val="24"/>
          <w:szCs w:val="24"/>
          <w:highlight w:val="none"/>
          <w:lang w:val="en-US" w:eastAsia="zh-CN" w:bidi="ar-SA"/>
        </w:rPr>
      </w:pPr>
    </w:p>
    <w:p>
      <w:pPr>
        <w:ind w:firstLine="480" w:firstLineChars="200"/>
        <w:jc w:val="both"/>
        <w:rPr>
          <w:rFonts w:hint="default" w:ascii="Times New Roman" w:hAnsi="Times New Roman" w:eastAsia="宋体" w:cs="Times New Roman"/>
          <w:b w:val="0"/>
          <w:bCs/>
          <w:color w:val="auto"/>
          <w:spacing w:val="0"/>
          <w:w w:val="100"/>
          <w:kern w:val="0"/>
          <w:position w:val="0"/>
          <w:sz w:val="24"/>
          <w:szCs w:val="24"/>
          <w:highlight w:val="none"/>
          <w:lang w:val="en-US" w:eastAsia="zh-CN" w:bidi="ar-SA"/>
        </w:rPr>
      </w:pPr>
    </w:p>
    <w:p>
      <w:pPr>
        <w:pStyle w:val="32"/>
        <w:rPr>
          <w:rFonts w:hint="default"/>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表5.1-2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本项目大气污染物无组织排放量核算表</w:t>
      </w:r>
    </w:p>
    <w:tbl>
      <w:tblPr>
        <w:tblStyle w:val="25"/>
        <w:tblW w:w="494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17"/>
        <w:gridCol w:w="815"/>
        <w:gridCol w:w="704"/>
        <w:gridCol w:w="2083"/>
        <w:gridCol w:w="1665"/>
        <w:gridCol w:w="1380"/>
        <w:gridCol w:w="1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序号</w:t>
            </w:r>
          </w:p>
        </w:tc>
        <w:tc>
          <w:tcPr>
            <w:tcW w:w="71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排放口编号</w:t>
            </w:r>
          </w:p>
        </w:tc>
        <w:tc>
          <w:tcPr>
            <w:tcW w:w="815" w:type="dxa"/>
            <w:vMerge w:val="restart"/>
            <w:tcBorders>
              <w:top w:val="single" w:color="auto" w:sz="12" w:space="0"/>
              <w:left w:val="single" w:color="auto" w:sz="4" w:space="0"/>
              <w:bottom w:val="single" w:color="auto" w:sz="4" w:space="0"/>
              <w:right w:val="single" w:color="auto" w:sz="4" w:space="0"/>
            </w:tcBorders>
            <w:noWrap w:val="0"/>
            <w:vAlign w:val="center"/>
          </w:tcPr>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产污环节</w:t>
            </w:r>
          </w:p>
        </w:tc>
        <w:tc>
          <w:tcPr>
            <w:tcW w:w="704" w:type="dxa"/>
            <w:vMerge w:val="restart"/>
            <w:tcBorders>
              <w:top w:val="single" w:color="auto" w:sz="12" w:space="0"/>
              <w:left w:val="single" w:color="auto" w:sz="4" w:space="0"/>
              <w:bottom w:val="single" w:color="auto" w:sz="4" w:space="0"/>
              <w:right w:val="single" w:color="auto" w:sz="4" w:space="0"/>
            </w:tcBorders>
            <w:noWrap w:val="0"/>
            <w:vAlign w:val="center"/>
          </w:tcPr>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污染物</w:t>
            </w:r>
          </w:p>
        </w:tc>
        <w:tc>
          <w:tcPr>
            <w:tcW w:w="2083" w:type="dxa"/>
            <w:vMerge w:val="restart"/>
            <w:tcBorders>
              <w:top w:val="single" w:color="auto" w:sz="12" w:space="0"/>
              <w:left w:val="single" w:color="auto" w:sz="4" w:space="0"/>
              <w:bottom w:val="single" w:color="auto" w:sz="4" w:space="0"/>
              <w:right w:val="single" w:color="auto" w:sz="4" w:space="0"/>
            </w:tcBorders>
            <w:noWrap w:val="0"/>
            <w:vAlign w:val="center"/>
          </w:tcPr>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主要污染防治措施</w:t>
            </w:r>
          </w:p>
        </w:tc>
        <w:tc>
          <w:tcPr>
            <w:tcW w:w="3045" w:type="dxa"/>
            <w:gridSpan w:val="2"/>
            <w:tcBorders>
              <w:top w:val="single" w:color="auto" w:sz="12" w:space="0"/>
              <w:left w:val="single" w:color="auto" w:sz="4" w:space="0"/>
              <w:bottom w:val="single" w:color="auto" w:sz="4" w:space="0"/>
              <w:right w:val="single" w:color="auto" w:sz="4" w:space="0"/>
            </w:tcBorders>
            <w:noWrap w:val="0"/>
            <w:vAlign w:val="center"/>
          </w:tcPr>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国家或地方污染物排放标准</w:t>
            </w:r>
          </w:p>
        </w:tc>
        <w:tc>
          <w:tcPr>
            <w:tcW w:w="1065" w:type="dxa"/>
            <w:vMerge w:val="restart"/>
            <w:tcBorders>
              <w:top w:val="single" w:color="auto" w:sz="12" w:space="0"/>
              <w:left w:val="single" w:color="auto" w:sz="4" w:space="0"/>
              <w:bottom w:val="single" w:color="auto" w:sz="4" w:space="0"/>
              <w:right w:val="single" w:color="auto" w:sz="12" w:space="0"/>
            </w:tcBorders>
            <w:noWrap w:val="0"/>
            <w:vAlign w:val="center"/>
          </w:tcPr>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年排</w:t>
            </w:r>
          </w:p>
          <w:p>
            <w:pPr>
              <w:overflowPunct w:val="0"/>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continue"/>
            <w:tcBorders>
              <w:top w:val="single" w:color="auto" w:sz="12"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c>
          <w:tcPr>
            <w:tcW w:w="717" w:type="dxa"/>
            <w:vMerge w:val="continue"/>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c>
          <w:tcPr>
            <w:tcW w:w="815" w:type="dxa"/>
            <w:vMerge w:val="continue"/>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c>
          <w:tcPr>
            <w:tcW w:w="704" w:type="dxa"/>
            <w:vMerge w:val="continue"/>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c>
          <w:tcPr>
            <w:tcW w:w="2083" w:type="dxa"/>
            <w:vMerge w:val="continue"/>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标准名称</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浓度限值（um/m</w:t>
            </w:r>
            <w:r>
              <w:rPr>
                <w:rFonts w:hint="default" w:ascii="Times New Roman" w:hAnsi="Times New Roman" w:eastAsia="宋体" w:cs="Times New Roman"/>
                <w:b/>
                <w:bCs/>
                <w:color w:val="auto"/>
                <w:spacing w:val="0"/>
                <w:w w:val="100"/>
                <w:kern w:val="0"/>
                <w:position w:val="0"/>
                <w:sz w:val="21"/>
                <w:szCs w:val="21"/>
                <w:highlight w:val="none"/>
                <w:vertAlign w:val="superscript"/>
              </w:rPr>
              <w:t>3</w:t>
            </w:r>
            <w:r>
              <w:rPr>
                <w:rFonts w:hint="default" w:ascii="Times New Roman" w:hAnsi="Times New Roman" w:eastAsia="宋体" w:cs="Times New Roman"/>
                <w:b/>
                <w:bCs/>
                <w:color w:val="auto"/>
                <w:spacing w:val="0"/>
                <w:w w:val="100"/>
                <w:kern w:val="0"/>
                <w:position w:val="0"/>
                <w:sz w:val="21"/>
                <w:szCs w:val="21"/>
                <w:highlight w:val="none"/>
              </w:rPr>
              <w:t>）</w:t>
            </w:r>
          </w:p>
        </w:tc>
        <w:tc>
          <w:tcPr>
            <w:tcW w:w="1065" w:type="dxa"/>
            <w:vMerge w:val="continue"/>
            <w:tcBorders>
              <w:top w:val="single" w:color="auto" w:sz="12"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b/>
                <w:bCs/>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restar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w:t>
            </w:r>
          </w:p>
        </w:tc>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cs="Times New Roman"/>
                <w:color w:val="auto"/>
                <w:spacing w:val="0"/>
                <w:w w:val="100"/>
                <w:kern w:val="0"/>
                <w:position w:val="0"/>
                <w:sz w:val="21"/>
                <w:szCs w:val="21"/>
                <w:highlight w:val="none"/>
                <w:lang w:val="en-US" w:eastAsia="zh-CN"/>
              </w:rPr>
              <w:t>1#</w:t>
            </w:r>
          </w:p>
        </w:tc>
        <w:tc>
          <w:tcPr>
            <w:tcW w:w="815"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奶牛</w:t>
            </w:r>
            <w:r>
              <w:rPr>
                <w:rFonts w:hint="eastAsia" w:ascii="Times New Roman" w:hAnsi="Times New Roman" w:cs="Times New Roman"/>
                <w:color w:val="auto"/>
                <w:spacing w:val="0"/>
                <w:w w:val="100"/>
                <w:kern w:val="0"/>
                <w:position w:val="0"/>
                <w:sz w:val="21"/>
                <w:szCs w:val="21"/>
                <w:highlight w:val="none"/>
                <w:lang w:eastAsia="zh-CN"/>
              </w:rPr>
              <w:t>牛舍</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p>
        </w:tc>
        <w:tc>
          <w:tcPr>
            <w:tcW w:w="2083"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喷洒生物菌种除臭剂、定期消毒、科学管理、合理调配饲料、每天及时清理粪污等措施。</w:t>
            </w:r>
          </w:p>
          <w:p>
            <w:pPr>
              <w:jc w:val="center"/>
              <w:rPr>
                <w:rFonts w:hint="default" w:ascii="Times New Roman" w:hAnsi="Times New Roman" w:eastAsia="宋体" w:cs="Times New Roman"/>
                <w:color w:val="auto"/>
                <w:spacing w:val="0"/>
                <w:w w:val="100"/>
                <w:kern w:val="0"/>
                <w:position w:val="0"/>
                <w:sz w:val="21"/>
                <w:szCs w:val="21"/>
                <w:highlight w:val="none"/>
              </w:rPr>
            </w:pPr>
          </w:p>
        </w:tc>
        <w:tc>
          <w:tcPr>
            <w:tcW w:w="1665"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bookmarkStart w:id="852" w:name="_Hlk43211161"/>
            <w:r>
              <w:rPr>
                <w:rFonts w:hint="default" w:ascii="Times New Roman" w:hAnsi="Times New Roman" w:eastAsia="宋体" w:cs="Times New Roman"/>
                <w:color w:val="auto"/>
                <w:spacing w:val="0"/>
                <w:w w:val="100"/>
                <w:kern w:val="0"/>
                <w:position w:val="0"/>
                <w:sz w:val="21"/>
                <w:szCs w:val="21"/>
                <w:highlight w:val="none"/>
              </w:rPr>
              <w:t>《恶臭污染物排放标准》（GB14554-93）</w:t>
            </w:r>
            <w:bookmarkEnd w:id="852"/>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1.5(厂界)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w:t>
            </w:r>
            <w:r>
              <w:rPr>
                <w:rFonts w:hint="eastAsia" w:ascii="Times New Roman" w:hAnsi="Times New Roman" w:cs="Times New Roman"/>
                <w:color w:val="auto"/>
                <w:spacing w:val="0"/>
                <w:w w:val="100"/>
                <w:kern w:val="0"/>
                <w:position w:val="0"/>
                <w:sz w:val="21"/>
                <w:szCs w:val="21"/>
                <w:highlight w:val="none"/>
                <w:lang w:val="en-US" w:eastAsia="zh-CN"/>
              </w:rPr>
              <w:t>254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continue"/>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81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2083"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66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0.06(厂界)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restart"/>
            <w:tcBorders>
              <w:top w:val="single" w:color="auto" w:sz="4" w:space="0"/>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2</w:t>
            </w:r>
          </w:p>
        </w:tc>
        <w:tc>
          <w:tcPr>
            <w:tcW w:w="71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cs="Times New Roman"/>
                <w:color w:val="auto"/>
                <w:spacing w:val="0"/>
                <w:w w:val="100"/>
                <w:kern w:val="0"/>
                <w:position w:val="0"/>
                <w:sz w:val="21"/>
                <w:szCs w:val="21"/>
                <w:highlight w:val="none"/>
                <w:lang w:val="en-US" w:eastAsia="zh-CN"/>
              </w:rPr>
              <w:t>2#</w:t>
            </w:r>
          </w:p>
        </w:tc>
        <w:tc>
          <w:tcPr>
            <w:tcW w:w="81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cs="Times New Roman"/>
                <w:color w:val="auto"/>
                <w:spacing w:val="0"/>
                <w:w w:val="100"/>
                <w:kern w:val="0"/>
                <w:position w:val="0"/>
                <w:sz w:val="21"/>
                <w:szCs w:val="21"/>
                <w:highlight w:val="none"/>
                <w:lang w:eastAsia="zh-CN"/>
              </w:rPr>
              <w:t>堆粪棚</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p>
        </w:tc>
        <w:tc>
          <w:tcPr>
            <w:tcW w:w="2083"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66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1.5(厂界)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312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continue"/>
            <w:tcBorders>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17"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81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2083"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66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0.06(厂界)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cs="Times New Roman"/>
                <w:color w:val="auto"/>
                <w:spacing w:val="0"/>
                <w:w w:val="100"/>
                <w:kern w:val="0"/>
                <w:position w:val="0"/>
                <w:sz w:val="21"/>
                <w:szCs w:val="21"/>
                <w:highlight w:val="none"/>
                <w:lang w:val="en-US" w:eastAsia="zh-CN"/>
              </w:rPr>
              <w:t>0.0029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vMerge w:val="restart"/>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rPr>
              <w:t>3</w:t>
            </w:r>
          </w:p>
        </w:tc>
        <w:tc>
          <w:tcPr>
            <w:tcW w:w="717"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 w:val="21"/>
                <w:szCs w:val="21"/>
                <w:highlight w:val="none"/>
                <w:lang w:val="en-US" w:eastAsia="zh-CN"/>
              </w:rPr>
              <w:t>3#</w:t>
            </w:r>
          </w:p>
        </w:tc>
        <w:tc>
          <w:tcPr>
            <w:tcW w:w="815"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污水处理站</w:t>
            </w:r>
          </w:p>
        </w:tc>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2083"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污水处理池采取加盖封闭，同时定期喷洒除臭剂抑制恶臭的产生，加强污水处理系统周围的绿化等措施</w:t>
            </w:r>
          </w:p>
        </w:tc>
        <w:tc>
          <w:tcPr>
            <w:tcW w:w="166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1.5(厂界)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w:t>
            </w:r>
            <w:r>
              <w:rPr>
                <w:rFonts w:hint="eastAsia" w:ascii="Times New Roman" w:hAnsi="Times New Roman" w:cs="Times New Roman"/>
                <w:color w:val="auto"/>
                <w:spacing w:val="0"/>
                <w:w w:val="100"/>
                <w:kern w:val="0"/>
                <w:position w:val="0"/>
                <w:sz w:val="21"/>
                <w:szCs w:val="21"/>
                <w:highlight w:val="none"/>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425" w:type="dxa"/>
            <w:vMerge w:val="continue"/>
            <w:tcBorders>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17"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81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2083"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66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0.06(厂界)</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eastAsia" w:ascii="Times New Roman" w:hAnsi="Times New Roman" w:cs="Times New Roman"/>
                <w:color w:val="auto"/>
                <w:spacing w:val="0"/>
                <w:w w:val="100"/>
                <w:kern w:val="0"/>
                <w:position w:val="0"/>
                <w:sz w:val="21"/>
                <w:szCs w:val="21"/>
                <w:highlight w:val="none"/>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cs="Times New Roman"/>
                <w:color w:val="auto"/>
                <w:spacing w:val="0"/>
                <w:w w:val="100"/>
                <w:kern w:val="0"/>
                <w:position w:val="0"/>
                <w:sz w:val="21"/>
                <w:szCs w:val="21"/>
                <w:highlight w:val="none"/>
                <w:lang w:val="en-US" w:eastAsia="zh-CN"/>
              </w:rPr>
              <w:t>4</w:t>
            </w:r>
          </w:p>
        </w:tc>
        <w:tc>
          <w:tcPr>
            <w:tcW w:w="7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cs="Times New Roman"/>
                <w:color w:val="auto"/>
                <w:spacing w:val="0"/>
                <w:w w:val="100"/>
                <w:kern w:val="0"/>
                <w:position w:val="0"/>
                <w:sz w:val="21"/>
                <w:szCs w:val="21"/>
                <w:highlight w:val="none"/>
                <w:lang w:val="en-US" w:eastAsia="zh-CN"/>
              </w:rPr>
              <w:t>4#</w:t>
            </w:r>
          </w:p>
        </w:tc>
        <w:tc>
          <w:tcPr>
            <w:tcW w:w="8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饲料</w:t>
            </w:r>
          </w:p>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加工</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TSP</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采用密闭设备，且设备布置在车间内。</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val="zh-CN"/>
              </w:rPr>
              <w:t>《大气污染物综合排放标准》（GB16297-1996）无组织排放浓度限值</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1.0mg/m</w:t>
            </w:r>
            <w:r>
              <w:rPr>
                <w:rFonts w:hint="default" w:ascii="Times New Roman" w:hAnsi="Times New Roman" w:eastAsia="宋体" w:cs="Times New Roman"/>
                <w:color w:val="auto"/>
                <w:spacing w:val="0"/>
                <w:w w:val="100"/>
                <w:kern w:val="0"/>
                <w:position w:val="0"/>
                <w:sz w:val="21"/>
                <w:szCs w:val="21"/>
                <w:highlight w:val="none"/>
                <w:vertAlign w:val="superscript"/>
              </w:rPr>
              <w:t>3</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w:t>
            </w:r>
            <w:r>
              <w:rPr>
                <w:rFonts w:hint="default" w:ascii="Times New Roman" w:hAnsi="Times New Roman" w:cs="Times New Roman"/>
                <w:color w:val="auto"/>
                <w:spacing w:val="0"/>
                <w:w w:val="100"/>
                <w:kern w:val="0"/>
                <w:position w:val="0"/>
                <w:sz w:val="21"/>
                <w:szCs w:val="21"/>
                <w:highlight w:val="none"/>
                <w:lang w:val="en-US" w:eastAsia="zh-CN"/>
              </w:rPr>
              <w:t>0</w:t>
            </w:r>
            <w:r>
              <w:rPr>
                <w:rFonts w:hint="eastAsia" w:ascii="Times New Roman" w:hAnsi="Times New Roman" w:cs="Times New Roman"/>
                <w:color w:val="auto"/>
                <w:spacing w:val="0"/>
                <w:w w:val="100"/>
                <w:kern w:val="0"/>
                <w:position w:val="0"/>
                <w:sz w:val="21"/>
                <w:szCs w:val="21"/>
                <w:highlight w:val="non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142" w:type="dxa"/>
            <w:gridSpan w:val="2"/>
            <w:vMerge w:val="restart"/>
            <w:tcBorders>
              <w:top w:val="single" w:color="auto" w:sz="4" w:space="0"/>
              <w:left w:val="single" w:color="auto" w:sz="12" w:space="0"/>
              <w:right w:val="single" w:color="auto" w:sz="4" w:space="0"/>
            </w:tcBorders>
            <w:noWrap w:val="0"/>
            <w:vAlign w:val="center"/>
          </w:tcPr>
          <w:p>
            <w:pPr>
              <w:overflowPunct w:val="0"/>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无组织排放总计</w:t>
            </w:r>
          </w:p>
        </w:tc>
        <w:tc>
          <w:tcPr>
            <w:tcW w:w="6647"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w:t>
            </w:r>
            <w:r>
              <w:rPr>
                <w:rFonts w:hint="eastAsia" w:ascii="Times New Roman" w:hAnsi="Times New Roman" w:cs="Times New Roman"/>
                <w:color w:val="auto"/>
                <w:spacing w:val="0"/>
                <w:w w:val="100"/>
                <w:kern w:val="0"/>
                <w:position w:val="0"/>
                <w:sz w:val="21"/>
                <w:szCs w:val="21"/>
                <w:highlight w:val="none"/>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2" w:type="dxa"/>
            <w:gridSpan w:val="2"/>
            <w:vMerge w:val="continue"/>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6647"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106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2" w:type="dxa"/>
            <w:gridSpan w:val="2"/>
            <w:vMerge w:val="continue"/>
            <w:tcBorders>
              <w:left w:val="single" w:color="auto" w:sz="12"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pacing w:val="0"/>
                <w:w w:val="100"/>
                <w:kern w:val="0"/>
                <w:position w:val="0"/>
                <w:sz w:val="21"/>
                <w:szCs w:val="21"/>
                <w:highlight w:val="none"/>
              </w:rPr>
            </w:pPr>
          </w:p>
        </w:tc>
        <w:tc>
          <w:tcPr>
            <w:tcW w:w="6647" w:type="dxa"/>
            <w:gridSpan w:val="5"/>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TSP</w:t>
            </w:r>
          </w:p>
        </w:tc>
        <w:tc>
          <w:tcPr>
            <w:tcW w:w="1065" w:type="dxa"/>
            <w:tcBorders>
              <w:top w:val="single" w:color="auto" w:sz="4" w:space="0"/>
              <w:left w:val="single" w:color="auto" w:sz="4" w:space="0"/>
              <w:bottom w:val="single" w:color="auto" w:sz="12" w:space="0"/>
              <w:right w:val="single" w:color="auto" w:sz="12"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18</w:t>
            </w:r>
          </w:p>
        </w:tc>
      </w:tr>
    </w:tbl>
    <w:p>
      <w:pPr>
        <w:widowControl w:val="0"/>
        <w:overflowPunct w:val="0"/>
        <w:adjustRightInd w:val="0"/>
        <w:snapToGrid w:val="0"/>
        <w:spacing w:before="156" w:beforeLines="50"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⑵项目大气污染物年排放量核算</w:t>
      </w:r>
    </w:p>
    <w:p>
      <w:pPr>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本项目大气污染物年排放量核算见表5.1-</w:t>
      </w:r>
      <w:r>
        <w:rPr>
          <w:rFonts w:hint="default" w:ascii="Times New Roman" w:hAnsi="Times New Roman" w:eastAsia="宋体" w:cs="Times New Roman"/>
          <w:snapToGrid w:val="0"/>
          <w:color w:val="auto"/>
          <w:spacing w:val="0"/>
          <w:w w:val="100"/>
          <w:kern w:val="0"/>
          <w:position w:val="0"/>
          <w:sz w:val="24"/>
          <w:highlight w:val="none"/>
          <w:lang w:val="en-US" w:eastAsia="zh-CN"/>
        </w:rPr>
        <w:t>3</w:t>
      </w:r>
      <w:r>
        <w:rPr>
          <w:rFonts w:hint="default" w:ascii="Times New Roman" w:hAnsi="Times New Roman" w:eastAsia="宋体" w:cs="Times New Roman"/>
          <w:snapToGrid w:val="0"/>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表5.1-3   项目大气污染物年排放量核算表</w:t>
      </w:r>
    </w:p>
    <w:tbl>
      <w:tblPr>
        <w:tblStyle w:val="25"/>
        <w:tblW w:w="49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3312"/>
        <w:gridCol w:w="4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noWrap w:val="0"/>
            <w:vAlign w:val="center"/>
          </w:tcPr>
          <w:p>
            <w:pPr>
              <w:overflowPunct w:val="0"/>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b/>
                <w:snapToGrid w:val="0"/>
                <w:color w:val="auto"/>
                <w:spacing w:val="0"/>
                <w:w w:val="100"/>
                <w:kern w:val="0"/>
                <w:position w:val="0"/>
                <w:highlight w:val="none"/>
              </w:rPr>
              <w:t>序号</w:t>
            </w:r>
          </w:p>
        </w:tc>
        <w:tc>
          <w:tcPr>
            <w:tcW w:w="331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b/>
                <w:snapToGrid w:val="0"/>
                <w:color w:val="auto"/>
                <w:spacing w:val="0"/>
                <w:w w:val="100"/>
                <w:kern w:val="0"/>
                <w:position w:val="0"/>
                <w:highlight w:val="none"/>
              </w:rPr>
              <w:t>污染物</w:t>
            </w:r>
          </w:p>
        </w:tc>
        <w:tc>
          <w:tcPr>
            <w:tcW w:w="4362" w:type="dxa"/>
            <w:noWrap w:val="0"/>
            <w:vAlign w:val="center"/>
          </w:tcPr>
          <w:p>
            <w:pPr>
              <w:overflowPunct w:val="0"/>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b/>
                <w:snapToGrid w:val="0"/>
                <w:color w:val="auto"/>
                <w:spacing w:val="0"/>
                <w:w w:val="100"/>
                <w:kern w:val="0"/>
                <w:position w:val="0"/>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noWrap w:val="0"/>
            <w:vAlign w:val="center"/>
          </w:tcPr>
          <w:p>
            <w:pPr>
              <w:overflowPunct w:val="0"/>
              <w:adjustRightInd w:val="0"/>
              <w:snapToGrid w:val="0"/>
              <w:jc w:val="center"/>
              <w:rPr>
                <w:rFonts w:hint="default" w:ascii="Times New Roman" w:hAnsi="Times New Roman" w:eastAsia="宋体" w:cs="Times New Roman"/>
                <w:bCs/>
                <w:snapToGrid w:val="0"/>
                <w:color w:val="auto"/>
                <w:spacing w:val="0"/>
                <w:w w:val="100"/>
                <w:kern w:val="0"/>
                <w:position w:val="0"/>
                <w:highlight w:val="none"/>
              </w:rPr>
            </w:pPr>
            <w:r>
              <w:rPr>
                <w:rFonts w:hint="default" w:ascii="Times New Roman" w:hAnsi="Times New Roman" w:eastAsia="宋体" w:cs="Times New Roman"/>
                <w:bCs/>
                <w:snapToGrid w:val="0"/>
                <w:color w:val="auto"/>
                <w:spacing w:val="0"/>
                <w:w w:val="100"/>
                <w:kern w:val="0"/>
                <w:position w:val="0"/>
                <w:highlight w:val="none"/>
              </w:rPr>
              <w:t>1</w:t>
            </w:r>
          </w:p>
        </w:tc>
        <w:tc>
          <w:tcPr>
            <w:tcW w:w="331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p>
        </w:tc>
        <w:tc>
          <w:tcPr>
            <w:tcW w:w="436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lang w:val="en-US"/>
              </w:rPr>
            </w:pPr>
            <w:r>
              <w:rPr>
                <w:rFonts w:hint="default" w:ascii="Times New Roman" w:hAnsi="Times New Roman" w:eastAsia="宋体" w:cs="Times New Roman"/>
                <w:color w:val="auto"/>
                <w:spacing w:val="0"/>
                <w:w w:val="100"/>
                <w:kern w:val="0"/>
                <w:position w:val="0"/>
                <w:sz w:val="21"/>
                <w:szCs w:val="21"/>
                <w:highlight w:val="none"/>
              </w:rPr>
              <w:t>0.</w:t>
            </w:r>
            <w:r>
              <w:rPr>
                <w:rFonts w:hint="eastAsia" w:ascii="Times New Roman" w:hAnsi="Times New Roman" w:cs="Times New Roman"/>
                <w:color w:val="auto"/>
                <w:spacing w:val="0"/>
                <w:w w:val="100"/>
                <w:kern w:val="0"/>
                <w:position w:val="0"/>
                <w:sz w:val="21"/>
                <w:szCs w:val="21"/>
                <w:highlight w:val="none"/>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50" w:type="dxa"/>
            <w:noWrap w:val="0"/>
            <w:vAlign w:val="center"/>
          </w:tcPr>
          <w:p>
            <w:pPr>
              <w:overflowPunct w:val="0"/>
              <w:adjustRightInd w:val="0"/>
              <w:snapToGrid w:val="0"/>
              <w:jc w:val="center"/>
              <w:rPr>
                <w:rFonts w:hint="default" w:ascii="Times New Roman" w:hAnsi="Times New Roman" w:eastAsia="宋体" w:cs="Times New Roman"/>
                <w:bCs/>
                <w:snapToGrid w:val="0"/>
                <w:color w:val="auto"/>
                <w:spacing w:val="0"/>
                <w:w w:val="100"/>
                <w:kern w:val="0"/>
                <w:position w:val="0"/>
                <w:highlight w:val="none"/>
              </w:rPr>
            </w:pPr>
            <w:r>
              <w:rPr>
                <w:rFonts w:hint="default" w:ascii="Times New Roman" w:hAnsi="Times New Roman" w:eastAsia="宋体" w:cs="Times New Roman"/>
                <w:bCs/>
                <w:snapToGrid w:val="0"/>
                <w:color w:val="auto"/>
                <w:spacing w:val="0"/>
                <w:w w:val="100"/>
                <w:kern w:val="0"/>
                <w:position w:val="0"/>
                <w:highlight w:val="none"/>
              </w:rPr>
              <w:t>2</w:t>
            </w:r>
          </w:p>
        </w:tc>
        <w:tc>
          <w:tcPr>
            <w:tcW w:w="331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w:t>
            </w:r>
          </w:p>
        </w:tc>
        <w:tc>
          <w:tcPr>
            <w:tcW w:w="436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lang w:val="en-US"/>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50" w:type="dxa"/>
            <w:noWrap w:val="0"/>
            <w:vAlign w:val="center"/>
          </w:tcPr>
          <w:p>
            <w:pPr>
              <w:overflowPunct w:val="0"/>
              <w:adjustRightInd w:val="0"/>
              <w:snapToGrid w:val="0"/>
              <w:jc w:val="center"/>
              <w:rPr>
                <w:rFonts w:hint="default" w:ascii="Times New Roman" w:hAnsi="Times New Roman" w:eastAsia="宋体" w:cs="Times New Roman"/>
                <w:bCs/>
                <w:snapToGrid w:val="0"/>
                <w:color w:val="auto"/>
                <w:spacing w:val="0"/>
                <w:w w:val="100"/>
                <w:kern w:val="0"/>
                <w:position w:val="0"/>
                <w:highlight w:val="none"/>
              </w:rPr>
            </w:pPr>
            <w:r>
              <w:rPr>
                <w:rFonts w:hint="default" w:ascii="Times New Roman" w:hAnsi="Times New Roman" w:eastAsia="宋体" w:cs="Times New Roman"/>
                <w:bCs/>
                <w:snapToGrid w:val="0"/>
                <w:color w:val="auto"/>
                <w:spacing w:val="0"/>
                <w:w w:val="100"/>
                <w:kern w:val="0"/>
                <w:position w:val="0"/>
                <w:highlight w:val="none"/>
              </w:rPr>
              <w:t>3</w:t>
            </w:r>
          </w:p>
        </w:tc>
        <w:tc>
          <w:tcPr>
            <w:tcW w:w="331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1"/>
                <w:szCs w:val="21"/>
                <w:highlight w:val="none"/>
              </w:rPr>
              <w:t>TSP</w:t>
            </w:r>
          </w:p>
        </w:tc>
        <w:tc>
          <w:tcPr>
            <w:tcW w:w="4362" w:type="dxa"/>
            <w:noWrap w:val="0"/>
            <w:vAlign w:val="center"/>
          </w:tcPr>
          <w:p>
            <w:pPr>
              <w:adjustRightInd w:val="0"/>
              <w:snapToGrid w:val="0"/>
              <w:jc w:val="center"/>
              <w:rPr>
                <w:rFonts w:hint="default" w:ascii="Times New Roman" w:hAnsi="Times New Roman" w:eastAsia="宋体" w:cs="Times New Roman"/>
                <w:b/>
                <w:snapToGrid w:val="0"/>
                <w:color w:val="auto"/>
                <w:spacing w:val="0"/>
                <w:w w:val="100"/>
                <w:kern w:val="0"/>
                <w:position w:val="0"/>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rPr>
              <w:t>0.0</w:t>
            </w:r>
            <w:r>
              <w:rPr>
                <w:rFonts w:hint="eastAsia" w:ascii="Times New Roman" w:hAnsi="Times New Roman" w:cs="Times New Roman"/>
                <w:color w:val="auto"/>
                <w:spacing w:val="0"/>
                <w:w w:val="100"/>
                <w:kern w:val="0"/>
                <w:position w:val="0"/>
                <w:sz w:val="21"/>
                <w:szCs w:val="21"/>
                <w:highlight w:val="none"/>
                <w:lang w:val="en-US" w:eastAsia="zh-CN"/>
              </w:rPr>
              <w:t>18</w:t>
            </w:r>
          </w:p>
        </w:tc>
      </w:tr>
    </w:tbl>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5.1.2.2预测结果及影响分析</w:t>
      </w:r>
    </w:p>
    <w:p>
      <w:pPr>
        <w:widowControl w:val="0"/>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4"/>
          <w:szCs w:val="32"/>
          <w:highlight w:val="none"/>
        </w:rPr>
        <w:t>根据《环境影响评价技术导则 大气环境》（HJ2.2-2018），大气环境影响评价等级判定采用AERSCREEN估算模式和污染物占标率进行计算，结果见表</w:t>
      </w:r>
      <w:r>
        <w:rPr>
          <w:rFonts w:hint="default" w:ascii="Times New Roman" w:hAnsi="Times New Roman" w:eastAsia="宋体" w:cs="Times New Roman"/>
          <w:color w:val="auto"/>
          <w:spacing w:val="0"/>
          <w:w w:val="100"/>
          <w:kern w:val="0"/>
          <w:position w:val="0"/>
          <w:sz w:val="24"/>
          <w:szCs w:val="32"/>
          <w:highlight w:val="none"/>
          <w:lang w:val="en-US" w:eastAsia="zh-CN"/>
        </w:rPr>
        <w:t>5.1</w:t>
      </w:r>
      <w:r>
        <w:rPr>
          <w:rFonts w:hint="default" w:ascii="Times New Roman" w:hAnsi="Times New Roman" w:eastAsia="宋体" w:cs="Times New Roman"/>
          <w:color w:val="auto"/>
          <w:spacing w:val="0"/>
          <w:w w:val="100"/>
          <w:kern w:val="0"/>
          <w:position w:val="0"/>
          <w:sz w:val="24"/>
          <w:szCs w:val="32"/>
          <w:highlight w:val="none"/>
        </w:rPr>
        <w:t>-4~表</w:t>
      </w:r>
      <w:r>
        <w:rPr>
          <w:rFonts w:hint="default" w:ascii="Times New Roman" w:hAnsi="Times New Roman" w:eastAsia="宋体" w:cs="Times New Roman"/>
          <w:color w:val="auto"/>
          <w:spacing w:val="0"/>
          <w:w w:val="100"/>
          <w:kern w:val="0"/>
          <w:position w:val="0"/>
          <w:sz w:val="24"/>
          <w:szCs w:val="32"/>
          <w:highlight w:val="none"/>
          <w:lang w:val="en-US" w:eastAsia="zh-CN"/>
        </w:rPr>
        <w:t>5.1</w:t>
      </w:r>
      <w:r>
        <w:rPr>
          <w:rFonts w:hint="default" w:ascii="Times New Roman" w:hAnsi="Times New Roman" w:eastAsia="宋体" w:cs="Times New Roman"/>
          <w:color w:val="auto"/>
          <w:spacing w:val="0"/>
          <w:w w:val="100"/>
          <w:kern w:val="0"/>
          <w:position w:val="0"/>
          <w:sz w:val="24"/>
          <w:szCs w:val="32"/>
          <w:highlight w:val="none"/>
        </w:rPr>
        <w:t>-</w:t>
      </w:r>
      <w:r>
        <w:rPr>
          <w:rFonts w:hint="default" w:ascii="Times New Roman" w:hAnsi="Times New Roman" w:eastAsia="宋体" w:cs="Times New Roman"/>
          <w:color w:val="auto"/>
          <w:spacing w:val="0"/>
          <w:w w:val="100"/>
          <w:kern w:val="0"/>
          <w:position w:val="0"/>
          <w:sz w:val="24"/>
          <w:szCs w:val="32"/>
          <w:highlight w:val="none"/>
          <w:lang w:val="en-US" w:eastAsia="zh-CN"/>
        </w:rPr>
        <w:t>7</w:t>
      </w:r>
      <w:r>
        <w:rPr>
          <w:rFonts w:hint="default" w:ascii="Times New Roman" w:hAnsi="Times New Roman" w:eastAsia="宋体" w:cs="Times New Roman"/>
          <w:color w:val="auto"/>
          <w:spacing w:val="0"/>
          <w:w w:val="100"/>
          <w:kern w:val="0"/>
          <w:position w:val="0"/>
          <w:sz w:val="24"/>
          <w:szCs w:val="32"/>
          <w:highlight w:val="none"/>
        </w:rPr>
        <w:t>。</w:t>
      </w:r>
    </w:p>
    <w:p>
      <w:pPr>
        <w:ind w:firstLine="480" w:firstLineChars="200"/>
        <w:jc w:val="both"/>
        <w:rPr>
          <w:rFonts w:hint="default" w:ascii="Times New Roman" w:hAnsi="Times New Roman" w:eastAsia="宋体" w:cs="Times New Roman"/>
          <w:b w:val="0"/>
          <w:bCs/>
          <w:color w:val="auto"/>
          <w:spacing w:val="0"/>
          <w:w w:val="100"/>
          <w:kern w:val="0"/>
          <w:position w:val="0"/>
          <w:sz w:val="24"/>
          <w:szCs w:val="24"/>
          <w:highlight w:val="none"/>
          <w:lang w:val="en-US" w:eastAsia="zh-CN" w:bidi="ar-SA"/>
        </w:rPr>
        <w:sectPr>
          <w:headerReference r:id="rId15"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表5.1-4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eastAsia" w:ascii="Times New Roman" w:hAnsi="Times New Roman" w:eastAsia="宋体" w:cs="Times New Roman"/>
          <w:b/>
          <w:bCs w:val="0"/>
          <w:color w:val="auto"/>
          <w:spacing w:val="0"/>
          <w:w w:val="100"/>
          <w:kern w:val="0"/>
          <w:position w:val="0"/>
          <w:sz w:val="24"/>
          <w:szCs w:val="24"/>
          <w:highlight w:val="none"/>
          <w:lang w:val="en-US" w:eastAsia="zh-CN" w:bidi="ar-SA"/>
        </w:rPr>
        <w:t>牛舍</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NH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和H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S估算模式计算结果一览表（面源）</w:t>
      </w:r>
    </w:p>
    <w:tbl>
      <w:tblPr>
        <w:tblStyle w:val="25"/>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898"/>
        <w:gridCol w:w="1513"/>
        <w:gridCol w:w="1898"/>
        <w:gridCol w:w="1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rPr>
            </w:pPr>
            <w:r>
              <w:rPr>
                <w:rFonts w:hint="default" w:ascii="Times New Roman" w:hAnsi="Times New Roman" w:eastAsia="宋体" w:cs="Times New Roman"/>
                <w:b/>
                <w:bCs/>
                <w:color w:val="auto"/>
                <w:spacing w:val="0"/>
                <w:w w:val="100"/>
                <w:kern w:val="0"/>
                <w:position w:val="0"/>
                <w:sz w:val="23"/>
                <w:szCs w:val="23"/>
              </w:rPr>
              <w:t>下风向距离</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rPr>
            </w:pPr>
            <w:r>
              <w:rPr>
                <w:rFonts w:hint="default" w:ascii="Times New Roman" w:hAnsi="Times New Roman" w:eastAsia="宋体" w:cs="Times New Roman"/>
                <w:b/>
                <w:bCs/>
                <w:color w:val="auto"/>
                <w:spacing w:val="0"/>
                <w:w w:val="100"/>
                <w:kern w:val="0"/>
                <w:position w:val="0"/>
                <w:sz w:val="23"/>
                <w:szCs w:val="23"/>
              </w:rPr>
              <w:t>NH</w:t>
            </w:r>
            <w:r>
              <w:rPr>
                <w:rFonts w:hint="default" w:ascii="Times New Roman" w:hAnsi="Times New Roman" w:eastAsia="宋体" w:cs="Times New Roman"/>
                <w:b/>
                <w:bCs/>
                <w:color w:val="auto"/>
                <w:spacing w:val="0"/>
                <w:w w:val="100"/>
                <w:kern w:val="0"/>
                <w:position w:val="0"/>
                <w:sz w:val="23"/>
                <w:szCs w:val="23"/>
                <w:vertAlign w:val="subscript"/>
              </w:rPr>
              <w:t>3</w:t>
            </w:r>
            <w:r>
              <w:rPr>
                <w:rFonts w:hint="default" w:ascii="Times New Roman" w:hAnsi="Times New Roman" w:eastAsia="宋体" w:cs="Times New Roman"/>
                <w:b/>
                <w:bCs/>
                <w:color w:val="auto"/>
                <w:spacing w:val="0"/>
                <w:w w:val="100"/>
                <w:kern w:val="0"/>
                <w:position w:val="0"/>
                <w:sz w:val="23"/>
                <w:szCs w:val="23"/>
              </w:rPr>
              <w:t>浓度(μg/m³)</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rPr>
            </w:pPr>
            <w:r>
              <w:rPr>
                <w:rFonts w:hint="default" w:ascii="Times New Roman" w:hAnsi="Times New Roman" w:eastAsia="宋体" w:cs="Times New Roman"/>
                <w:b/>
                <w:bCs/>
                <w:color w:val="auto"/>
                <w:spacing w:val="0"/>
                <w:w w:val="100"/>
                <w:kern w:val="0"/>
                <w:position w:val="0"/>
                <w:sz w:val="23"/>
                <w:szCs w:val="23"/>
              </w:rPr>
              <w:t>NH</w:t>
            </w:r>
            <w:r>
              <w:rPr>
                <w:rFonts w:hint="default" w:ascii="Times New Roman" w:hAnsi="Times New Roman" w:eastAsia="宋体" w:cs="Times New Roman"/>
                <w:b/>
                <w:bCs/>
                <w:color w:val="auto"/>
                <w:spacing w:val="0"/>
                <w:w w:val="100"/>
                <w:kern w:val="0"/>
                <w:position w:val="0"/>
                <w:sz w:val="23"/>
                <w:szCs w:val="23"/>
                <w:vertAlign w:val="subscript"/>
              </w:rPr>
              <w:t>3</w:t>
            </w:r>
            <w:r>
              <w:rPr>
                <w:rFonts w:hint="default" w:ascii="Times New Roman" w:hAnsi="Times New Roman" w:eastAsia="宋体" w:cs="Times New Roman"/>
                <w:b/>
                <w:bCs/>
                <w:color w:val="auto"/>
                <w:spacing w:val="0"/>
                <w:w w:val="100"/>
                <w:kern w:val="0"/>
                <w:position w:val="0"/>
                <w:sz w:val="23"/>
                <w:szCs w:val="23"/>
              </w:rPr>
              <w:t>占标率(%)</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rPr>
            </w:pPr>
            <w:r>
              <w:rPr>
                <w:rFonts w:hint="default" w:ascii="Times New Roman" w:hAnsi="Times New Roman" w:eastAsia="宋体" w:cs="Times New Roman"/>
                <w:b/>
                <w:bCs/>
                <w:color w:val="auto"/>
                <w:spacing w:val="0"/>
                <w:w w:val="100"/>
                <w:kern w:val="0"/>
                <w:position w:val="0"/>
                <w:sz w:val="23"/>
                <w:szCs w:val="23"/>
              </w:rPr>
              <w:t>H</w:t>
            </w:r>
            <w:r>
              <w:rPr>
                <w:rFonts w:hint="default" w:ascii="Times New Roman" w:hAnsi="Times New Roman" w:eastAsia="宋体" w:cs="Times New Roman"/>
                <w:b/>
                <w:bCs/>
                <w:color w:val="auto"/>
                <w:spacing w:val="0"/>
                <w:w w:val="100"/>
                <w:kern w:val="0"/>
                <w:position w:val="0"/>
                <w:sz w:val="23"/>
                <w:szCs w:val="23"/>
                <w:vertAlign w:val="subscript"/>
              </w:rPr>
              <w:t>2</w:t>
            </w:r>
            <w:r>
              <w:rPr>
                <w:rFonts w:hint="default" w:ascii="Times New Roman" w:hAnsi="Times New Roman" w:eastAsia="宋体" w:cs="Times New Roman"/>
                <w:b/>
                <w:bCs/>
                <w:color w:val="auto"/>
                <w:spacing w:val="0"/>
                <w:w w:val="100"/>
                <w:kern w:val="0"/>
                <w:position w:val="0"/>
                <w:sz w:val="23"/>
                <w:szCs w:val="23"/>
              </w:rPr>
              <w:t>S浓度(μg/m³)</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rPr>
            </w:pPr>
            <w:r>
              <w:rPr>
                <w:rFonts w:hint="default" w:ascii="Times New Roman" w:hAnsi="Times New Roman" w:eastAsia="宋体" w:cs="Times New Roman"/>
                <w:b/>
                <w:bCs/>
                <w:color w:val="auto"/>
                <w:spacing w:val="0"/>
                <w:w w:val="100"/>
                <w:kern w:val="0"/>
                <w:position w:val="0"/>
                <w:sz w:val="23"/>
                <w:szCs w:val="23"/>
              </w:rPr>
              <w:t>H</w:t>
            </w:r>
            <w:r>
              <w:rPr>
                <w:rFonts w:hint="default" w:ascii="Times New Roman" w:hAnsi="Times New Roman" w:eastAsia="宋体" w:cs="Times New Roman"/>
                <w:b/>
                <w:bCs/>
                <w:color w:val="auto"/>
                <w:spacing w:val="0"/>
                <w:w w:val="100"/>
                <w:kern w:val="0"/>
                <w:position w:val="0"/>
                <w:sz w:val="23"/>
                <w:szCs w:val="23"/>
                <w:vertAlign w:val="subscript"/>
              </w:rPr>
              <w:t>2</w:t>
            </w:r>
            <w:r>
              <w:rPr>
                <w:rFonts w:hint="default" w:ascii="Times New Roman" w:hAnsi="Times New Roman" w:eastAsia="宋体" w:cs="Times New Roman"/>
                <w:b/>
                <w:bCs/>
                <w:color w:val="auto"/>
                <w:spacing w:val="0"/>
                <w:w w:val="100"/>
                <w:kern w:val="0"/>
                <w:position w:val="0"/>
                <w:sz w:val="23"/>
                <w:szCs w:val="23"/>
              </w:rPr>
              <w:t>S占标率(%)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50.0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1.88382</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0.94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0.20376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2.04486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1.02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0.22116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200.0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2.36826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1.18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0.25614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2.56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300.0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2.6796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1.34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0.28986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400.0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2.97978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1.49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0.32232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3.22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500.0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3.26934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1.63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0.35364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600.0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3.48222</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1.74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0.37662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3.77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700.0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3.59268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1.80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0.38862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3.89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800.0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3.6279</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1.81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0.3924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3.92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default" w:ascii="Times New Roman" w:hAnsi="Times New Roman" w:eastAsia="宋体" w:cs="Times New Roman"/>
                <w:b w:val="0"/>
                <w:color w:val="auto"/>
                <w:spacing w:val="0"/>
                <w:w w:val="100"/>
                <w:kern w:val="0"/>
                <w:position w:val="0"/>
                <w:sz w:val="23"/>
                <w:szCs w:val="23"/>
                <w:lang w:val="en-US" w:eastAsia="zh-CN"/>
              </w:rPr>
              <w:t>825.0</w:t>
            </w:r>
          </w:p>
        </w:tc>
        <w:tc>
          <w:tcPr>
            <w:tcW w:w="1898" w:type="dxa"/>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3.62874</w:t>
            </w:r>
          </w:p>
        </w:tc>
        <w:tc>
          <w:tcPr>
            <w:tcW w:w="1513" w:type="dxa"/>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1.81 </w:t>
            </w:r>
          </w:p>
        </w:tc>
        <w:tc>
          <w:tcPr>
            <w:tcW w:w="1898" w:type="dxa"/>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0.39252</w:t>
            </w:r>
          </w:p>
        </w:tc>
        <w:tc>
          <w:tcPr>
            <w:tcW w:w="1514" w:type="dxa"/>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3.92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900.0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3.618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1.81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0.39132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3.91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3.52818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1.76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0.3816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3.82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1200.0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3.46512</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1.73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0.37482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3.75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1400.0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3.3279</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1.66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0.35994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3.60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1600.0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3.19044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1.60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0.34506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1800.0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3.0549</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1.53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0.33042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2000.0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2.92908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1.46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0.3168</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2</w:t>
            </w:r>
            <w:r>
              <w:rPr>
                <w:rFonts w:hint="default" w:ascii="Times New Roman" w:hAnsi="Times New Roman" w:eastAsia="宋体" w:cs="Times New Roman"/>
                <w:b w:val="0"/>
                <w:color w:val="auto"/>
                <w:spacing w:val="0"/>
                <w:w w:val="100"/>
                <w:kern w:val="0"/>
                <w:position w:val="0"/>
                <w:sz w:val="23"/>
                <w:szCs w:val="23"/>
                <w:lang w:val="en-US" w:eastAsia="zh-CN"/>
              </w:rPr>
              <w:t>5</w:t>
            </w:r>
            <w:r>
              <w:rPr>
                <w:rFonts w:hint="default" w:ascii="Times New Roman" w:hAnsi="Times New Roman" w:eastAsia="宋体" w:cs="Times New Roman"/>
                <w:b w:val="0"/>
                <w:color w:val="auto"/>
                <w:spacing w:val="0"/>
                <w:w w:val="100"/>
                <w:kern w:val="0"/>
                <w:position w:val="0"/>
                <w:sz w:val="23"/>
                <w:szCs w:val="23"/>
              </w:rPr>
              <w:t>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2.68164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1.34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0.29004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3000.0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2.4765</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1.24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0.26784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2.68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3500.0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2.30286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1.15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0.24906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2.49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4000.0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2.15136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1.08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0.23268</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4500.0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2.04828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1.02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0.22152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2.22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5000.0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1.9704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0.99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0.21312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2.13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10000.0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1.36812</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0.68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0.14796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1.48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11000.0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1.28724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0.64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0.13926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1.39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12000.0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1.21236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0.61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0.13116</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13000.0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1.14378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0.57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0.12372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14000.0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1.08108</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0.54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0.11694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15000.0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1.0236</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0.51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0.1107</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20000.0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0.86934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0.43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0.09402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0.94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25000.0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0.68994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0.34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0.07464</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0.75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下风向最大浓度</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3.62874</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1.81 </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0.39252</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pacing w:val="0"/>
                <w:w w:val="100"/>
                <w:kern w:val="0"/>
                <w:position w:val="0"/>
                <w:sz w:val="23"/>
                <w:szCs w:val="23"/>
                <w:lang w:val="en-US" w:eastAsia="zh-CN"/>
              </w:rPr>
            </w:pPr>
            <w:r>
              <w:rPr>
                <w:rFonts w:hint="eastAsia" w:ascii="Times New Roman" w:hAnsi="Times New Roman" w:eastAsia="宋体" w:cs="Times New Roman"/>
                <w:b w:val="0"/>
                <w:color w:val="auto"/>
                <w:spacing w:val="0"/>
                <w:w w:val="100"/>
                <w:kern w:val="0"/>
                <w:position w:val="0"/>
                <w:sz w:val="23"/>
                <w:szCs w:val="23"/>
                <w:lang w:val="en-US" w:eastAsia="zh-CN"/>
              </w:rPr>
              <w:t xml:space="preserve">3.92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下风向最大浓度出现距离</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lang w:val="en-US" w:eastAsia="zh-CN"/>
              </w:rPr>
              <w:t>825</w:t>
            </w:r>
            <w:r>
              <w:rPr>
                <w:rFonts w:hint="default" w:ascii="Times New Roman" w:hAnsi="Times New Roman" w:eastAsia="宋体" w:cs="Times New Roman"/>
                <w:b w:val="0"/>
                <w:color w:val="auto"/>
                <w:spacing w:val="0"/>
                <w:w w:val="100"/>
                <w:kern w:val="0"/>
                <w:position w:val="0"/>
                <w:sz w:val="23"/>
                <w:szCs w:val="23"/>
              </w:rPr>
              <w:t>.0</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lang w:val="en-US" w:eastAsia="zh-CN"/>
              </w:rPr>
              <w:t>825</w:t>
            </w:r>
            <w:r>
              <w:rPr>
                <w:rFonts w:hint="default" w:ascii="Times New Roman" w:hAnsi="Times New Roman" w:eastAsia="宋体" w:cs="Times New Roman"/>
                <w:b w:val="0"/>
                <w:color w:val="auto"/>
                <w:spacing w:val="0"/>
                <w:w w:val="100"/>
                <w:kern w:val="0"/>
                <w:position w:val="0"/>
                <w:sz w:val="23"/>
                <w:szCs w:val="23"/>
              </w:rPr>
              <w:t>.0</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lang w:val="en-US" w:eastAsia="zh-CN"/>
              </w:rPr>
              <w:t>825</w:t>
            </w:r>
            <w:r>
              <w:rPr>
                <w:rFonts w:hint="default" w:ascii="Times New Roman" w:hAnsi="Times New Roman" w:eastAsia="宋体" w:cs="Times New Roman"/>
                <w:b w:val="0"/>
                <w:color w:val="auto"/>
                <w:spacing w:val="0"/>
                <w:w w:val="100"/>
                <w:kern w:val="0"/>
                <w:position w:val="0"/>
                <w:sz w:val="23"/>
                <w:szCs w:val="23"/>
              </w:rPr>
              <w:t>.0</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lang w:val="en-US" w:eastAsia="zh-CN"/>
              </w:rPr>
              <w:t>825</w:t>
            </w:r>
            <w:r>
              <w:rPr>
                <w:rFonts w:hint="default" w:ascii="Times New Roman" w:hAnsi="Times New Roman" w:eastAsia="宋体" w:cs="Times New Roman"/>
                <w:b w:val="0"/>
                <w:color w:val="auto"/>
                <w:spacing w:val="0"/>
                <w:w w:val="100"/>
                <w:kern w:val="0"/>
                <w:position w:val="0"/>
                <w:sz w:val="23"/>
                <w:szCs w:val="23"/>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D10%最远距离</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w:t>
            </w:r>
          </w:p>
        </w:tc>
        <w:tc>
          <w:tcPr>
            <w:tcW w:w="1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b w:val="0"/>
                <w:color w:val="auto"/>
                <w:spacing w:val="0"/>
                <w:w w:val="100"/>
                <w:kern w:val="0"/>
                <w:position w:val="0"/>
                <w:sz w:val="23"/>
                <w:szCs w:val="23"/>
              </w:rPr>
              <w:t>/</w:t>
            </w:r>
          </w:p>
        </w:tc>
      </w:tr>
    </w:tbl>
    <w:p>
      <w:pPr>
        <w:ind w:firstLine="420" w:firstLineChars="200"/>
        <w:jc w:val="both"/>
        <w:rPr>
          <w:rFonts w:hint="default" w:ascii="Times New Roman" w:hAnsi="Times New Roman" w:eastAsia="宋体" w:cs="Times New Roman"/>
          <w:b w:val="0"/>
          <w:bCs/>
          <w:color w:val="auto"/>
          <w:spacing w:val="0"/>
          <w:w w:val="100"/>
          <w:kern w:val="0"/>
          <w:position w:val="0"/>
          <w:sz w:val="21"/>
          <w:szCs w:val="21"/>
          <w:highlight w:val="none"/>
          <w:lang w:val="en-US" w:eastAsia="zh-CN" w:bidi="ar-SA"/>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表5.1-5   堆粪棚NH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和H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S估算模式计算结果一览表（面源）</w:t>
      </w:r>
    </w:p>
    <w:tbl>
      <w:tblPr>
        <w:tblStyle w:val="25"/>
        <w:tblW w:w="493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663"/>
        <w:gridCol w:w="1991"/>
        <w:gridCol w:w="1686"/>
        <w:gridCol w:w="1894"/>
        <w:gridCol w:w="15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下风向距离</w:t>
            </w:r>
          </w:p>
        </w:tc>
        <w:tc>
          <w:tcPr>
            <w:tcW w:w="716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lang w:eastAsia="zh-CN"/>
              </w:rPr>
            </w:pPr>
            <w:r>
              <w:rPr>
                <w:rFonts w:hint="default" w:ascii="Times New Roman" w:hAnsi="Times New Roman" w:cs="Times New Roman"/>
                <w:b/>
                <w:bCs/>
                <w:color w:val="auto"/>
                <w:spacing w:val="0"/>
                <w:w w:val="100"/>
                <w:kern w:val="0"/>
                <w:position w:val="0"/>
                <w:sz w:val="21"/>
                <w:szCs w:val="21"/>
                <w:highlight w:val="none"/>
                <w:lang w:eastAsia="zh-CN"/>
              </w:rPr>
              <w:t>堆粪棚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p>
        </w:tc>
        <w:tc>
          <w:tcPr>
            <w:tcW w:w="1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NH</w:t>
            </w:r>
            <w:r>
              <w:rPr>
                <w:rFonts w:hint="default" w:ascii="Times New Roman" w:hAnsi="Times New Roman" w:eastAsia="宋体" w:cs="Times New Roman"/>
                <w:b/>
                <w:bCs/>
                <w:color w:val="auto"/>
                <w:spacing w:val="0"/>
                <w:w w:val="100"/>
                <w:kern w:val="0"/>
                <w:position w:val="0"/>
                <w:sz w:val="21"/>
                <w:szCs w:val="21"/>
                <w:highlight w:val="none"/>
                <w:vertAlign w:val="subscript"/>
              </w:rPr>
              <w:t>3</w:t>
            </w:r>
            <w:r>
              <w:rPr>
                <w:rFonts w:hint="default" w:ascii="Times New Roman" w:hAnsi="Times New Roman" w:eastAsia="宋体" w:cs="Times New Roman"/>
                <w:b/>
                <w:bCs/>
                <w:color w:val="auto"/>
                <w:spacing w:val="0"/>
                <w:w w:val="100"/>
                <w:kern w:val="0"/>
                <w:position w:val="0"/>
                <w:sz w:val="21"/>
                <w:szCs w:val="21"/>
                <w:highlight w:val="none"/>
              </w:rPr>
              <w:t>浓度(μg/m³)</w:t>
            </w:r>
          </w:p>
        </w:tc>
        <w:tc>
          <w:tcPr>
            <w:tcW w:w="16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NH</w:t>
            </w:r>
            <w:r>
              <w:rPr>
                <w:rFonts w:hint="default" w:ascii="Times New Roman" w:hAnsi="Times New Roman" w:eastAsia="宋体" w:cs="Times New Roman"/>
                <w:b/>
                <w:bCs/>
                <w:color w:val="auto"/>
                <w:spacing w:val="0"/>
                <w:w w:val="100"/>
                <w:kern w:val="0"/>
                <w:position w:val="0"/>
                <w:sz w:val="21"/>
                <w:szCs w:val="21"/>
                <w:highlight w:val="none"/>
                <w:vertAlign w:val="subscript"/>
              </w:rPr>
              <w:t>3</w:t>
            </w:r>
            <w:r>
              <w:rPr>
                <w:rFonts w:hint="default" w:ascii="Times New Roman" w:hAnsi="Times New Roman" w:eastAsia="宋体" w:cs="Times New Roman"/>
                <w:b/>
                <w:bCs/>
                <w:color w:val="auto"/>
                <w:spacing w:val="0"/>
                <w:w w:val="100"/>
                <w:kern w:val="0"/>
                <w:position w:val="0"/>
                <w:sz w:val="21"/>
                <w:szCs w:val="21"/>
                <w:highlight w:val="none"/>
              </w:rPr>
              <w:t>占标率(%)</w:t>
            </w:r>
          </w:p>
        </w:tc>
        <w:tc>
          <w:tcPr>
            <w:tcW w:w="1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H</w:t>
            </w:r>
            <w:r>
              <w:rPr>
                <w:rFonts w:hint="default" w:ascii="Times New Roman" w:hAnsi="Times New Roman" w:eastAsia="宋体" w:cs="Times New Roman"/>
                <w:b/>
                <w:bCs/>
                <w:color w:val="auto"/>
                <w:spacing w:val="0"/>
                <w:w w:val="100"/>
                <w:kern w:val="0"/>
                <w:position w:val="0"/>
                <w:sz w:val="21"/>
                <w:szCs w:val="21"/>
                <w:highlight w:val="none"/>
                <w:vertAlign w:val="subscript"/>
              </w:rPr>
              <w:t>2</w:t>
            </w:r>
            <w:r>
              <w:rPr>
                <w:rFonts w:hint="default" w:ascii="Times New Roman" w:hAnsi="Times New Roman" w:eastAsia="宋体" w:cs="Times New Roman"/>
                <w:b/>
                <w:bCs/>
                <w:color w:val="auto"/>
                <w:spacing w:val="0"/>
                <w:w w:val="100"/>
                <w:kern w:val="0"/>
                <w:position w:val="0"/>
                <w:sz w:val="21"/>
                <w:szCs w:val="21"/>
                <w:highlight w:val="none"/>
              </w:rPr>
              <w:t>S浓度(μg/m³)</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H</w:t>
            </w:r>
            <w:r>
              <w:rPr>
                <w:rFonts w:hint="default" w:ascii="Times New Roman" w:hAnsi="Times New Roman" w:eastAsia="宋体" w:cs="Times New Roman"/>
                <w:b/>
                <w:bCs/>
                <w:color w:val="auto"/>
                <w:spacing w:val="0"/>
                <w:w w:val="100"/>
                <w:kern w:val="0"/>
                <w:position w:val="0"/>
                <w:sz w:val="21"/>
                <w:szCs w:val="21"/>
                <w:highlight w:val="none"/>
                <w:vertAlign w:val="subscript"/>
              </w:rPr>
              <w:t>2</w:t>
            </w:r>
            <w:r>
              <w:rPr>
                <w:rFonts w:hint="default" w:ascii="Times New Roman" w:hAnsi="Times New Roman" w:eastAsia="宋体" w:cs="Times New Roman"/>
                <w:b/>
                <w:bCs/>
                <w:color w:val="auto"/>
                <w:spacing w:val="0"/>
                <w:w w:val="100"/>
                <w:kern w:val="0"/>
                <w:position w:val="0"/>
                <w:sz w:val="21"/>
                <w:szCs w:val="21"/>
                <w:highlight w:val="none"/>
              </w:rPr>
              <w:t>S占标率(%)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1.88382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0.94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0.20376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lang w:val="en-US" w:eastAsia="zh-CN"/>
              </w:rPr>
              <w:t>95.0</w:t>
            </w:r>
          </w:p>
        </w:tc>
        <w:tc>
          <w:tcPr>
            <w:tcW w:w="1991"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3.6867</w:t>
            </w:r>
          </w:p>
        </w:tc>
        <w:tc>
          <w:tcPr>
            <w:tcW w:w="1686"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1.84 </w:t>
            </w:r>
          </w:p>
        </w:tc>
        <w:tc>
          <w:tcPr>
            <w:tcW w:w="1894"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0.32328</w:t>
            </w:r>
          </w:p>
        </w:tc>
        <w:tc>
          <w:tcPr>
            <w:tcW w:w="1589"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3.23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3.68148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1.84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0.32286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3.23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3.09876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1.55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0.27174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2.72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2.51256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1.26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0.22032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2.20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2.27562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1.14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0.19956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2.00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2.06352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1.03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0.18096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1.81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600.0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1.878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0.94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0.1647</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1.65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700.0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1.7187</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0.86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0.15072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1.51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800.0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1.57908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0.79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0.13848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1.38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900.0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1.45824</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0.12786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1.28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1.35348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0.68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0.11868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1.17786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0.59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0.10326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1.03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1.0596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0.09294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1600.0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0.95466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0.48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0.0837</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0.84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1800.0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0.86928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0.0762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0.7968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0.40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0.0699</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0.65622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0.05754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0.57822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0.29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0.0507</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0.51666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0.26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0.0453</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0.46602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0.23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0.04086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0.4245</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0.21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0.0372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0.39126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0.20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0.03432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0.22344</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0.11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0.01962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11000.0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0.20526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0.10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0.1896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0.01662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13000.0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0.17598</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0.01542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0.1641</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0.0144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0.15354</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0.01344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0.11532</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0.06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0.01014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0.09156</w:t>
            </w:r>
          </w:p>
        </w:tc>
        <w:tc>
          <w:tcPr>
            <w:tcW w:w="1686"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0.05 </w:t>
            </w:r>
          </w:p>
        </w:tc>
        <w:tc>
          <w:tcPr>
            <w:tcW w:w="1894"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0.00804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w:t>
            </w:r>
          </w:p>
        </w:tc>
        <w:tc>
          <w:tcPr>
            <w:tcW w:w="1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1.88382</w:t>
            </w:r>
          </w:p>
        </w:tc>
        <w:tc>
          <w:tcPr>
            <w:tcW w:w="16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0.94 </w:t>
            </w:r>
          </w:p>
        </w:tc>
        <w:tc>
          <w:tcPr>
            <w:tcW w:w="1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0.20376</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下风向最大浓度出现距离</w:t>
            </w:r>
          </w:p>
        </w:tc>
        <w:tc>
          <w:tcPr>
            <w:tcW w:w="1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95</w:t>
            </w:r>
            <w:r>
              <w:rPr>
                <w:rFonts w:hint="default" w:ascii="Times New Roman" w:hAnsi="Times New Roman" w:eastAsia="宋体" w:cs="Times New Roman"/>
                <w:b w:val="0"/>
                <w:color w:val="auto"/>
                <w:spacing w:val="0"/>
                <w:w w:val="100"/>
                <w:kern w:val="0"/>
                <w:position w:val="0"/>
                <w:sz w:val="21"/>
                <w:szCs w:val="21"/>
                <w:highlight w:val="none"/>
              </w:rPr>
              <w:t>.0</w:t>
            </w:r>
          </w:p>
        </w:tc>
        <w:tc>
          <w:tcPr>
            <w:tcW w:w="16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95</w:t>
            </w:r>
            <w:r>
              <w:rPr>
                <w:rFonts w:hint="default" w:ascii="Times New Roman" w:hAnsi="Times New Roman" w:eastAsia="宋体" w:cs="Times New Roman"/>
                <w:b w:val="0"/>
                <w:color w:val="auto"/>
                <w:spacing w:val="0"/>
                <w:w w:val="100"/>
                <w:kern w:val="0"/>
                <w:position w:val="0"/>
                <w:sz w:val="21"/>
                <w:szCs w:val="21"/>
                <w:highlight w:val="none"/>
              </w:rPr>
              <w:t>.0</w:t>
            </w:r>
          </w:p>
        </w:tc>
        <w:tc>
          <w:tcPr>
            <w:tcW w:w="1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95</w:t>
            </w:r>
            <w:r>
              <w:rPr>
                <w:rFonts w:hint="default" w:ascii="Times New Roman" w:hAnsi="Times New Roman" w:eastAsia="宋体" w:cs="Times New Roman"/>
                <w:b w:val="0"/>
                <w:color w:val="auto"/>
                <w:spacing w:val="0"/>
                <w:w w:val="100"/>
                <w:kern w:val="0"/>
                <w:position w:val="0"/>
                <w:sz w:val="21"/>
                <w:szCs w:val="21"/>
                <w:highlight w:val="none"/>
              </w:rPr>
              <w:t>.0</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95</w:t>
            </w:r>
            <w:r>
              <w:rPr>
                <w:rFonts w:hint="default" w:ascii="Times New Roman" w:hAnsi="Times New Roman" w:eastAsia="宋体" w:cs="Times New Roman"/>
                <w:b w:val="0"/>
                <w:color w:val="auto"/>
                <w:spacing w:val="0"/>
                <w:w w:val="100"/>
                <w:kern w:val="0"/>
                <w:position w:val="0"/>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63"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D10%最远距离</w:t>
            </w:r>
          </w:p>
        </w:tc>
        <w:tc>
          <w:tcPr>
            <w:tcW w:w="1991"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686"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894"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589"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表5.1-6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污水处理站NH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和H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2</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S估算模式计算结果一览表（面源）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88"/>
        <w:gridCol w:w="1991"/>
        <w:gridCol w:w="1741"/>
        <w:gridCol w:w="1839"/>
        <w:gridCol w:w="15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下风向距离</w:t>
            </w:r>
          </w:p>
        </w:tc>
        <w:tc>
          <w:tcPr>
            <w:tcW w:w="716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污水处理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p>
        </w:tc>
        <w:tc>
          <w:tcPr>
            <w:tcW w:w="1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NH</w:t>
            </w:r>
            <w:r>
              <w:rPr>
                <w:rFonts w:hint="default" w:ascii="Times New Roman" w:hAnsi="Times New Roman" w:eastAsia="宋体" w:cs="Times New Roman"/>
                <w:b/>
                <w:bCs/>
                <w:color w:val="auto"/>
                <w:spacing w:val="0"/>
                <w:w w:val="100"/>
                <w:kern w:val="0"/>
                <w:position w:val="0"/>
                <w:sz w:val="21"/>
                <w:szCs w:val="21"/>
                <w:highlight w:val="none"/>
                <w:vertAlign w:val="subscript"/>
              </w:rPr>
              <w:t>3</w:t>
            </w:r>
            <w:r>
              <w:rPr>
                <w:rFonts w:hint="default" w:ascii="Times New Roman" w:hAnsi="Times New Roman" w:eastAsia="宋体" w:cs="Times New Roman"/>
                <w:b/>
                <w:bCs/>
                <w:color w:val="auto"/>
                <w:spacing w:val="0"/>
                <w:w w:val="100"/>
                <w:kern w:val="0"/>
                <w:position w:val="0"/>
                <w:sz w:val="21"/>
                <w:szCs w:val="21"/>
                <w:highlight w:val="none"/>
              </w:rPr>
              <w:t>浓度(μg/m³)</w:t>
            </w:r>
          </w:p>
        </w:tc>
        <w:tc>
          <w:tcPr>
            <w:tcW w:w="1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NH</w:t>
            </w:r>
            <w:r>
              <w:rPr>
                <w:rFonts w:hint="default" w:ascii="Times New Roman" w:hAnsi="Times New Roman" w:eastAsia="宋体" w:cs="Times New Roman"/>
                <w:b/>
                <w:bCs/>
                <w:color w:val="auto"/>
                <w:spacing w:val="0"/>
                <w:w w:val="100"/>
                <w:kern w:val="0"/>
                <w:position w:val="0"/>
                <w:sz w:val="21"/>
                <w:szCs w:val="21"/>
                <w:highlight w:val="none"/>
                <w:vertAlign w:val="subscript"/>
              </w:rPr>
              <w:t>3</w:t>
            </w:r>
            <w:r>
              <w:rPr>
                <w:rFonts w:hint="default" w:ascii="Times New Roman" w:hAnsi="Times New Roman" w:eastAsia="宋体" w:cs="Times New Roman"/>
                <w:b/>
                <w:bCs/>
                <w:color w:val="auto"/>
                <w:spacing w:val="0"/>
                <w:w w:val="100"/>
                <w:kern w:val="0"/>
                <w:position w:val="0"/>
                <w:sz w:val="21"/>
                <w:szCs w:val="21"/>
                <w:highlight w:val="none"/>
              </w:rPr>
              <w:t>占标率(%)</w:t>
            </w:r>
          </w:p>
        </w:tc>
        <w:tc>
          <w:tcPr>
            <w:tcW w:w="1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H</w:t>
            </w:r>
            <w:r>
              <w:rPr>
                <w:rFonts w:hint="default" w:ascii="Times New Roman" w:hAnsi="Times New Roman" w:eastAsia="宋体" w:cs="Times New Roman"/>
                <w:b/>
                <w:bCs/>
                <w:color w:val="auto"/>
                <w:spacing w:val="0"/>
                <w:w w:val="100"/>
                <w:kern w:val="0"/>
                <w:position w:val="0"/>
                <w:sz w:val="21"/>
                <w:szCs w:val="21"/>
                <w:highlight w:val="none"/>
                <w:vertAlign w:val="subscript"/>
              </w:rPr>
              <w:t>2</w:t>
            </w:r>
            <w:r>
              <w:rPr>
                <w:rFonts w:hint="default" w:ascii="Times New Roman" w:hAnsi="Times New Roman" w:eastAsia="宋体" w:cs="Times New Roman"/>
                <w:b/>
                <w:bCs/>
                <w:color w:val="auto"/>
                <w:spacing w:val="0"/>
                <w:w w:val="100"/>
                <w:kern w:val="0"/>
                <w:position w:val="0"/>
                <w:sz w:val="21"/>
                <w:szCs w:val="21"/>
                <w:highlight w:val="none"/>
              </w:rPr>
              <w:t>S浓度(μg/m³)</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H</w:t>
            </w:r>
            <w:r>
              <w:rPr>
                <w:rFonts w:hint="default" w:ascii="Times New Roman" w:hAnsi="Times New Roman" w:eastAsia="宋体" w:cs="Times New Roman"/>
                <w:b/>
                <w:bCs/>
                <w:color w:val="auto"/>
                <w:spacing w:val="0"/>
                <w:w w:val="100"/>
                <w:kern w:val="0"/>
                <w:position w:val="0"/>
                <w:sz w:val="21"/>
                <w:szCs w:val="21"/>
                <w:highlight w:val="none"/>
                <w:vertAlign w:val="subscript"/>
              </w:rPr>
              <w:t>2</w:t>
            </w:r>
            <w:r>
              <w:rPr>
                <w:rFonts w:hint="default" w:ascii="Times New Roman" w:hAnsi="Times New Roman" w:eastAsia="宋体" w:cs="Times New Roman"/>
                <w:b/>
                <w:bCs/>
                <w:color w:val="auto"/>
                <w:spacing w:val="0"/>
                <w:w w:val="100"/>
                <w:kern w:val="0"/>
                <w:position w:val="0"/>
                <w:sz w:val="21"/>
                <w:szCs w:val="21"/>
                <w:highlight w:val="none"/>
              </w:rPr>
              <w:t>S占标率(%)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lang w:val="en-US" w:eastAsia="zh-CN"/>
              </w:rPr>
              <w:t>28.0</w:t>
            </w:r>
          </w:p>
        </w:tc>
        <w:tc>
          <w:tcPr>
            <w:tcW w:w="1991"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5.71752</w:t>
            </w:r>
          </w:p>
        </w:tc>
        <w:tc>
          <w:tcPr>
            <w:tcW w:w="1741"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2.86 </w:t>
            </w:r>
          </w:p>
        </w:tc>
        <w:tc>
          <w:tcPr>
            <w:tcW w:w="1839"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0.2199</w:t>
            </w:r>
          </w:p>
        </w:tc>
        <w:tc>
          <w:tcPr>
            <w:tcW w:w="1589" w:type="dxa"/>
            <w:tcBorders>
              <w:tl2br w:val="nil"/>
              <w:tr2bl w:val="nil"/>
            </w:tcBorders>
            <w:shd w:val="clear" w:color="auto" w:fill="CFCECE" w:themeFill="background2" w:themeFillShade="E5"/>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2.20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rPr>
              <w:t>50.0</w:t>
            </w:r>
          </w:p>
        </w:tc>
        <w:tc>
          <w:tcPr>
            <w:tcW w:w="1991"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5.09538</w:t>
            </w:r>
          </w:p>
        </w:tc>
        <w:tc>
          <w:tcPr>
            <w:tcW w:w="1741"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2.55 </w:t>
            </w:r>
          </w:p>
        </w:tc>
        <w:tc>
          <w:tcPr>
            <w:tcW w:w="1839"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0.19596</w:t>
            </w:r>
          </w:p>
        </w:tc>
        <w:tc>
          <w:tcPr>
            <w:tcW w:w="1589" w:type="dxa"/>
            <w:tcBorders>
              <w:tl2br w:val="nil"/>
              <w:tr2bl w:val="nil"/>
            </w:tcBorders>
            <w:shd w:val="clear" w:color="auto" w:fill="auto"/>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1.96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4.19442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2.10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0.16134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1.61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3.2577</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1.63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0.12528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1.25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2.64324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1.32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0.10164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1.02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2.3529</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1.18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0.09048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2.11518</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1.06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0.08136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0.81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600.0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1.91424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0.96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0.07362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700.0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1.74468</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0.87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0.06708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800.0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1.60074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0.80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0.06156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900.0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1.48476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0.74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0.05712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1.37412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0.69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0.05286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1.19238</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0.04584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1.05984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0.53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0.04074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1600.0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0.95484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0.48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0.03672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1800.0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0.86946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0.43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0.03342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0.79692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0.03066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0.66834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0.33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0.02568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0.57834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0.29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0.02226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0.51678</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0.26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0.01986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0.46614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0.23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0.01794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4500.0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0.42456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0.21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0.01632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0.39132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0.01506</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0.2235</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0.11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0.00858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11000.0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0.20532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0.10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0.00792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0.18966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0.00732</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13000.0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0.17604</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0.00678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0.1641</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0.0063</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0.1536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0.08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0.00588</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0.11538</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0.06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0.00444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25000.0</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0.09156</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0.05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0.00354</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w:t>
            </w:r>
          </w:p>
        </w:tc>
        <w:tc>
          <w:tcPr>
            <w:tcW w:w="199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5.71752</w:t>
            </w:r>
          </w:p>
        </w:tc>
        <w:tc>
          <w:tcPr>
            <w:tcW w:w="1741"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2.86 </w:t>
            </w:r>
          </w:p>
        </w:tc>
        <w:tc>
          <w:tcPr>
            <w:tcW w:w="183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0.2199</w:t>
            </w:r>
          </w:p>
        </w:tc>
        <w:tc>
          <w:tcPr>
            <w:tcW w:w="1589"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2.20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下风向最大浓度出现距离</w:t>
            </w:r>
          </w:p>
        </w:tc>
        <w:tc>
          <w:tcPr>
            <w:tcW w:w="1991"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28</w:t>
            </w:r>
            <w:r>
              <w:rPr>
                <w:rFonts w:hint="default" w:ascii="Times New Roman" w:hAnsi="Times New Roman" w:eastAsia="宋体" w:cs="Times New Roman"/>
                <w:b w:val="0"/>
                <w:color w:val="auto"/>
                <w:spacing w:val="0"/>
                <w:w w:val="100"/>
                <w:kern w:val="0"/>
                <w:position w:val="0"/>
                <w:sz w:val="21"/>
                <w:szCs w:val="21"/>
                <w:highlight w:val="none"/>
              </w:rPr>
              <w:t>.0</w:t>
            </w:r>
          </w:p>
        </w:tc>
        <w:tc>
          <w:tcPr>
            <w:tcW w:w="1741"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28</w:t>
            </w:r>
            <w:r>
              <w:rPr>
                <w:rFonts w:hint="default" w:ascii="Times New Roman" w:hAnsi="Times New Roman" w:eastAsia="宋体" w:cs="Times New Roman"/>
                <w:b w:val="0"/>
                <w:color w:val="auto"/>
                <w:spacing w:val="0"/>
                <w:w w:val="100"/>
                <w:kern w:val="0"/>
                <w:position w:val="0"/>
                <w:sz w:val="21"/>
                <w:szCs w:val="21"/>
                <w:highlight w:val="none"/>
              </w:rPr>
              <w:t>.0</w:t>
            </w:r>
          </w:p>
        </w:tc>
        <w:tc>
          <w:tcPr>
            <w:tcW w:w="1839"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28</w:t>
            </w:r>
            <w:r>
              <w:rPr>
                <w:rFonts w:hint="default" w:ascii="Times New Roman" w:hAnsi="Times New Roman" w:eastAsia="宋体" w:cs="Times New Roman"/>
                <w:b w:val="0"/>
                <w:color w:val="auto"/>
                <w:spacing w:val="0"/>
                <w:w w:val="100"/>
                <w:kern w:val="0"/>
                <w:position w:val="0"/>
                <w:sz w:val="21"/>
                <w:szCs w:val="21"/>
                <w:highlight w:val="none"/>
              </w:rPr>
              <w:t>.0</w:t>
            </w:r>
          </w:p>
        </w:tc>
        <w:tc>
          <w:tcPr>
            <w:tcW w:w="1589"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28</w:t>
            </w:r>
            <w:r>
              <w:rPr>
                <w:rFonts w:hint="default" w:ascii="Times New Roman" w:hAnsi="Times New Roman" w:eastAsia="宋体" w:cs="Times New Roman"/>
                <w:b w:val="0"/>
                <w:color w:val="auto"/>
                <w:spacing w:val="0"/>
                <w:w w:val="100"/>
                <w:kern w:val="0"/>
                <w:position w:val="0"/>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D10%最远距离</w:t>
            </w:r>
          </w:p>
        </w:tc>
        <w:tc>
          <w:tcPr>
            <w:tcW w:w="1991"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741"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839"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1589"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bl>
    <w:p>
      <w:pPr>
        <w:widowControl w:val="0"/>
        <w:ind w:firstLine="480" w:firstLineChars="200"/>
        <w:jc w:val="both"/>
        <w:rPr>
          <w:rFonts w:hint="default" w:ascii="Times New Roman" w:hAnsi="Times New Roman" w:eastAsia="宋体" w:cs="Times New Roman"/>
          <w:b w:val="0"/>
          <w:bCs/>
          <w:color w:val="auto"/>
          <w:spacing w:val="0"/>
          <w:w w:val="100"/>
          <w:kern w:val="0"/>
          <w:position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表5.1-7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饲料加工面源TSP估算模式计算结果一览表（面源）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982"/>
        <w:gridCol w:w="3318"/>
        <w:gridCol w:w="264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下风向距离</w:t>
            </w:r>
          </w:p>
        </w:tc>
        <w:tc>
          <w:tcPr>
            <w:tcW w:w="59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饲料加工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p>
        </w:tc>
        <w:tc>
          <w:tcPr>
            <w:tcW w:w="33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TSP浓度(μg/m³)</w:t>
            </w:r>
          </w:p>
        </w:tc>
        <w:tc>
          <w:tcPr>
            <w:tcW w:w="2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TSP占标率(%)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5"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10.4238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default" w:ascii="Times New Roman" w:hAnsi="Times New Roman" w:eastAsia="宋体" w:cs="Times New Roman"/>
                <w:b w:val="0"/>
                <w:color w:val="auto"/>
                <w:spacing w:val="0"/>
                <w:w w:val="100"/>
                <w:kern w:val="0"/>
                <w:position w:val="0"/>
                <w:sz w:val="21"/>
                <w:szCs w:val="21"/>
                <w:highlight w:val="none"/>
                <w:lang w:val="en-US" w:eastAsia="zh-CN"/>
              </w:rPr>
              <w:t>51.0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10.4778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8.769</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0.97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6.6372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0.74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5.37534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0.60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4.76064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0.53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4.26846</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600.0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3.85446</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0.43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700.0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3.52242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800.0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3.22488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900.0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2.96952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2.74824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0.31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2.38482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2.11968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1600.0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1.90974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0.21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1800.0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1.73892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1.59384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1.31268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1.15668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3500.0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1.03356</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0.93222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0.10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4500.0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0.84912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5000.0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0.78264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10000.0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0.44694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11000.0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0.41058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12000.0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0.37926</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13000.0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0.35208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14000.0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0.3282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15000.0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0.30714</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20000.0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0.2307</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25000.0</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0.18312</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lang w:val="en-US" w:eastAsia="zh-CN"/>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0.02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w:t>
            </w:r>
          </w:p>
        </w:tc>
        <w:tc>
          <w:tcPr>
            <w:tcW w:w="331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10.4778</w:t>
            </w:r>
          </w:p>
        </w:tc>
        <w:tc>
          <w:tcPr>
            <w:tcW w:w="2648" w:type="dxa"/>
            <w:tcBorders>
              <w:tl2br w:val="nil"/>
              <w:tr2bl w:val="nil"/>
            </w:tcBorders>
            <w:vAlign w:val="center"/>
          </w:tcPr>
          <w:p>
            <w:pPr>
              <w:jc w:val="center"/>
              <w:rPr>
                <w:rFonts w:hint="default" w:ascii="Times New Roman" w:hAnsi="Times New Roman" w:eastAsia="宋体" w:cs="Times New Roman"/>
                <w:b w:val="0"/>
                <w:color w:val="auto"/>
                <w:spacing w:val="0"/>
                <w:w w:val="100"/>
                <w:kern w:val="0"/>
                <w:position w:val="0"/>
                <w:sz w:val="21"/>
                <w:szCs w:val="21"/>
                <w:highlight w:val="none"/>
              </w:rPr>
            </w:pPr>
            <w:r>
              <w:rPr>
                <w:rFonts w:hint="eastAsia" w:ascii="Times New Roman" w:hAnsi="Times New Roman" w:eastAsia="宋体" w:cs="Times New Roman"/>
                <w:b w:val="0"/>
                <w:color w:val="auto"/>
                <w:spacing w:val="0"/>
                <w:w w:val="100"/>
                <w:kern w:val="0"/>
                <w:position w:val="0"/>
                <w:sz w:val="21"/>
                <w:szCs w:val="21"/>
                <w:highlight w:val="none"/>
                <w:lang w:val="en-US" w:eastAsia="zh-CN"/>
              </w:rPr>
              <w:t xml:space="preserve">1.16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下风向最大浓度出现距离</w:t>
            </w:r>
          </w:p>
        </w:tc>
        <w:tc>
          <w:tcPr>
            <w:tcW w:w="331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51</w:t>
            </w:r>
            <w:r>
              <w:rPr>
                <w:rFonts w:hint="default" w:ascii="Times New Roman" w:hAnsi="Times New Roman" w:eastAsia="宋体" w:cs="Times New Roman"/>
                <w:b w:val="0"/>
                <w:color w:val="auto"/>
                <w:spacing w:val="0"/>
                <w:w w:val="100"/>
                <w:kern w:val="0"/>
                <w:position w:val="0"/>
                <w:sz w:val="21"/>
                <w:szCs w:val="21"/>
                <w:highlight w:val="none"/>
              </w:rPr>
              <w:t>.0</w:t>
            </w:r>
          </w:p>
        </w:tc>
        <w:tc>
          <w:tcPr>
            <w:tcW w:w="264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lang w:val="en-US" w:eastAsia="zh-CN"/>
              </w:rPr>
              <w:t>51</w:t>
            </w:r>
            <w:r>
              <w:rPr>
                <w:rFonts w:hint="default" w:ascii="Times New Roman" w:hAnsi="Times New Roman" w:eastAsia="宋体" w:cs="Times New Roman"/>
                <w:b w:val="0"/>
                <w:color w:val="auto"/>
                <w:spacing w:val="0"/>
                <w:w w:val="100"/>
                <w:kern w:val="0"/>
                <w:position w:val="0"/>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82"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D10%最远距离</w:t>
            </w:r>
          </w:p>
        </w:tc>
        <w:tc>
          <w:tcPr>
            <w:tcW w:w="331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c>
          <w:tcPr>
            <w:tcW w:w="2648" w:type="dxa"/>
            <w:tcBorders>
              <w:tl2br w:val="nil"/>
              <w:tr2bl w:val="nil"/>
            </w:tcBorders>
            <w:vAlign w:val="center"/>
          </w:tcPr>
          <w:p>
            <w:pPr>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w:t>
            </w:r>
          </w:p>
        </w:tc>
      </w:tr>
    </w:tbl>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s="Times New Roman"/>
          <w:color w:val="auto"/>
          <w:spacing w:val="0"/>
          <w:w w:val="100"/>
          <w:kern w:val="0"/>
          <w:position w:val="0"/>
          <w:sz w:val="24"/>
          <w:szCs w:val="24"/>
          <w:highlight w:val="none"/>
          <w:lang w:val="en-US" w:eastAsia="zh-CN"/>
        </w:rPr>
      </w:pPr>
      <w:r>
        <w:rPr>
          <w:rFonts w:hint="eastAsia" w:ascii="Times New Roman" w:hAnsi="Times New Roman" w:cs="Times New Roman"/>
          <w:color w:val="auto"/>
          <w:spacing w:val="0"/>
          <w:w w:val="100"/>
          <w:kern w:val="0"/>
          <w:position w:val="0"/>
          <w:sz w:val="24"/>
          <w:szCs w:val="24"/>
          <w:highlight w:val="none"/>
          <w:lang w:val="en-US" w:eastAsia="zh-CN"/>
        </w:rPr>
        <w:t>根据预测结果：</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rPr>
        <w:t>项目</w:t>
      </w:r>
      <w:r>
        <w:rPr>
          <w:rFonts w:hint="eastAsia" w:ascii="Times New Roman" w:hAnsi="Times New Roman" w:cs="Times New Roman"/>
          <w:color w:val="auto"/>
          <w:spacing w:val="0"/>
          <w:w w:val="100"/>
          <w:kern w:val="0"/>
          <w:position w:val="0"/>
          <w:sz w:val="24"/>
          <w:szCs w:val="24"/>
          <w:highlight w:val="none"/>
          <w:lang w:val="en-US" w:eastAsia="zh-CN"/>
        </w:rPr>
        <w:t>牛舍</w:t>
      </w: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和H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S的最大落地浓度分别为</w:t>
      </w:r>
      <w:r>
        <w:rPr>
          <w:rFonts w:hint="eastAsia" w:ascii="Times New Roman" w:hAnsi="Times New Roman" w:cs="Times New Roman"/>
          <w:b w:val="0"/>
          <w:color w:val="auto"/>
          <w:spacing w:val="0"/>
          <w:w w:val="100"/>
          <w:kern w:val="0"/>
          <w:position w:val="0"/>
          <w:sz w:val="24"/>
          <w:szCs w:val="24"/>
          <w:lang w:eastAsia="zh-CN"/>
        </w:rPr>
        <w:t>3.62874</w:t>
      </w:r>
      <w:r>
        <w:rPr>
          <w:rFonts w:hint="default" w:ascii="Times New Roman" w:hAnsi="Times New Roman" w:eastAsia="宋体" w:cs="Times New Roman"/>
          <w:color w:val="auto"/>
          <w:spacing w:val="0"/>
          <w:w w:val="100"/>
          <w:kern w:val="0"/>
          <w:position w:val="0"/>
          <w:sz w:val="24"/>
          <w:szCs w:val="24"/>
          <w:highlight w:val="none"/>
        </w:rPr>
        <w:t>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、0.39252ug/m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，最大浓度占标率分别为</w:t>
      </w:r>
      <w:r>
        <w:rPr>
          <w:rFonts w:hint="eastAsia" w:ascii="Times New Roman" w:hAnsi="Times New Roman" w:cs="Times New Roman"/>
          <w:b w:val="0"/>
          <w:color w:val="auto"/>
          <w:spacing w:val="0"/>
          <w:w w:val="100"/>
          <w:kern w:val="0"/>
          <w:position w:val="0"/>
          <w:sz w:val="24"/>
          <w:szCs w:val="24"/>
          <w:lang w:val="en-US" w:eastAsia="zh-CN"/>
        </w:rPr>
        <w:t>1.81</w:t>
      </w:r>
      <w:r>
        <w:rPr>
          <w:rFonts w:hint="default" w:ascii="Times New Roman" w:hAnsi="Times New Roman" w:eastAsia="宋体" w:cs="Times New Roman"/>
          <w:color w:val="auto"/>
          <w:spacing w:val="0"/>
          <w:w w:val="100"/>
          <w:kern w:val="0"/>
          <w:position w:val="0"/>
          <w:sz w:val="24"/>
          <w:szCs w:val="24"/>
          <w:highlight w:val="none"/>
        </w:rPr>
        <w:t>%、</w:t>
      </w:r>
      <w:r>
        <w:rPr>
          <w:rFonts w:hint="eastAsia" w:ascii="Times New Roman" w:hAnsi="Times New Roman" w:cs="Times New Roman"/>
          <w:b w:val="0"/>
          <w:color w:val="auto"/>
          <w:spacing w:val="0"/>
          <w:w w:val="100"/>
          <w:kern w:val="0"/>
          <w:position w:val="0"/>
          <w:sz w:val="24"/>
          <w:szCs w:val="24"/>
          <w:lang w:val="en-US" w:eastAsia="zh-CN"/>
        </w:rPr>
        <w:t>3.92</w:t>
      </w:r>
      <w:r>
        <w:rPr>
          <w:rFonts w:hint="default" w:ascii="Times New Roman" w:hAnsi="Times New Roman" w:eastAsia="宋体" w:cs="Times New Roman"/>
          <w:color w:val="auto"/>
          <w:spacing w:val="0"/>
          <w:w w:val="100"/>
          <w:kern w:val="0"/>
          <w:position w:val="0"/>
          <w:sz w:val="24"/>
          <w:szCs w:val="24"/>
          <w:highlight w:val="none"/>
        </w:rPr>
        <w:t>%；</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和H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S的最大落地浓度分别为3.6867ug/m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、0.32328ug/m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，最大浓度占标率分别为</w:t>
      </w:r>
      <w:r>
        <w:rPr>
          <w:rFonts w:hint="eastAsia" w:ascii="Times New Roman" w:hAnsi="Times New Roman" w:cs="Times New Roman"/>
          <w:b w:val="0"/>
          <w:color w:val="auto"/>
          <w:spacing w:val="0"/>
          <w:w w:val="100"/>
          <w:kern w:val="0"/>
          <w:position w:val="0"/>
          <w:sz w:val="24"/>
          <w:szCs w:val="24"/>
          <w:lang w:val="en-US" w:eastAsia="zh-CN"/>
        </w:rPr>
        <w:t>1.84</w:t>
      </w:r>
      <w:r>
        <w:rPr>
          <w:rFonts w:hint="default" w:ascii="Times New Roman" w:hAnsi="Times New Roman" w:eastAsia="宋体" w:cs="Times New Roman"/>
          <w:color w:val="auto"/>
          <w:spacing w:val="0"/>
          <w:w w:val="100"/>
          <w:kern w:val="0"/>
          <w:position w:val="0"/>
          <w:sz w:val="24"/>
          <w:szCs w:val="24"/>
          <w:highlight w:val="none"/>
        </w:rPr>
        <w:t>%、</w:t>
      </w:r>
      <w:r>
        <w:rPr>
          <w:rFonts w:hint="eastAsia" w:ascii="Times New Roman" w:hAnsi="Times New Roman" w:cs="Times New Roman"/>
          <w:b w:val="0"/>
          <w:color w:val="auto"/>
          <w:spacing w:val="0"/>
          <w:w w:val="100"/>
          <w:kern w:val="0"/>
          <w:position w:val="0"/>
          <w:sz w:val="24"/>
          <w:szCs w:val="24"/>
          <w:lang w:val="en-US" w:eastAsia="zh-CN"/>
        </w:rPr>
        <w:t>3.23</w:t>
      </w:r>
      <w:r>
        <w:rPr>
          <w:rFonts w:hint="default" w:ascii="Times New Roman" w:hAnsi="Times New Roman" w:eastAsia="宋体" w:cs="Times New Roman"/>
          <w:color w:val="auto"/>
          <w:spacing w:val="0"/>
          <w:w w:val="100"/>
          <w:kern w:val="0"/>
          <w:position w:val="0"/>
          <w:sz w:val="24"/>
          <w:szCs w:val="24"/>
          <w:highlight w:val="none"/>
        </w:rPr>
        <w:t>%；</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污水处理站NH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和H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S的最大落地浓度分别为5.71752ug/m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、0.2199ug/m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，最大浓度占标率分别为</w:t>
      </w:r>
      <w:r>
        <w:rPr>
          <w:rFonts w:hint="eastAsia" w:ascii="Times New Roman" w:hAnsi="Times New Roman" w:cs="Times New Roman"/>
          <w:b w:val="0"/>
          <w:color w:val="auto"/>
          <w:spacing w:val="0"/>
          <w:w w:val="100"/>
          <w:kern w:val="0"/>
          <w:position w:val="0"/>
          <w:sz w:val="24"/>
          <w:szCs w:val="24"/>
          <w:lang w:val="en-US" w:eastAsia="zh-CN"/>
        </w:rPr>
        <w:t>2.86</w:t>
      </w:r>
      <w:r>
        <w:rPr>
          <w:rFonts w:hint="default" w:ascii="Times New Roman" w:hAnsi="Times New Roman" w:eastAsia="宋体" w:cs="Times New Roman"/>
          <w:color w:val="auto"/>
          <w:spacing w:val="0"/>
          <w:w w:val="100"/>
          <w:kern w:val="0"/>
          <w:position w:val="0"/>
          <w:sz w:val="24"/>
          <w:szCs w:val="24"/>
          <w:highlight w:val="none"/>
        </w:rPr>
        <w:t>%、</w:t>
      </w:r>
      <w:r>
        <w:rPr>
          <w:rFonts w:hint="eastAsia" w:ascii="Times New Roman" w:hAnsi="Times New Roman" w:cs="Times New Roman"/>
          <w:b w:val="0"/>
          <w:color w:val="auto"/>
          <w:spacing w:val="0"/>
          <w:w w:val="100"/>
          <w:kern w:val="0"/>
          <w:position w:val="0"/>
          <w:sz w:val="24"/>
          <w:szCs w:val="24"/>
          <w:lang w:val="en-US" w:eastAsia="zh-CN"/>
        </w:rPr>
        <w:t>2.2</w:t>
      </w:r>
      <w:r>
        <w:rPr>
          <w:rFonts w:hint="default" w:ascii="Times New Roman" w:hAnsi="Times New Roman" w:eastAsia="宋体" w:cs="Times New Roman"/>
          <w:color w:val="auto"/>
          <w:spacing w:val="0"/>
          <w:w w:val="100"/>
          <w:kern w:val="0"/>
          <w:position w:val="0"/>
          <w:sz w:val="24"/>
          <w:szCs w:val="24"/>
          <w:highlight w:val="none"/>
        </w:rPr>
        <w:t>%；</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和H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S的最大落地浓度均小于《环境影响评价技术导则</w:t>
      </w:r>
      <w:r>
        <w:rPr>
          <w:rFonts w:hint="eastAsia" w:ascii="Times New Roman" w:hAnsi="Times New Roman" w:cs="Times New Roman"/>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24"/>
          <w:highlight w:val="none"/>
        </w:rPr>
        <w:t>大气环境》（HJ2.2-2018）中附录D中其他污染物空气质量浓度限值。</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饲料加工无组织TSP的最大落地浓度为</w:t>
      </w:r>
      <w:r>
        <w:rPr>
          <w:rFonts w:hint="eastAsia" w:ascii="Times New Roman" w:hAnsi="Times New Roman" w:cs="Times New Roman"/>
          <w:b w:val="0"/>
          <w:color w:val="auto"/>
          <w:spacing w:val="0"/>
          <w:w w:val="100"/>
          <w:kern w:val="0"/>
          <w:position w:val="0"/>
          <w:sz w:val="24"/>
          <w:szCs w:val="24"/>
          <w:lang w:val="en-US" w:eastAsia="zh-CN"/>
        </w:rPr>
        <w:t>10.4778</w:t>
      </w:r>
      <w:r>
        <w:rPr>
          <w:rFonts w:hint="default" w:ascii="Times New Roman" w:hAnsi="Times New Roman" w:eastAsia="宋体" w:cs="Times New Roman"/>
          <w:color w:val="auto"/>
          <w:spacing w:val="0"/>
          <w:w w:val="100"/>
          <w:kern w:val="0"/>
          <w:position w:val="0"/>
          <w:sz w:val="24"/>
          <w:szCs w:val="24"/>
          <w:highlight w:val="none"/>
        </w:rPr>
        <w:t>μg/m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，最大浓度占标率为</w:t>
      </w:r>
      <w:r>
        <w:rPr>
          <w:rFonts w:hint="eastAsia" w:ascii="Times New Roman" w:hAnsi="Times New Roman" w:cs="Times New Roman"/>
          <w:b w:val="0"/>
          <w:color w:val="auto"/>
          <w:spacing w:val="0"/>
          <w:w w:val="100"/>
          <w:kern w:val="0"/>
          <w:position w:val="0"/>
          <w:sz w:val="24"/>
          <w:szCs w:val="24"/>
          <w:lang w:val="en-US" w:eastAsia="zh-CN"/>
        </w:rPr>
        <w:t>1.16</w:t>
      </w:r>
      <w:r>
        <w:rPr>
          <w:rFonts w:hint="default" w:ascii="Times New Roman" w:hAnsi="Times New Roman" w:eastAsia="宋体" w:cs="Times New Roman"/>
          <w:color w:val="auto"/>
          <w:spacing w:val="0"/>
          <w:w w:val="100"/>
          <w:kern w:val="0"/>
          <w:position w:val="0"/>
          <w:sz w:val="24"/>
          <w:szCs w:val="24"/>
          <w:highlight w:val="none"/>
        </w:rPr>
        <w:t>%。最大落地浓度小于《大气污染物综合排放标准》（GB16297-1996）表2中二级标准及无组织排放监控浓度限值要求。</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本项目所在区域主导风向为</w:t>
      </w:r>
      <w:r>
        <w:rPr>
          <w:rFonts w:hint="eastAsia" w:ascii="Times New Roman" w:hAnsi="Times New Roman" w:cs="Times New Roman"/>
          <w:color w:val="auto"/>
          <w:spacing w:val="0"/>
          <w:w w:val="100"/>
          <w:kern w:val="0"/>
          <w:position w:val="0"/>
          <w:szCs w:val="24"/>
          <w:highlight w:val="none"/>
          <w:lang w:val="en-US" w:eastAsia="zh-CN"/>
        </w:rPr>
        <w:t>S</w:t>
      </w:r>
      <w:r>
        <w:rPr>
          <w:rFonts w:hint="default" w:ascii="Times New Roman" w:hAnsi="Times New Roman" w:eastAsia="宋体" w:cs="Times New Roman"/>
          <w:color w:val="auto"/>
          <w:spacing w:val="0"/>
          <w:w w:val="100"/>
          <w:kern w:val="0"/>
          <w:position w:val="0"/>
          <w:szCs w:val="24"/>
          <w:highlight w:val="none"/>
        </w:rPr>
        <w:t>，粪污处理区处于项目生活管理区的侧风向，养殖场与生活区其间布置道路、绿化地带等，实现净道和污道分开，互不交叉，可有效减轻恶臭气体对场区内的影响。本项目从源头减缓恶臭；</w:t>
      </w:r>
      <w:r>
        <w:rPr>
          <w:rFonts w:hint="default" w:ascii="Times New Roman" w:hAnsi="Times New Roman" w:eastAsia="宋体" w:cs="Times New Roman"/>
          <w:bCs/>
          <w:color w:val="auto"/>
          <w:spacing w:val="0"/>
          <w:w w:val="100"/>
          <w:kern w:val="0"/>
          <w:position w:val="0"/>
          <w:szCs w:val="24"/>
          <w:highlight w:val="none"/>
        </w:rPr>
        <w:t>定期喷洒除臭剂，牛粪及时清理；</w:t>
      </w:r>
      <w:r>
        <w:rPr>
          <w:rFonts w:hint="default" w:ascii="Times New Roman" w:hAnsi="Times New Roman" w:eastAsia="宋体" w:cs="Times New Roman"/>
          <w:color w:val="auto"/>
          <w:spacing w:val="0"/>
          <w:w w:val="100"/>
          <w:kern w:val="0"/>
          <w:position w:val="0"/>
          <w:szCs w:val="24"/>
          <w:highlight w:val="none"/>
        </w:rPr>
        <w:t>通过加强恶臭污染源管理并严格执行评价提出的污染防治措施，本项目产生的恶臭对周围环境空气质量的影响是可以接受的。</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5.1.2.3卫生防护距离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根据《畜禽养殖业污染防治技术规范》（HJ/T81-2001）中第3节对养殖场选址的要求：</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禁止在下列区域内建设畜禽养殖场：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他区域。新建、改建、扩建的畜禽养殖场应避开规定的禁建区域，在禁建区域附近建设的，应设在规定的禁建区域常年主导风向的下风向或侧风向处，场界与禁建区域边界的最小距离不得小于</w:t>
      </w:r>
      <w:r>
        <w:rPr>
          <w:rFonts w:hint="default" w:ascii="Times New Roman" w:hAnsi="Times New Roman" w:eastAsia="宋体" w:cs="Times New Roman"/>
          <w:color w:val="auto"/>
          <w:spacing w:val="0"/>
          <w:w w:val="100"/>
          <w:kern w:val="0"/>
          <w:position w:val="0"/>
          <w:sz w:val="24"/>
          <w:highlight w:val="none"/>
          <w:lang w:val="en-US" w:eastAsia="zh-CN"/>
        </w:rPr>
        <w:t>500</w:t>
      </w:r>
      <w:r>
        <w:rPr>
          <w:rFonts w:hint="default" w:ascii="Times New Roman" w:hAnsi="Times New Roman" w:eastAsia="宋体" w:cs="Times New Roman"/>
          <w:color w:val="auto"/>
          <w:spacing w:val="0"/>
          <w:w w:val="100"/>
          <w:kern w:val="0"/>
          <w:position w:val="0"/>
          <w:sz w:val="24"/>
          <w:highlight w:val="none"/>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因此，本项目卫生防护距离确定为项目各边界外500m距离。根据现场勘查，项目位于</w:t>
      </w:r>
      <w:r>
        <w:rPr>
          <w:rFonts w:hint="default" w:ascii="Times New Roman" w:hAnsi="Times New Roman" w:eastAsia="宋体" w:cs="Times New Roman"/>
          <w:b w:val="0"/>
          <w:bCs w:val="0"/>
          <w:color w:val="auto"/>
          <w:spacing w:val="0"/>
          <w:w w:val="100"/>
          <w:kern w:val="0"/>
          <w:position w:val="0"/>
          <w:sz w:val="24"/>
          <w:szCs w:val="24"/>
          <w:lang w:val="en-US" w:eastAsia="zh-CN"/>
        </w:rPr>
        <w:t>同心县下马关镇上垣村</w:t>
      </w:r>
      <w:r>
        <w:rPr>
          <w:rFonts w:hint="default" w:ascii="Times New Roman" w:hAnsi="Times New Roman" w:eastAsia="宋体" w:cs="Times New Roman"/>
          <w:color w:val="auto"/>
          <w:spacing w:val="0"/>
          <w:w w:val="100"/>
          <w:kern w:val="0"/>
          <w:position w:val="0"/>
          <w:sz w:val="24"/>
          <w:highlight w:val="none"/>
        </w:rPr>
        <w:t>，距离本项目边界500m范围内无学校、居民区等环境敏感点，符合卫生防护距离要求。今后在规划建设中，本项目卫生防护距离内不得新建居民区、学校、医院等环境敏感点。</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5.1.2.4大气防护距离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本项目废气主要为牧场的恶臭废气和粉碎机的粉尘。根据《环境影响评价技术导则</w:t>
      </w:r>
      <w:r>
        <w:rPr>
          <w:rFonts w:hint="eastAsia" w:ascii="Times New Roman" w:hAnsi="Times New Roman" w:cs="Times New Roman"/>
          <w:color w:val="auto"/>
          <w:spacing w:val="0"/>
          <w:w w:val="100"/>
          <w:kern w:val="0"/>
          <w:position w:val="0"/>
          <w:sz w:val="24"/>
          <w:highlight w:val="none"/>
          <w:lang w:val="en-US" w:eastAsia="zh-CN"/>
        </w:rPr>
        <w:t xml:space="preserve"> </w:t>
      </w:r>
      <w:r>
        <w:rPr>
          <w:rFonts w:hint="default" w:ascii="Times New Roman" w:hAnsi="Times New Roman" w:eastAsia="宋体" w:cs="Times New Roman"/>
          <w:color w:val="auto"/>
          <w:spacing w:val="0"/>
          <w:w w:val="100"/>
          <w:kern w:val="0"/>
          <w:position w:val="0"/>
          <w:sz w:val="24"/>
          <w:highlight w:val="none"/>
        </w:rPr>
        <w:t>大气环境》（HJ2.2-2018）中的相关要求及工程分析给出的污染物排放源强参数，计算结果表明本项目各污染物正常排放情况下短期浓度在厂界外均满足相应环境质量浓度限值，因此，本次评价不需设置大气环境防护距离。</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53" w:name="_Toc3574"/>
      <w:bookmarkStart w:id="854" w:name="_Toc19313"/>
      <w:bookmarkStart w:id="855" w:name="_Toc2978"/>
      <w:bookmarkStart w:id="856" w:name="_Toc21417"/>
      <w:r>
        <w:rPr>
          <w:rFonts w:hint="default" w:ascii="Times New Roman" w:hAnsi="Times New Roman" w:eastAsia="宋体" w:cs="Times New Roman"/>
          <w:snapToGrid w:val="0"/>
          <w:color w:val="auto"/>
          <w:spacing w:val="0"/>
          <w:w w:val="100"/>
          <w:kern w:val="0"/>
          <w:position w:val="0"/>
          <w:sz w:val="28"/>
          <w:szCs w:val="28"/>
          <w:highlight w:val="none"/>
          <w:lang w:val="en-US" w:eastAsia="zh-CN"/>
        </w:rPr>
        <w:t>5.1.3大气环境影响评价小结</w:t>
      </w:r>
      <w:bookmarkEnd w:id="853"/>
      <w:bookmarkEnd w:id="854"/>
      <w:bookmarkEnd w:id="855"/>
      <w:bookmarkEnd w:id="856"/>
    </w:p>
    <w:p>
      <w:pPr>
        <w:pStyle w:val="31"/>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经估算以《环境空气质量标准》（GB3095-2012）、《环境影响评价技术导则 大气环境》（HJ2.2-2018）附录D相应浓度限值标准要求判定，特征污染物最大落地浓度贡献值满足标准要求。</w:t>
      </w:r>
    </w:p>
    <w:p>
      <w:pPr>
        <w:pStyle w:val="31"/>
        <w:snapToGrid w:val="0"/>
        <w:spacing w:line="360" w:lineRule="auto"/>
        <w:ind w:firstLine="480" w:firstLineChars="200"/>
        <w:jc w:val="both"/>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0"/>
          <w:highlight w:val="none"/>
        </w:rPr>
        <w:t>项目大气环境影响评价自查表详见表5.1-</w:t>
      </w:r>
      <w:r>
        <w:rPr>
          <w:rFonts w:hint="eastAsia" w:ascii="Times New Roman" w:hAnsi="Times New Roman" w:cs="Times New Roman"/>
          <w:color w:val="auto"/>
          <w:spacing w:val="0"/>
          <w:w w:val="100"/>
          <w:kern w:val="0"/>
          <w:position w:val="0"/>
          <w:szCs w:val="20"/>
          <w:highlight w:val="none"/>
          <w:lang w:val="en-US" w:eastAsia="zh-CN"/>
        </w:rPr>
        <w:t>8</w:t>
      </w:r>
      <w:r>
        <w:rPr>
          <w:rFonts w:hint="default" w:ascii="Times New Roman" w:hAnsi="Times New Roman" w:eastAsia="宋体" w:cs="Times New Roman"/>
          <w:color w:val="auto"/>
          <w:spacing w:val="0"/>
          <w:w w:val="100"/>
          <w:kern w:val="0"/>
          <w:position w:val="0"/>
          <w:szCs w:val="2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表5.1-</w:t>
      </w:r>
      <w:r>
        <w:rPr>
          <w:rFonts w:hint="eastAsia" w:ascii="Times New Roman" w:hAnsi="Times New Roman" w:cs="Times New Roman"/>
          <w:b/>
          <w:bCs w:val="0"/>
          <w:color w:val="auto"/>
          <w:spacing w:val="0"/>
          <w:w w:val="100"/>
          <w:kern w:val="0"/>
          <w:position w:val="0"/>
          <w:sz w:val="24"/>
          <w:szCs w:val="24"/>
          <w:highlight w:val="none"/>
          <w:lang w:val="en-US" w:eastAsia="zh-CN" w:bidi="ar-SA"/>
        </w:rPr>
        <w:t>8</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建设项目大气环境影响评价自查表</w:t>
      </w:r>
    </w:p>
    <w:tbl>
      <w:tblPr>
        <w:tblStyle w:val="25"/>
        <w:tblW w:w="48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247"/>
        <w:gridCol w:w="1003"/>
        <w:gridCol w:w="66"/>
        <w:gridCol w:w="604"/>
        <w:gridCol w:w="158"/>
        <w:gridCol w:w="355"/>
        <w:gridCol w:w="245"/>
        <w:gridCol w:w="469"/>
        <w:gridCol w:w="55"/>
        <w:gridCol w:w="324"/>
        <w:gridCol w:w="592"/>
        <w:gridCol w:w="592"/>
        <w:gridCol w:w="637"/>
        <w:gridCol w:w="116"/>
        <w:gridCol w:w="320"/>
        <w:gridCol w:w="378"/>
        <w:gridCol w:w="8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997" w:type="dxa"/>
            <w:gridSpan w:val="2"/>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工作内容</w:t>
            </w:r>
          </w:p>
        </w:tc>
        <w:tc>
          <w:tcPr>
            <w:tcW w:w="6762" w:type="dxa"/>
            <w:gridSpan w:val="1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评价等级与范围</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评价等级</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一级□</w:t>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二级</w:t>
            </w:r>
            <w:r>
              <w:rPr>
                <w:rFonts w:hint="default" w:ascii="Times New Roman" w:hAnsi="Times New Roman" w:eastAsia="宋体" w:cs="Times New Roman"/>
                <w:color w:val="auto"/>
                <w:spacing w:val="0"/>
                <w:w w:val="100"/>
                <w:kern w:val="0"/>
                <w:position w:val="0"/>
                <w:sz w:val="21"/>
                <w:szCs w:val="21"/>
                <w:highlight w:val="none"/>
              </w:rPr>
              <w:sym w:font="Wingdings 2" w:char="0052"/>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评价范围</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边长=50km□</w:t>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边长=5~50km□</w:t>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边长=5km</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评价因子</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+NO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排放量</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≥2000t/a□</w:t>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500~2000t/a□</w:t>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＜500t/a</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评价因子</w:t>
            </w:r>
          </w:p>
        </w:tc>
        <w:tc>
          <w:tcPr>
            <w:tcW w:w="3871" w:type="dxa"/>
            <w:gridSpan w:val="10"/>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基本污染物（SO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、NO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、PM</w:t>
            </w:r>
            <w:r>
              <w:rPr>
                <w:rFonts w:hint="default" w:ascii="Times New Roman" w:hAnsi="Times New Roman" w:eastAsia="宋体" w:cs="Times New Roman"/>
                <w:color w:val="auto"/>
                <w:spacing w:val="0"/>
                <w:w w:val="100"/>
                <w:kern w:val="0"/>
                <w:position w:val="0"/>
                <w:sz w:val="21"/>
                <w:szCs w:val="21"/>
                <w:highlight w:val="none"/>
                <w:vertAlign w:val="subscript"/>
              </w:rPr>
              <w:t>10</w:t>
            </w:r>
            <w:r>
              <w:rPr>
                <w:rFonts w:hint="default" w:ascii="Times New Roman" w:hAnsi="Times New Roman" w:eastAsia="宋体" w:cs="Times New Roman"/>
                <w:color w:val="auto"/>
                <w:spacing w:val="0"/>
                <w:w w:val="100"/>
                <w:kern w:val="0"/>
                <w:position w:val="0"/>
                <w:sz w:val="21"/>
                <w:szCs w:val="21"/>
                <w:highlight w:val="none"/>
              </w:rPr>
              <w:t>、PM</w:t>
            </w:r>
            <w:r>
              <w:rPr>
                <w:rFonts w:hint="default" w:ascii="Times New Roman" w:hAnsi="Times New Roman" w:eastAsia="宋体" w:cs="Times New Roman"/>
                <w:color w:val="auto"/>
                <w:spacing w:val="0"/>
                <w:w w:val="100"/>
                <w:kern w:val="0"/>
                <w:position w:val="0"/>
                <w:sz w:val="21"/>
                <w:szCs w:val="21"/>
                <w:highlight w:val="none"/>
                <w:vertAlign w:val="subscript"/>
              </w:rPr>
              <w:t>2.5</w:t>
            </w:r>
            <w:r>
              <w:rPr>
                <w:rFonts w:hint="default" w:ascii="Times New Roman" w:hAnsi="Times New Roman" w:eastAsia="宋体" w:cs="Times New Roman"/>
                <w:color w:val="auto"/>
                <w:spacing w:val="0"/>
                <w:w w:val="100"/>
                <w:kern w:val="0"/>
                <w:position w:val="0"/>
                <w:sz w:val="21"/>
                <w:szCs w:val="21"/>
                <w:highlight w:val="none"/>
              </w:rPr>
              <w:t>、CO、O</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w:t>
            </w:r>
          </w:p>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其它污染物（NH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S、TSP）</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包括二次PM</w:t>
            </w:r>
            <w:r>
              <w:rPr>
                <w:rFonts w:hint="default" w:ascii="Times New Roman" w:hAnsi="Times New Roman" w:eastAsia="宋体" w:cs="Times New Roman"/>
                <w:color w:val="auto"/>
                <w:spacing w:val="0"/>
                <w:w w:val="100"/>
                <w:kern w:val="0"/>
                <w:position w:val="0"/>
                <w:sz w:val="21"/>
                <w:szCs w:val="21"/>
                <w:highlight w:val="none"/>
                <w:vertAlign w:val="subscript"/>
              </w:rPr>
              <w:t>2.5</w:t>
            </w:r>
            <w:r>
              <w:rPr>
                <w:rFonts w:hint="default" w:ascii="Times New Roman" w:hAnsi="Times New Roman" w:eastAsia="宋体" w:cs="Times New Roman"/>
                <w:color w:val="auto"/>
                <w:spacing w:val="0"/>
                <w:w w:val="100"/>
                <w:kern w:val="0"/>
                <w:position w:val="0"/>
                <w:sz w:val="21"/>
                <w:szCs w:val="21"/>
                <w:highlight w:val="none"/>
              </w:rPr>
              <w:t>□</w:t>
            </w:r>
          </w:p>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不包括二次PM</w:t>
            </w:r>
            <w:r>
              <w:rPr>
                <w:rFonts w:hint="default" w:ascii="Times New Roman" w:hAnsi="Times New Roman" w:eastAsia="宋体" w:cs="Times New Roman"/>
                <w:color w:val="auto"/>
                <w:spacing w:val="0"/>
                <w:w w:val="100"/>
                <w:kern w:val="0"/>
                <w:position w:val="0"/>
                <w:sz w:val="21"/>
                <w:szCs w:val="21"/>
                <w:highlight w:val="none"/>
                <w:vertAlign w:val="subscript"/>
              </w:rPr>
              <w:t>2.5</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现状评价</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环境功能区</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一类区□</w:t>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二类区</w:t>
            </w:r>
            <w:r>
              <w:rPr>
                <w:rFonts w:hint="default" w:ascii="Times New Roman" w:hAnsi="Times New Roman" w:eastAsia="宋体" w:cs="Times New Roman"/>
                <w:color w:val="auto"/>
                <w:spacing w:val="0"/>
                <w:w w:val="100"/>
                <w:kern w:val="0"/>
                <w:position w:val="0"/>
                <w:sz w:val="21"/>
                <w:szCs w:val="21"/>
                <w:highlight w:val="none"/>
              </w:rPr>
              <w:sym w:font="Wingdings 2" w:char="0052"/>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一类区和二类区□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评价基准年</w:t>
            </w:r>
          </w:p>
        </w:tc>
        <w:tc>
          <w:tcPr>
            <w:tcW w:w="6762" w:type="dxa"/>
            <w:gridSpan w:val="1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val="en-US" w:eastAsia="zh-CN"/>
              </w:rPr>
              <w:t>20</w:t>
            </w:r>
            <w:r>
              <w:rPr>
                <w:rFonts w:hint="eastAsia" w:ascii="Times New Roman" w:hAnsi="Times New Roman" w:eastAsia="宋体" w:cs="Times New Roman"/>
                <w:color w:val="auto"/>
                <w:spacing w:val="0"/>
                <w:w w:val="100"/>
                <w:kern w:val="0"/>
                <w:position w:val="0"/>
                <w:sz w:val="21"/>
                <w:szCs w:val="21"/>
                <w:highlight w:val="none"/>
                <w:lang w:val="en-US" w:eastAsia="zh-CN"/>
              </w:rPr>
              <w:t>20</w:t>
            </w:r>
            <w:r>
              <w:rPr>
                <w:rFonts w:hint="default" w:ascii="Times New Roman" w:hAnsi="Times New Roman" w:eastAsia="宋体" w:cs="Times New Roman"/>
                <w:color w:val="auto"/>
                <w:spacing w:val="0"/>
                <w:w w:val="100"/>
                <w:kern w:val="0"/>
                <w:position w:val="0"/>
                <w:sz w:val="21"/>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环境空气质量现状调查数据来源</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长期例行监测数据</w:t>
            </w:r>
            <w:r>
              <w:rPr>
                <w:rFonts w:hint="default" w:ascii="Times New Roman" w:hAnsi="Times New Roman" w:eastAsia="宋体" w:cs="Times New Roman"/>
                <w:color w:val="auto"/>
                <w:spacing w:val="0"/>
                <w:w w:val="100"/>
                <w:kern w:val="0"/>
                <w:position w:val="0"/>
                <w:sz w:val="21"/>
                <w:szCs w:val="21"/>
                <w:highlight w:val="none"/>
              </w:rPr>
              <w:sym w:font="Wingdings 2" w:char="00A3"/>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主管部门发布数据</w:t>
            </w:r>
            <w:r>
              <w:rPr>
                <w:rFonts w:hint="default" w:ascii="Times New Roman" w:hAnsi="Times New Roman" w:eastAsia="宋体" w:cs="Times New Roman"/>
                <w:color w:val="auto"/>
                <w:spacing w:val="0"/>
                <w:w w:val="100"/>
                <w:kern w:val="0"/>
                <w:position w:val="0"/>
                <w:sz w:val="21"/>
                <w:szCs w:val="21"/>
                <w:highlight w:val="none"/>
              </w:rPr>
              <w:sym w:font="Wingdings 2" w:char="0052"/>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现状补充监测</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现状评价</w:t>
            </w:r>
          </w:p>
        </w:tc>
        <w:tc>
          <w:tcPr>
            <w:tcW w:w="3871" w:type="dxa"/>
            <w:gridSpan w:val="10"/>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达标区</w:t>
            </w:r>
            <w:r>
              <w:rPr>
                <w:rFonts w:hint="default" w:ascii="Times New Roman" w:hAnsi="Times New Roman" w:eastAsia="宋体" w:cs="Times New Roman"/>
                <w:color w:val="auto"/>
                <w:spacing w:val="0"/>
                <w:w w:val="100"/>
                <w:kern w:val="0"/>
                <w:position w:val="0"/>
                <w:sz w:val="21"/>
                <w:szCs w:val="21"/>
                <w:highlight w:val="none"/>
              </w:rPr>
              <w:sym w:font="Wingdings 2" w:char="0052"/>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污染源调查</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调查内容</w:t>
            </w:r>
          </w:p>
        </w:tc>
        <w:tc>
          <w:tcPr>
            <w:tcW w:w="2431" w:type="dxa"/>
            <w:gridSpan w:val="6"/>
            <w:noWrap w:val="0"/>
            <w:vAlign w:val="center"/>
          </w:tcPr>
          <w:p>
            <w:pPr>
              <w:pStyle w:val="35"/>
              <w:widowControl w:val="0"/>
              <w:snapToGrid w:val="0"/>
              <w:spacing w:line="240" w:lineRule="exact"/>
              <w:ind w:firstLine="0" w:firstLineChars="0"/>
              <w:jc w:val="right"/>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本项目正常排放量</w:t>
            </w:r>
            <w:r>
              <w:rPr>
                <w:rFonts w:hint="default" w:ascii="Times New Roman" w:hAnsi="Times New Roman" w:eastAsia="宋体" w:cs="Times New Roman"/>
                <w:color w:val="auto"/>
                <w:spacing w:val="0"/>
                <w:w w:val="100"/>
                <w:kern w:val="0"/>
                <w:position w:val="0"/>
                <w:sz w:val="21"/>
                <w:szCs w:val="21"/>
                <w:highlight w:val="none"/>
              </w:rPr>
              <w:sym w:font="Wingdings 2" w:char="0052"/>
            </w:r>
          </w:p>
          <w:p>
            <w:pPr>
              <w:pStyle w:val="35"/>
              <w:widowControl w:val="0"/>
              <w:snapToGrid w:val="0"/>
              <w:spacing w:line="240" w:lineRule="exact"/>
              <w:ind w:firstLine="0" w:firstLineChars="0"/>
              <w:jc w:val="right"/>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本项目非正常排放量□</w:t>
            </w:r>
          </w:p>
          <w:p>
            <w:pPr>
              <w:pStyle w:val="35"/>
              <w:widowControl w:val="0"/>
              <w:snapToGrid w:val="0"/>
              <w:spacing w:line="240" w:lineRule="exact"/>
              <w:ind w:firstLine="0" w:firstLineChars="0"/>
              <w:jc w:val="right"/>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现有污染源□</w:t>
            </w:r>
          </w:p>
        </w:tc>
        <w:tc>
          <w:tcPr>
            <w:tcW w:w="1440" w:type="dxa"/>
            <w:gridSpan w:val="4"/>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拟替代污染源</w:t>
            </w:r>
            <w:r>
              <w:rPr>
                <w:rFonts w:hint="default" w:ascii="Times New Roman" w:hAnsi="Times New Roman" w:eastAsia="宋体" w:cs="Times New Roman"/>
                <w:color w:val="auto"/>
                <w:spacing w:val="0"/>
                <w:w w:val="100"/>
                <w:kern w:val="0"/>
                <w:position w:val="0"/>
                <w:sz w:val="21"/>
                <w:szCs w:val="21"/>
                <w:highlight w:val="none"/>
              </w:rPr>
              <w:sym w:font="Wingdings 2" w:char="00A3"/>
            </w:r>
          </w:p>
        </w:tc>
        <w:tc>
          <w:tcPr>
            <w:tcW w:w="1665" w:type="dxa"/>
            <w:gridSpan w:val="4"/>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其它在建、拟建项目污染源□</w:t>
            </w:r>
          </w:p>
        </w:tc>
        <w:tc>
          <w:tcPr>
            <w:tcW w:w="1226" w:type="dxa"/>
            <w:gridSpan w:val="2"/>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大气环境影响预测与评价</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预测模型</w:t>
            </w:r>
          </w:p>
        </w:tc>
        <w:tc>
          <w:tcPr>
            <w:tcW w:w="1069" w:type="dxa"/>
            <w:gridSpan w:val="2"/>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AERMOD</w:t>
            </w:r>
          </w:p>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w:t>
            </w:r>
          </w:p>
        </w:tc>
        <w:tc>
          <w:tcPr>
            <w:tcW w:w="1117" w:type="dxa"/>
            <w:gridSpan w:val="3"/>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ADMS</w:t>
            </w:r>
          </w:p>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w:t>
            </w:r>
          </w:p>
        </w:tc>
        <w:tc>
          <w:tcPr>
            <w:tcW w:w="769" w:type="dxa"/>
            <w:gridSpan w:val="3"/>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AUSTAL2000□</w:t>
            </w:r>
          </w:p>
        </w:tc>
        <w:tc>
          <w:tcPr>
            <w:tcW w:w="916" w:type="dxa"/>
            <w:gridSpan w:val="2"/>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EDMS/AEDT□</w:t>
            </w:r>
          </w:p>
        </w:tc>
        <w:tc>
          <w:tcPr>
            <w:tcW w:w="1345" w:type="dxa"/>
            <w:gridSpan w:val="3"/>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CALPUFF□</w:t>
            </w:r>
          </w:p>
        </w:tc>
        <w:tc>
          <w:tcPr>
            <w:tcW w:w="698" w:type="dxa"/>
            <w:gridSpan w:val="2"/>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网络模型□</w:t>
            </w:r>
          </w:p>
        </w:tc>
        <w:tc>
          <w:tcPr>
            <w:tcW w:w="848"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rPr>
              <w:t>其它</w:t>
            </w:r>
            <w:r>
              <w:rPr>
                <w:rFonts w:hint="eastAsia" w:ascii="Times New Roman" w:hAnsi="Times New Roman" w:eastAsia="宋体" w:cs="Times New Roman"/>
                <w:color w:val="auto"/>
                <w:spacing w:val="0"/>
                <w:w w:val="100"/>
                <w:kern w:val="0"/>
                <w:positio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预测范围</w:t>
            </w:r>
          </w:p>
        </w:tc>
        <w:tc>
          <w:tcPr>
            <w:tcW w:w="2186"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边长=50km□</w:t>
            </w:r>
          </w:p>
        </w:tc>
        <w:tc>
          <w:tcPr>
            <w:tcW w:w="2277"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边长=5~50km□</w:t>
            </w:r>
          </w:p>
        </w:tc>
        <w:tc>
          <w:tcPr>
            <w:tcW w:w="2299"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边长=5km</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预测因子</w:t>
            </w:r>
          </w:p>
        </w:tc>
        <w:tc>
          <w:tcPr>
            <w:tcW w:w="3279" w:type="dxa"/>
            <w:gridSpan w:val="9"/>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预测因子（NH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S、TSP）</w:t>
            </w:r>
          </w:p>
        </w:tc>
        <w:tc>
          <w:tcPr>
            <w:tcW w:w="3483" w:type="dxa"/>
            <w:gridSpan w:val="7"/>
            <w:noWrap w:val="0"/>
            <w:vAlign w:val="center"/>
          </w:tcPr>
          <w:p>
            <w:pPr>
              <w:pStyle w:val="35"/>
              <w:widowControl w:val="0"/>
              <w:snapToGrid w:val="0"/>
              <w:spacing w:line="240" w:lineRule="exact"/>
              <w:ind w:firstLine="0" w:firstLineChars="0"/>
              <w:jc w:val="both"/>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包括二次PM</w:t>
            </w:r>
            <w:r>
              <w:rPr>
                <w:rFonts w:hint="default" w:ascii="Times New Roman" w:hAnsi="Times New Roman" w:eastAsia="宋体" w:cs="Times New Roman"/>
                <w:color w:val="auto"/>
                <w:spacing w:val="0"/>
                <w:w w:val="100"/>
                <w:kern w:val="0"/>
                <w:position w:val="0"/>
                <w:sz w:val="21"/>
                <w:szCs w:val="21"/>
                <w:highlight w:val="none"/>
                <w:vertAlign w:val="subscript"/>
              </w:rPr>
              <w:t>2.5</w:t>
            </w:r>
            <w:r>
              <w:rPr>
                <w:rFonts w:hint="default" w:ascii="Times New Roman" w:hAnsi="Times New Roman" w:eastAsia="宋体" w:cs="Times New Roman"/>
                <w:color w:val="auto"/>
                <w:spacing w:val="0"/>
                <w:w w:val="100"/>
                <w:kern w:val="0"/>
                <w:position w:val="0"/>
                <w:sz w:val="21"/>
                <w:szCs w:val="21"/>
                <w:highlight w:val="none"/>
              </w:rPr>
              <w:t>□不包括二次PM</w:t>
            </w:r>
            <w:r>
              <w:rPr>
                <w:rFonts w:hint="default" w:ascii="Times New Roman" w:hAnsi="Times New Roman" w:eastAsia="宋体" w:cs="Times New Roman"/>
                <w:color w:val="auto"/>
                <w:spacing w:val="0"/>
                <w:w w:val="100"/>
                <w:kern w:val="0"/>
                <w:position w:val="0"/>
                <w:sz w:val="21"/>
                <w:szCs w:val="21"/>
                <w:highlight w:val="none"/>
                <w:vertAlign w:val="subscript"/>
              </w:rPr>
              <w:t>2.5</w:t>
            </w:r>
            <w:r>
              <w:rPr>
                <w:rFonts w:hint="default" w:ascii="Times New Roman" w:hAnsi="Times New Roman" w:eastAsia="宋体" w:cs="Times New Roman"/>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正常排放短期浓度贡献值</w:t>
            </w:r>
          </w:p>
        </w:tc>
        <w:tc>
          <w:tcPr>
            <w:tcW w:w="2900" w:type="dxa"/>
            <w:gridSpan w:val="7"/>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r>
              <w:rPr>
                <w:rFonts w:hint="default" w:ascii="Times New Roman" w:hAnsi="Times New Roman" w:eastAsia="宋体" w:cs="Times New Roman"/>
                <w:color w:val="auto"/>
                <w:spacing w:val="0"/>
                <w:w w:val="100"/>
                <w:kern w:val="0"/>
                <w:position w:val="0"/>
                <w:sz w:val="21"/>
                <w:szCs w:val="21"/>
                <w:highlight w:val="none"/>
              </w:rPr>
              <w:sym w:font="Wingdings 2" w:char="00A3"/>
            </w:r>
          </w:p>
        </w:tc>
        <w:tc>
          <w:tcPr>
            <w:tcW w:w="3862" w:type="dxa"/>
            <w:gridSpan w:val="9"/>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正常排放年均浓度贡献值</w:t>
            </w:r>
          </w:p>
        </w:tc>
        <w:tc>
          <w:tcPr>
            <w:tcW w:w="1003"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一类区</w:t>
            </w:r>
          </w:p>
        </w:tc>
        <w:tc>
          <w:tcPr>
            <w:tcW w:w="2868" w:type="dxa"/>
            <w:gridSpan w:val="9"/>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p>
        </w:tc>
        <w:tc>
          <w:tcPr>
            <w:tcW w:w="1003"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二类区</w:t>
            </w:r>
          </w:p>
        </w:tc>
        <w:tc>
          <w:tcPr>
            <w:tcW w:w="2868" w:type="dxa"/>
            <w:gridSpan w:val="9"/>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本项目</w:t>
            </w:r>
            <w:r>
              <w:rPr>
                <w:rFonts w:hint="default" w:ascii="Times New Roman" w:hAnsi="Times New Roman" w:eastAsia="宋体" w:cs="Times New Roman"/>
                <w:color w:val="auto"/>
                <w:spacing w:val="0"/>
                <w:w w:val="100"/>
                <w:kern w:val="0"/>
                <w:position w:val="0"/>
                <w:sz w:val="21"/>
                <w:szCs w:val="21"/>
                <w:highlight w:val="none"/>
              </w:rPr>
              <w:t>最大占标率＞100%□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非正常排放1h浓度贡献值</w:t>
            </w:r>
          </w:p>
        </w:tc>
        <w:tc>
          <w:tcPr>
            <w:tcW w:w="1831" w:type="dxa"/>
            <w:gridSpan w:val="4"/>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非正常时长（  ）h</w:t>
            </w:r>
          </w:p>
        </w:tc>
        <w:tc>
          <w:tcPr>
            <w:tcW w:w="2040"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非正常</w:t>
            </w:r>
            <w:r>
              <w:rPr>
                <w:rFonts w:hint="default" w:ascii="Times New Roman" w:hAnsi="Times New Roman" w:eastAsia="宋体" w:cs="Times New Roman"/>
                <w:color w:val="auto"/>
                <w:spacing w:val="0"/>
                <w:w w:val="100"/>
                <w:kern w:val="0"/>
                <w:position w:val="0"/>
                <w:sz w:val="21"/>
                <w:szCs w:val="21"/>
                <w:highlight w:val="none"/>
              </w:rPr>
              <w:t>占标率≤100%□</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非正常</w:t>
            </w:r>
            <w:r>
              <w:rPr>
                <w:rFonts w:hint="default" w:ascii="Times New Roman" w:hAnsi="Times New Roman" w:eastAsia="宋体" w:cs="Times New Roman"/>
                <w:color w:val="auto"/>
                <w:spacing w:val="0"/>
                <w:w w:val="100"/>
                <w:kern w:val="0"/>
                <w:position w:val="0"/>
                <w:sz w:val="21"/>
                <w:szCs w:val="21"/>
                <w:highlight w:val="none"/>
              </w:rPr>
              <w:t>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保证率日均浓度和年均浓度叠加值</w:t>
            </w:r>
          </w:p>
        </w:tc>
        <w:tc>
          <w:tcPr>
            <w:tcW w:w="3871" w:type="dxa"/>
            <w:gridSpan w:val="10"/>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叠加</w:t>
            </w:r>
            <w:r>
              <w:rPr>
                <w:rFonts w:hint="default" w:ascii="Times New Roman" w:hAnsi="Times New Roman" w:eastAsia="宋体" w:cs="Times New Roman"/>
                <w:color w:val="auto"/>
                <w:spacing w:val="0"/>
                <w:w w:val="100"/>
                <w:kern w:val="0"/>
                <w:position w:val="0"/>
                <w:sz w:val="21"/>
                <w:szCs w:val="21"/>
                <w:highlight w:val="none"/>
              </w:rPr>
              <w:t>达标□</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C</w:t>
            </w:r>
            <w:r>
              <w:rPr>
                <w:rFonts w:hint="default" w:ascii="Times New Roman" w:hAnsi="Times New Roman" w:eastAsia="宋体" w:cs="Times New Roman"/>
                <w:color w:val="auto"/>
                <w:spacing w:val="0"/>
                <w:w w:val="100"/>
                <w:kern w:val="0"/>
                <w:position w:val="0"/>
                <w:sz w:val="21"/>
                <w:szCs w:val="21"/>
                <w:highlight w:val="none"/>
                <w:vertAlign w:val="subscript"/>
              </w:rPr>
              <w:t>叠加</w:t>
            </w:r>
            <w:r>
              <w:rPr>
                <w:rFonts w:hint="default" w:ascii="Times New Roman" w:hAnsi="Times New Roman" w:eastAsia="宋体" w:cs="Times New Roman"/>
                <w:color w:val="auto"/>
                <w:spacing w:val="0"/>
                <w:w w:val="100"/>
                <w:kern w:val="0"/>
                <w:position w:val="0"/>
                <w:sz w:val="21"/>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区域环境质量的整体变化情况</w:t>
            </w:r>
          </w:p>
        </w:tc>
        <w:tc>
          <w:tcPr>
            <w:tcW w:w="3871" w:type="dxa"/>
            <w:gridSpan w:val="10"/>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bookmarkStart w:id="857" w:name="OLE_LINK36"/>
            <w:r>
              <w:rPr>
                <w:rFonts w:hint="default" w:ascii="Times New Roman" w:hAnsi="Times New Roman" w:eastAsia="宋体" w:cs="Times New Roman"/>
                <w:i/>
                <w:color w:val="auto"/>
                <w:spacing w:val="0"/>
                <w:w w:val="100"/>
                <w:kern w:val="0"/>
                <w:position w:val="0"/>
                <w:sz w:val="21"/>
                <w:szCs w:val="21"/>
                <w:highlight w:val="none"/>
              </w:rPr>
              <w:t>k</w:t>
            </w:r>
            <w:r>
              <w:rPr>
                <w:rFonts w:hint="default" w:ascii="Times New Roman" w:hAnsi="Times New Roman" w:eastAsia="宋体" w:cs="Times New Roman"/>
                <w:color w:val="auto"/>
                <w:spacing w:val="0"/>
                <w:w w:val="100"/>
                <w:kern w:val="0"/>
                <w:position w:val="0"/>
                <w:sz w:val="21"/>
                <w:szCs w:val="21"/>
                <w:highlight w:val="none"/>
              </w:rPr>
              <w:t>≤ -20%</w:t>
            </w:r>
            <w:bookmarkEnd w:id="857"/>
            <w:r>
              <w:rPr>
                <w:rFonts w:hint="default" w:ascii="Times New Roman" w:hAnsi="Times New Roman" w:eastAsia="宋体" w:cs="Times New Roman"/>
                <w:color w:val="auto"/>
                <w:spacing w:val="0"/>
                <w:w w:val="100"/>
                <w:kern w:val="0"/>
                <w:position w:val="0"/>
                <w:sz w:val="21"/>
                <w:szCs w:val="21"/>
                <w:highlight w:val="none"/>
              </w:rPr>
              <w:t>□</w:t>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i/>
                <w:color w:val="auto"/>
                <w:spacing w:val="0"/>
                <w:w w:val="100"/>
                <w:kern w:val="0"/>
                <w:position w:val="0"/>
                <w:sz w:val="21"/>
                <w:szCs w:val="21"/>
                <w:highlight w:val="none"/>
              </w:rPr>
              <w:t>k</w:t>
            </w:r>
            <w:r>
              <w:rPr>
                <w:rFonts w:hint="default" w:ascii="Times New Roman" w:hAnsi="Times New Roman" w:eastAsia="宋体" w:cs="Times New Roman"/>
                <w:color w:val="auto"/>
                <w:spacing w:val="0"/>
                <w:w w:val="100"/>
                <w:kern w:val="0"/>
                <w:position w:val="0"/>
                <w:sz w:val="21"/>
                <w:szCs w:val="21"/>
                <w:highlight w:val="none"/>
              </w:rPr>
              <w:t>＞ -20%□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环境监测计划</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污染源监测</w:t>
            </w:r>
          </w:p>
        </w:tc>
        <w:tc>
          <w:tcPr>
            <w:tcW w:w="2900" w:type="dxa"/>
            <w:gridSpan w:val="7"/>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监测因子：（NH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、H</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S、臭气浓度</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lang w:val="en-US" w:eastAsia="zh-CN"/>
              </w:rPr>
              <w:t>TSP</w:t>
            </w:r>
            <w:r>
              <w:rPr>
                <w:rFonts w:hint="default" w:ascii="Times New Roman" w:hAnsi="Times New Roman" w:eastAsia="宋体" w:cs="Times New Roman"/>
                <w:color w:val="auto"/>
                <w:spacing w:val="0"/>
                <w:w w:val="100"/>
                <w:kern w:val="0"/>
                <w:position w:val="0"/>
                <w:sz w:val="21"/>
                <w:szCs w:val="21"/>
                <w:highlight w:val="none"/>
              </w:rPr>
              <w:t>）</w:t>
            </w:r>
          </w:p>
        </w:tc>
        <w:tc>
          <w:tcPr>
            <w:tcW w:w="2200"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有组织废气监测□</w:t>
            </w:r>
          </w:p>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rPr>
              <w:t>无组织废气监测</w:t>
            </w:r>
            <w:r>
              <w:rPr>
                <w:rFonts w:hint="default" w:ascii="Times New Roman" w:hAnsi="Times New Roman" w:eastAsia="宋体" w:cs="Times New Roman"/>
                <w:color w:val="auto"/>
                <w:spacing w:val="0"/>
                <w:w w:val="100"/>
                <w:kern w:val="0"/>
                <w:position w:val="0"/>
                <w:sz w:val="21"/>
                <w:szCs w:val="21"/>
                <w:highlight w:val="none"/>
                <w:lang w:eastAsia="zh-CN"/>
              </w:rPr>
              <w:t>☑</w:t>
            </w:r>
          </w:p>
        </w:tc>
        <w:tc>
          <w:tcPr>
            <w:tcW w:w="1662" w:type="dxa"/>
            <w:gridSpan w:val="4"/>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环境质量监测</w:t>
            </w:r>
          </w:p>
        </w:tc>
        <w:tc>
          <w:tcPr>
            <w:tcW w:w="2900" w:type="dxa"/>
            <w:gridSpan w:val="7"/>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监测因子：（</w:t>
            </w:r>
            <w:r>
              <w:rPr>
                <w:rFonts w:hint="default" w:ascii="Times New Roman" w:hAnsi="Times New Roman" w:eastAsia="宋体" w:cs="Times New Roman"/>
                <w:color w:val="auto"/>
                <w:spacing w:val="0"/>
                <w:w w:val="100"/>
                <w:kern w:val="0"/>
                <w:position w:val="0"/>
                <w:sz w:val="21"/>
                <w:szCs w:val="21"/>
                <w:highlight w:val="none"/>
                <w:lang w:val="en-US" w:eastAsia="zh-CN"/>
              </w:rPr>
              <w:t>/</w:t>
            </w:r>
            <w:r>
              <w:rPr>
                <w:rFonts w:hint="default" w:ascii="Times New Roman" w:hAnsi="Times New Roman" w:eastAsia="宋体" w:cs="Times New Roman"/>
                <w:color w:val="auto"/>
                <w:spacing w:val="0"/>
                <w:w w:val="100"/>
                <w:kern w:val="0"/>
                <w:position w:val="0"/>
                <w:sz w:val="21"/>
                <w:szCs w:val="21"/>
                <w:highlight w:val="none"/>
              </w:rPr>
              <w:t>）</w:t>
            </w:r>
          </w:p>
        </w:tc>
        <w:tc>
          <w:tcPr>
            <w:tcW w:w="2200" w:type="dxa"/>
            <w:gridSpan w:val="5"/>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监测点位数（</w:t>
            </w:r>
            <w:r>
              <w:rPr>
                <w:rFonts w:hint="default" w:ascii="Times New Roman" w:hAnsi="Times New Roman" w:eastAsia="宋体" w:cs="Times New Roman"/>
                <w:color w:val="auto"/>
                <w:spacing w:val="0"/>
                <w:w w:val="100"/>
                <w:kern w:val="0"/>
                <w:position w:val="0"/>
                <w:sz w:val="21"/>
                <w:szCs w:val="21"/>
                <w:highlight w:val="none"/>
                <w:lang w:val="en-US" w:eastAsia="zh-CN"/>
              </w:rPr>
              <w:t>/</w:t>
            </w:r>
            <w:r>
              <w:rPr>
                <w:rFonts w:hint="default" w:ascii="Times New Roman" w:hAnsi="Times New Roman" w:eastAsia="宋体" w:cs="Times New Roman"/>
                <w:color w:val="auto"/>
                <w:spacing w:val="0"/>
                <w:w w:val="100"/>
                <w:kern w:val="0"/>
                <w:position w:val="0"/>
                <w:sz w:val="21"/>
                <w:szCs w:val="21"/>
                <w:highlight w:val="none"/>
              </w:rPr>
              <w:t>）</w:t>
            </w:r>
          </w:p>
        </w:tc>
        <w:tc>
          <w:tcPr>
            <w:tcW w:w="1662" w:type="dxa"/>
            <w:gridSpan w:val="4"/>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750" w:type="dxa"/>
            <w:vMerge w:val="restart"/>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评价结论</w:t>
            </w: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环境影响</w:t>
            </w:r>
          </w:p>
        </w:tc>
        <w:tc>
          <w:tcPr>
            <w:tcW w:w="3871" w:type="dxa"/>
            <w:gridSpan w:val="10"/>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可接受</w:t>
            </w:r>
            <w:r>
              <w:rPr>
                <w:rFonts w:hint="default" w:ascii="Times New Roman" w:hAnsi="Times New Roman" w:eastAsia="宋体" w:cs="Times New Roman"/>
                <w:color w:val="auto"/>
                <w:spacing w:val="0"/>
                <w:w w:val="100"/>
                <w:kern w:val="0"/>
                <w:position w:val="0"/>
                <w:sz w:val="21"/>
                <w:szCs w:val="21"/>
                <w:highlight w:val="none"/>
              </w:rPr>
              <w:sym w:font="Wingdings 2" w:char="0052"/>
            </w:r>
          </w:p>
        </w:tc>
        <w:tc>
          <w:tcPr>
            <w:tcW w:w="2891" w:type="dxa"/>
            <w:gridSpan w:val="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不可以接受</w:t>
            </w:r>
            <w:bookmarkStart w:id="858" w:name="OLE_LINK37"/>
            <w:bookmarkStart w:id="859" w:name="OLE_LINK38"/>
            <w:r>
              <w:rPr>
                <w:rFonts w:hint="default" w:ascii="Times New Roman" w:hAnsi="Times New Roman" w:eastAsia="宋体" w:cs="Times New Roman"/>
                <w:color w:val="auto"/>
                <w:spacing w:val="0"/>
                <w:w w:val="100"/>
                <w:kern w:val="0"/>
                <w:position w:val="0"/>
                <w:sz w:val="21"/>
                <w:szCs w:val="21"/>
                <w:highlight w:val="none"/>
              </w:rPr>
              <w:t>□</w:t>
            </w:r>
            <w:bookmarkEnd w:id="858"/>
            <w:bookmarkEnd w:id="8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大气环境防护距离</w:t>
            </w:r>
          </w:p>
        </w:tc>
        <w:tc>
          <w:tcPr>
            <w:tcW w:w="6762" w:type="dxa"/>
            <w:gridSpan w:val="16"/>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距（）厂界最远（0）m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50" w:type="dxa"/>
            <w:vMerge w:val="continue"/>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p>
        </w:tc>
        <w:tc>
          <w:tcPr>
            <w:tcW w:w="1247" w:type="dxa"/>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污染源年排放量</w:t>
            </w:r>
          </w:p>
        </w:tc>
        <w:tc>
          <w:tcPr>
            <w:tcW w:w="1673" w:type="dxa"/>
            <w:gridSpan w:val="3"/>
            <w:tcBorders>
              <w:right w:val="single" w:color="auto" w:sz="8" w:space="0"/>
            </w:tcBorders>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：（）t/a</w:t>
            </w:r>
          </w:p>
        </w:tc>
        <w:tc>
          <w:tcPr>
            <w:tcW w:w="2198" w:type="dxa"/>
            <w:gridSpan w:val="7"/>
            <w:tcBorders>
              <w:left w:val="single" w:color="auto" w:sz="8" w:space="0"/>
            </w:tcBorders>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NO</w:t>
            </w:r>
            <w:r>
              <w:rPr>
                <w:rFonts w:hint="default" w:ascii="Times New Roman" w:hAnsi="Times New Roman" w:eastAsia="宋体" w:cs="Times New Roman"/>
                <w:color w:val="auto"/>
                <w:spacing w:val="0"/>
                <w:w w:val="100"/>
                <w:kern w:val="0"/>
                <w:position w:val="0"/>
                <w:sz w:val="21"/>
                <w:szCs w:val="21"/>
                <w:highlight w:val="none"/>
                <w:vertAlign w:val="subscript"/>
              </w:rPr>
              <w:t>2</w:t>
            </w:r>
            <w:r>
              <w:rPr>
                <w:rFonts w:hint="default" w:ascii="Times New Roman" w:hAnsi="Times New Roman" w:eastAsia="宋体" w:cs="Times New Roman"/>
                <w:color w:val="auto"/>
                <w:spacing w:val="0"/>
                <w:w w:val="100"/>
                <w:kern w:val="0"/>
                <w:position w:val="0"/>
                <w:sz w:val="21"/>
                <w:szCs w:val="21"/>
                <w:highlight w:val="none"/>
              </w:rPr>
              <w:t>：（）t/a</w:t>
            </w:r>
          </w:p>
        </w:tc>
        <w:tc>
          <w:tcPr>
            <w:tcW w:w="1345" w:type="dxa"/>
            <w:gridSpan w:val="3"/>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TSP：（</w:t>
            </w:r>
            <w:r>
              <w:rPr>
                <w:rFonts w:hint="default" w:ascii="Times New Roman" w:hAnsi="Times New Roman" w:eastAsia="宋体" w:cs="Times New Roman"/>
                <w:color w:val="auto"/>
                <w:spacing w:val="0"/>
                <w:w w:val="100"/>
                <w:kern w:val="0"/>
                <w:position w:val="0"/>
                <w:sz w:val="21"/>
                <w:szCs w:val="21"/>
                <w:highlight w:val="none"/>
                <w:lang w:val="en-US" w:eastAsia="zh-CN"/>
              </w:rPr>
              <w:t>0.</w:t>
            </w:r>
            <w:r>
              <w:rPr>
                <w:rFonts w:hint="eastAsia" w:ascii="Times New Roman" w:hAnsi="Times New Roman" w:eastAsia="宋体" w:cs="Times New Roman"/>
                <w:color w:val="auto"/>
                <w:spacing w:val="0"/>
                <w:w w:val="100"/>
                <w:kern w:val="0"/>
                <w:position w:val="0"/>
                <w:sz w:val="21"/>
                <w:szCs w:val="21"/>
                <w:highlight w:val="none"/>
                <w:lang w:val="en-US" w:eastAsia="zh-CN"/>
              </w:rPr>
              <w:t>018</w:t>
            </w:r>
            <w:r>
              <w:rPr>
                <w:rFonts w:hint="default" w:ascii="Times New Roman" w:hAnsi="Times New Roman" w:eastAsia="宋体" w:cs="Times New Roman"/>
                <w:color w:val="auto"/>
                <w:spacing w:val="0"/>
                <w:w w:val="100"/>
                <w:kern w:val="0"/>
                <w:position w:val="0"/>
                <w:sz w:val="21"/>
                <w:szCs w:val="21"/>
                <w:highlight w:val="none"/>
              </w:rPr>
              <w:t>）t/a</w:t>
            </w:r>
          </w:p>
        </w:tc>
        <w:tc>
          <w:tcPr>
            <w:tcW w:w="1546" w:type="dxa"/>
            <w:gridSpan w:val="3"/>
            <w:noWrap w:val="0"/>
            <w:vAlign w:val="center"/>
          </w:tcPr>
          <w:p>
            <w:pPr>
              <w:pStyle w:val="35"/>
              <w:widowControl w:val="0"/>
              <w:snapToGrid w:val="0"/>
              <w:spacing w:line="240" w:lineRule="exact"/>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VOC</w:t>
            </w:r>
            <w:r>
              <w:rPr>
                <w:rFonts w:hint="default" w:ascii="Times New Roman" w:hAnsi="Times New Roman" w:eastAsia="宋体" w:cs="Times New Roman"/>
                <w:color w:val="auto"/>
                <w:spacing w:val="0"/>
                <w:w w:val="100"/>
                <w:kern w:val="0"/>
                <w:position w:val="0"/>
                <w:sz w:val="21"/>
                <w:szCs w:val="21"/>
                <w:highlight w:val="none"/>
                <w:vertAlign w:val="subscript"/>
              </w:rPr>
              <w:t>S</w:t>
            </w:r>
            <w:r>
              <w:rPr>
                <w:rFonts w:hint="default" w:ascii="Times New Roman" w:hAnsi="Times New Roman" w:eastAsia="宋体" w:cs="Times New Roman"/>
                <w:color w:val="auto"/>
                <w:spacing w:val="0"/>
                <w:w w:val="100"/>
                <w:kern w:val="0"/>
                <w:position w:val="0"/>
                <w:sz w:val="21"/>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759" w:type="dxa"/>
            <w:gridSpan w:val="18"/>
            <w:noWrap w:val="0"/>
            <w:vAlign w:val="center"/>
          </w:tcPr>
          <w:p>
            <w:pPr>
              <w:pStyle w:val="35"/>
              <w:widowControl w:val="0"/>
              <w:snapToGrid w:val="0"/>
              <w:spacing w:line="240" w:lineRule="exact"/>
              <w:ind w:firstLine="0" w:firstLineChars="0"/>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注：</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为勾选项，填</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为内容填写项。</w:t>
            </w:r>
          </w:p>
        </w:tc>
      </w:tr>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60" w:name="_Toc10119"/>
      <w:bookmarkStart w:id="861" w:name="_Toc16788"/>
      <w:bookmarkStart w:id="862" w:name="_Toc1885"/>
      <w:bookmarkStart w:id="863" w:name="_Toc31456"/>
      <w:bookmarkStart w:id="864" w:name="_Toc7439"/>
      <w:bookmarkStart w:id="865" w:name="_Toc26394"/>
      <w:r>
        <w:rPr>
          <w:rFonts w:hint="default" w:ascii="Times New Roman" w:hAnsi="Times New Roman" w:eastAsia="宋体" w:cs="Times New Roman"/>
          <w:snapToGrid w:val="0"/>
          <w:color w:val="auto"/>
          <w:spacing w:val="0"/>
          <w:w w:val="100"/>
          <w:kern w:val="0"/>
          <w:position w:val="0"/>
          <w:highlight w:val="none"/>
          <w:lang w:val="en-US" w:eastAsia="zh-CN"/>
        </w:rPr>
        <w:t>5.2地表水环境影响分析</w:t>
      </w:r>
      <w:bookmarkEnd w:id="860"/>
      <w:bookmarkEnd w:id="861"/>
      <w:bookmarkEnd w:id="862"/>
      <w:bookmarkEnd w:id="863"/>
      <w:bookmarkEnd w:id="864"/>
      <w:bookmarkEnd w:id="865"/>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66" w:name="_Toc12817"/>
      <w:bookmarkStart w:id="867" w:name="_Toc23811"/>
      <w:r>
        <w:rPr>
          <w:rFonts w:hint="default" w:ascii="Times New Roman" w:hAnsi="Times New Roman" w:eastAsia="宋体" w:cs="Times New Roman"/>
          <w:snapToGrid w:val="0"/>
          <w:color w:val="auto"/>
          <w:spacing w:val="0"/>
          <w:w w:val="100"/>
          <w:kern w:val="0"/>
          <w:position w:val="0"/>
          <w:sz w:val="28"/>
          <w:szCs w:val="28"/>
          <w:highlight w:val="none"/>
          <w:lang w:val="en-US" w:eastAsia="zh-CN"/>
        </w:rPr>
        <w:t>5.2.1正常工况下水环境影响分析</w:t>
      </w:r>
      <w:bookmarkEnd w:id="866"/>
      <w:bookmarkEnd w:id="867"/>
    </w:p>
    <w:p>
      <w:pPr>
        <w:pStyle w:val="38"/>
        <w:adjustRightInd w:val="0"/>
        <w:snapToGrid w:val="0"/>
        <w:spacing w:line="360" w:lineRule="auto"/>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本项目废水主要为生产废水（</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bCs/>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、奶缸等设施清洗废水、挤奶厅地面冲洗</w:t>
      </w:r>
      <w:r>
        <w:rPr>
          <w:rFonts w:hint="default" w:ascii="Times New Roman" w:hAnsi="Times New Roman" w:eastAsia="宋体" w:cs="Times New Roman"/>
          <w:bCs/>
          <w:color w:val="auto"/>
          <w:spacing w:val="0"/>
          <w:w w:val="100"/>
          <w:kern w:val="0"/>
          <w:position w:val="0"/>
          <w:highlight w:val="none"/>
          <w:lang w:eastAsia="zh-CN"/>
        </w:rPr>
        <w:t>废水、</w:t>
      </w:r>
      <w:r>
        <w:rPr>
          <w:rFonts w:hint="default" w:ascii="Times New Roman" w:hAnsi="Times New Roman" w:eastAsia="宋体" w:cs="Times New Roman"/>
          <w:bCs/>
          <w:color w:val="auto"/>
          <w:spacing w:val="0"/>
          <w:w w:val="100"/>
          <w:kern w:val="0"/>
          <w:position w:val="0"/>
          <w:highlight w:val="none"/>
        </w:rPr>
        <w:t>牛槽清洗废水</w:t>
      </w:r>
      <w:r>
        <w:rPr>
          <w:rFonts w:hint="default" w:ascii="Times New Roman" w:hAnsi="Times New Roman" w:eastAsia="宋体" w:cs="Times New Roman"/>
          <w:bCs/>
          <w:color w:val="auto"/>
          <w:spacing w:val="0"/>
          <w:w w:val="100"/>
          <w:kern w:val="0"/>
          <w:position w:val="0"/>
          <w:sz w:val="24"/>
          <w:highlight w:val="none"/>
        </w:rPr>
        <w:t>等</w:t>
      </w:r>
      <w:r>
        <w:rPr>
          <w:rFonts w:hint="default" w:ascii="Times New Roman" w:hAnsi="Times New Roman" w:eastAsia="宋体" w:cs="Times New Roman"/>
          <w:color w:val="auto"/>
          <w:spacing w:val="0"/>
          <w:w w:val="100"/>
          <w:kern w:val="0"/>
          <w:position w:val="0"/>
          <w:sz w:val="24"/>
          <w:highlight w:val="none"/>
          <w:lang w:val="zh-CN"/>
        </w:rPr>
        <w:t>）及工作人员产生的生活废水。</w:t>
      </w:r>
      <w:r>
        <w:rPr>
          <w:rFonts w:hint="default" w:ascii="Times New Roman" w:hAnsi="Times New Roman" w:eastAsia="宋体" w:cs="Times New Roman"/>
          <w:color w:val="auto"/>
          <w:spacing w:val="0"/>
          <w:w w:val="100"/>
          <w:kern w:val="0"/>
          <w:position w:val="0"/>
          <w:sz w:val="24"/>
          <w:szCs w:val="24"/>
          <w:highlight w:val="none"/>
          <w:lang w:val="zh-CN"/>
        </w:rPr>
        <w:t>废水产生总量为</w:t>
      </w:r>
      <w:r>
        <w:rPr>
          <w:rFonts w:hint="default" w:ascii="Times New Roman" w:hAnsi="Times New Roman" w:cs="Times New Roman"/>
          <w:color w:val="auto"/>
          <w:spacing w:val="0"/>
          <w:w w:val="100"/>
          <w:kern w:val="0"/>
          <w:position w:val="0"/>
          <w:sz w:val="24"/>
          <w:szCs w:val="24"/>
          <w:highlight w:val="none"/>
          <w:lang w:val="en-US" w:eastAsia="zh-CN"/>
        </w:rPr>
        <w:t>84.29m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/d（</w:t>
      </w:r>
      <w:r>
        <w:rPr>
          <w:rFonts w:hint="eastAsia" w:ascii="Times New Roman" w:hAnsi="Times New Roman" w:cs="Times New Roman"/>
          <w:color w:val="auto"/>
          <w:spacing w:val="0"/>
          <w:w w:val="100"/>
          <w:kern w:val="0"/>
          <w:position w:val="0"/>
          <w:sz w:val="24"/>
          <w:szCs w:val="24"/>
          <w:highlight w:val="none"/>
          <w:lang w:val="en-US" w:eastAsia="zh-CN"/>
        </w:rPr>
        <w:t>29965</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/a）。其中生产废水为</w:t>
      </w:r>
      <w:r>
        <w:rPr>
          <w:rFonts w:hint="default" w:ascii="Times New Roman" w:hAnsi="Times New Roman" w:eastAsia="宋体" w:cs="Times New Roman"/>
          <w:bCs/>
          <w:color w:val="auto"/>
          <w:spacing w:val="0"/>
          <w:w w:val="100"/>
          <w:kern w:val="0"/>
          <w:position w:val="0"/>
          <w:highlight w:val="none"/>
        </w:rPr>
        <w:t>挤奶</w:t>
      </w:r>
      <w:r>
        <w:rPr>
          <w:rFonts w:hint="default" w:ascii="Times New Roman" w:hAnsi="Times New Roman" w:eastAsia="宋体" w:cs="Times New Roman"/>
          <w:bCs/>
          <w:color w:val="auto"/>
          <w:spacing w:val="0"/>
          <w:w w:val="100"/>
          <w:kern w:val="0"/>
          <w:position w:val="0"/>
          <w:highlight w:val="none"/>
          <w:lang w:val="zh-CN"/>
        </w:rPr>
        <w:t>厅</w:t>
      </w:r>
      <w:r>
        <w:rPr>
          <w:rFonts w:hint="default" w:ascii="Times New Roman" w:hAnsi="Times New Roman" w:eastAsia="宋体" w:cs="Times New Roman"/>
          <w:bCs/>
          <w:color w:val="auto"/>
          <w:spacing w:val="0"/>
          <w:w w:val="100"/>
          <w:kern w:val="0"/>
          <w:position w:val="0"/>
          <w:highlight w:val="none"/>
        </w:rPr>
        <w:t>、奶缸等设施清洗废水、挤奶厅地面冲洗</w:t>
      </w:r>
      <w:r>
        <w:rPr>
          <w:rFonts w:hint="default" w:ascii="Times New Roman" w:hAnsi="Times New Roman" w:eastAsia="宋体" w:cs="Times New Roman"/>
          <w:bCs/>
          <w:color w:val="auto"/>
          <w:spacing w:val="0"/>
          <w:w w:val="100"/>
          <w:kern w:val="0"/>
          <w:position w:val="0"/>
          <w:highlight w:val="none"/>
          <w:lang w:eastAsia="zh-CN"/>
        </w:rPr>
        <w:t>废水、</w:t>
      </w:r>
      <w:r>
        <w:rPr>
          <w:rFonts w:hint="default" w:ascii="Times New Roman" w:hAnsi="Times New Roman" w:eastAsia="宋体" w:cs="Times New Roman"/>
          <w:bCs/>
          <w:color w:val="auto"/>
          <w:spacing w:val="0"/>
          <w:w w:val="100"/>
          <w:kern w:val="0"/>
          <w:position w:val="0"/>
          <w:highlight w:val="none"/>
        </w:rPr>
        <w:t>牛槽清洗废水</w:t>
      </w:r>
      <w:r>
        <w:rPr>
          <w:rFonts w:hint="default" w:ascii="Times New Roman" w:hAnsi="Times New Roman" w:eastAsia="宋体" w:cs="Times New Roman"/>
          <w:color w:val="auto"/>
          <w:spacing w:val="0"/>
          <w:w w:val="100"/>
          <w:kern w:val="0"/>
          <w:position w:val="0"/>
          <w:sz w:val="24"/>
          <w:szCs w:val="24"/>
          <w:highlight w:val="none"/>
          <w:lang w:val="zh-CN"/>
        </w:rPr>
        <w:t>，产生量为</w:t>
      </w:r>
      <w:r>
        <w:rPr>
          <w:rFonts w:hint="default" w:ascii="Times New Roman" w:hAnsi="Times New Roman" w:eastAsia="Times New Roman" w:cs="Times New Roman"/>
          <w:color w:val="auto"/>
          <w:position w:val="2"/>
        </w:rPr>
        <w:t>81m</w:t>
      </w:r>
      <w:r>
        <w:rPr>
          <w:rFonts w:hint="default" w:ascii="Times New Roman" w:hAnsi="Times New Roman" w:eastAsia="Times New Roman" w:cs="Times New Roman"/>
          <w:color w:val="auto"/>
          <w:position w:val="10"/>
          <w:sz w:val="15"/>
          <w:szCs w:val="15"/>
        </w:rPr>
        <w:t>3</w:t>
      </w:r>
      <w:r>
        <w:rPr>
          <w:rFonts w:hint="default" w:ascii="Times New Roman" w:hAnsi="Times New Roman" w:eastAsia="Times New Roman" w:cs="Times New Roman"/>
          <w:color w:val="auto"/>
          <w:position w:val="2"/>
        </w:rPr>
        <w:t>/d</w:t>
      </w:r>
      <w:r>
        <w:rPr>
          <w:rFonts w:hint="default" w:ascii="Times New Roman" w:hAnsi="Times New Roman" w:cs="Times New Roman"/>
          <w:color w:val="auto"/>
          <w:position w:val="2"/>
        </w:rPr>
        <w:t>（</w:t>
      </w:r>
      <w:r>
        <w:rPr>
          <w:rFonts w:hint="default" w:ascii="Times New Roman" w:hAnsi="Times New Roman" w:eastAsia="Times New Roman" w:cs="Times New Roman"/>
          <w:color w:val="auto"/>
          <w:position w:val="2"/>
        </w:rPr>
        <w:t>29565m</w:t>
      </w:r>
      <w:r>
        <w:rPr>
          <w:rFonts w:hint="default" w:ascii="Times New Roman" w:hAnsi="Times New Roman" w:eastAsia="Times New Roman" w:cs="Times New Roman"/>
          <w:color w:val="auto"/>
          <w:position w:val="10"/>
          <w:sz w:val="15"/>
          <w:szCs w:val="15"/>
        </w:rPr>
        <w:t>3</w:t>
      </w:r>
      <w:r>
        <w:rPr>
          <w:rFonts w:hint="default" w:ascii="Times New Roman" w:hAnsi="Times New Roman" w:eastAsia="Times New Roman" w:cs="Times New Roman"/>
          <w:color w:val="auto"/>
          <w:position w:val="2"/>
        </w:rPr>
        <w:t>/a</w:t>
      </w:r>
      <w:r>
        <w:rPr>
          <w:rFonts w:hint="default" w:ascii="Times New Roman" w:hAnsi="Times New Roman" w:cs="Times New Roman"/>
          <w:color w:val="auto"/>
          <w:position w:val="2"/>
        </w:rPr>
        <w:t>）</w:t>
      </w:r>
      <w:r>
        <w:rPr>
          <w:rFonts w:hint="default" w:ascii="Times New Roman" w:hAnsi="Times New Roman" w:eastAsia="宋体" w:cs="Times New Roman"/>
          <w:color w:val="auto"/>
          <w:spacing w:val="0"/>
          <w:w w:val="100"/>
          <w:kern w:val="0"/>
          <w:position w:val="0"/>
          <w:sz w:val="24"/>
          <w:szCs w:val="24"/>
          <w:highlight w:val="none"/>
          <w:lang w:val="zh-CN"/>
        </w:rPr>
        <w:t>，主要污染因子为COD、BOD</w:t>
      </w:r>
      <w:r>
        <w:rPr>
          <w:rFonts w:hint="default" w:ascii="Times New Roman" w:hAnsi="Times New Roman" w:eastAsia="宋体" w:cs="Times New Roman"/>
          <w:color w:val="auto"/>
          <w:spacing w:val="0"/>
          <w:w w:val="100"/>
          <w:kern w:val="0"/>
          <w:position w:val="0"/>
          <w:sz w:val="24"/>
          <w:szCs w:val="24"/>
          <w:highlight w:val="none"/>
          <w:vertAlign w:val="subscript"/>
          <w:lang w:val="zh-CN"/>
        </w:rPr>
        <w:t>5</w:t>
      </w:r>
      <w:r>
        <w:rPr>
          <w:rFonts w:hint="default" w:ascii="Times New Roman" w:hAnsi="Times New Roman" w:eastAsia="宋体" w:cs="Times New Roman"/>
          <w:color w:val="auto"/>
          <w:spacing w:val="0"/>
          <w:w w:val="100"/>
          <w:kern w:val="0"/>
          <w:position w:val="0"/>
          <w:sz w:val="24"/>
          <w:szCs w:val="24"/>
          <w:highlight w:val="none"/>
          <w:lang w:val="zh-CN"/>
        </w:rPr>
        <w:t>、SS、NH</w:t>
      </w:r>
      <w:r>
        <w:rPr>
          <w:rFonts w:hint="default" w:ascii="Times New Roman" w:hAnsi="Times New Roman" w:eastAsia="宋体" w:cs="Times New Roman"/>
          <w:color w:val="auto"/>
          <w:spacing w:val="0"/>
          <w:w w:val="100"/>
          <w:kern w:val="0"/>
          <w:position w:val="0"/>
          <w:sz w:val="24"/>
          <w:szCs w:val="24"/>
          <w:highlight w:val="none"/>
          <w:vertAlign w:val="sub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-N、TP和粪大肠菌群等；职工日常办公生活产生的生活污水，产生量为</w:t>
      </w:r>
      <w:r>
        <w:rPr>
          <w:rFonts w:hint="default" w:ascii="Times New Roman" w:hAnsi="Times New Roman" w:eastAsia="宋体" w:cs="Times New Roman"/>
          <w:color w:val="auto"/>
          <w:spacing w:val="0"/>
          <w:w w:val="100"/>
          <w:kern w:val="0"/>
          <w:position w:val="0"/>
          <w:sz w:val="24"/>
          <w:szCs w:val="24"/>
          <w:highlight w:val="none"/>
          <w:lang w:val="en-US" w:eastAsia="zh-CN"/>
        </w:rPr>
        <w:t>8</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/d（</w:t>
      </w:r>
      <w:r>
        <w:rPr>
          <w:rFonts w:hint="default" w:ascii="Times New Roman" w:hAnsi="Times New Roman" w:eastAsia="宋体" w:cs="Times New Roman"/>
          <w:color w:val="auto"/>
          <w:spacing w:val="0"/>
          <w:w w:val="100"/>
          <w:kern w:val="0"/>
          <w:position w:val="0"/>
          <w:sz w:val="24"/>
          <w:szCs w:val="24"/>
          <w:highlight w:val="none"/>
          <w:lang w:val="en-US" w:eastAsia="zh-CN"/>
        </w:rPr>
        <w:t>2920</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/a），主要污染因子为COD、BOD</w:t>
      </w:r>
      <w:r>
        <w:rPr>
          <w:rFonts w:hint="default" w:ascii="Times New Roman" w:hAnsi="Times New Roman" w:eastAsia="宋体" w:cs="Times New Roman"/>
          <w:color w:val="auto"/>
          <w:spacing w:val="0"/>
          <w:w w:val="100"/>
          <w:kern w:val="0"/>
          <w:position w:val="0"/>
          <w:sz w:val="24"/>
          <w:szCs w:val="24"/>
          <w:highlight w:val="none"/>
          <w:vertAlign w:val="subscript"/>
          <w:lang w:val="zh-CN"/>
        </w:rPr>
        <w:t>5</w:t>
      </w:r>
      <w:r>
        <w:rPr>
          <w:rFonts w:hint="default" w:ascii="Times New Roman" w:hAnsi="Times New Roman" w:eastAsia="宋体" w:cs="Times New Roman"/>
          <w:color w:val="auto"/>
          <w:spacing w:val="0"/>
          <w:w w:val="100"/>
          <w:kern w:val="0"/>
          <w:position w:val="0"/>
          <w:sz w:val="24"/>
          <w:szCs w:val="24"/>
          <w:highlight w:val="none"/>
          <w:lang w:val="zh-CN"/>
        </w:rPr>
        <w:t>、SS、NH</w:t>
      </w:r>
      <w:r>
        <w:rPr>
          <w:rFonts w:hint="default" w:ascii="Times New Roman" w:hAnsi="Times New Roman" w:eastAsia="宋体" w:cs="Times New Roman"/>
          <w:color w:val="auto"/>
          <w:spacing w:val="0"/>
          <w:w w:val="100"/>
          <w:kern w:val="0"/>
          <w:position w:val="0"/>
          <w:sz w:val="24"/>
          <w:szCs w:val="24"/>
          <w:highlight w:val="none"/>
          <w:vertAlign w:val="sub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-N、粪大肠杆菌、蛔虫卵等。</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lang w:val="zh-CN"/>
        </w:rPr>
        <w:t>根据《畜禽养殖业污染防治技术规范》（HJ/T81—2001）、《畜禽规模养殖污染防治条例》（中华人民共和国国务院令第643号）要求，畜禽养殖过程中产生的废水坚持种养结合的原则，经无害化处理后综合利用。本项目采取《畜禽养殖业污染治理工程技术规范》（HJ497-2009）中的模式Ⅲ对废水进行无害化处理，采用“初沉池+调节池+压滤机+中间水池+A/O/O反应池+二沉池+消毒池”处理工艺，</w:t>
      </w:r>
      <w:r>
        <w:rPr>
          <w:rFonts w:hint="default" w:ascii="Times New Roman" w:hAnsi="Times New Roman" w:eastAsia="宋体" w:cs="Times New Roman"/>
          <w:color w:val="auto"/>
          <w:spacing w:val="0"/>
          <w:w w:val="100"/>
          <w:kern w:val="0"/>
          <w:position w:val="0"/>
          <w:sz w:val="24"/>
          <w:szCs w:val="22"/>
          <w:highlight w:val="none"/>
        </w:rPr>
        <w:t>出水水质满足《农田灌溉水质标准》（GB5084-2005）中</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旱作</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标准后，用于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rPr>
        <w:t>。本项目产生的废水经过污水处理站处理后，可暂存于</w:t>
      </w:r>
      <w:r>
        <w:rPr>
          <w:rFonts w:hint="default" w:ascii="Times New Roman" w:hAnsi="Times New Roman" w:eastAsia="宋体" w:cs="Times New Roman"/>
          <w:color w:val="auto"/>
          <w:spacing w:val="0"/>
          <w:w w:val="100"/>
          <w:kern w:val="0"/>
          <w:position w:val="0"/>
          <w:sz w:val="24"/>
          <w:szCs w:val="22"/>
          <w:highlight w:val="none"/>
          <w:lang w:eastAsia="zh-CN"/>
        </w:rPr>
        <w:t>场</w:t>
      </w:r>
      <w:r>
        <w:rPr>
          <w:rFonts w:hint="default" w:ascii="Times New Roman" w:hAnsi="Times New Roman" w:eastAsia="宋体" w:cs="Times New Roman"/>
          <w:color w:val="auto"/>
          <w:spacing w:val="0"/>
          <w:w w:val="100"/>
          <w:kern w:val="0"/>
          <w:position w:val="0"/>
          <w:sz w:val="24"/>
          <w:szCs w:val="22"/>
          <w:highlight w:val="none"/>
        </w:rPr>
        <w:t>区</w:t>
      </w:r>
      <w:r>
        <w:rPr>
          <w:rFonts w:hint="default" w:ascii="Times New Roman" w:hAnsi="Times New Roman" w:eastAsia="宋体" w:cs="Times New Roman"/>
          <w:color w:val="auto"/>
          <w:spacing w:val="0"/>
          <w:w w:val="100"/>
          <w:kern w:val="0"/>
          <w:position w:val="0"/>
          <w:sz w:val="24"/>
          <w:szCs w:val="22"/>
          <w:highlight w:val="none"/>
          <w:lang w:eastAsia="zh-CN"/>
        </w:rPr>
        <w:t>氧化塘</w:t>
      </w:r>
      <w:r>
        <w:rPr>
          <w:rFonts w:hint="default" w:ascii="Times New Roman" w:hAnsi="Times New Roman" w:eastAsia="宋体" w:cs="Times New Roman"/>
          <w:color w:val="auto"/>
          <w:spacing w:val="0"/>
          <w:w w:val="100"/>
          <w:kern w:val="0"/>
          <w:position w:val="0"/>
          <w:sz w:val="24"/>
          <w:szCs w:val="22"/>
          <w:highlight w:val="none"/>
        </w:rPr>
        <w:t>中，用于</w:t>
      </w:r>
      <w:r>
        <w:rPr>
          <w:rFonts w:hint="eastAsia" w:ascii="Times New Roman" w:hAnsi="Times New Roman" w:cs="Times New Roman"/>
          <w:color w:val="auto"/>
          <w:spacing w:val="0"/>
          <w:w w:val="100"/>
          <w:kern w:val="0"/>
          <w:position w:val="0"/>
          <w:sz w:val="24"/>
          <w:szCs w:val="22"/>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rPr>
        <w:t>，不外排。</w:t>
      </w:r>
    </w:p>
    <w:p>
      <w:pPr>
        <w:pStyle w:val="38"/>
        <w:adjustRightInd w:val="0"/>
        <w:snapToGrid w:val="0"/>
        <w:spacing w:line="360" w:lineRule="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lang w:val="zh-CN"/>
        </w:rPr>
        <w:t>本项目采用雨污分流排水，雨水通过场区道路一侧雨水管网排入场区绿化带绿化。综上，</w:t>
      </w:r>
      <w:r>
        <w:rPr>
          <w:rFonts w:hint="default" w:ascii="Times New Roman" w:hAnsi="Times New Roman" w:eastAsia="宋体" w:cs="Times New Roman"/>
          <w:color w:val="auto"/>
          <w:spacing w:val="0"/>
          <w:w w:val="100"/>
          <w:kern w:val="0"/>
          <w:position w:val="0"/>
          <w:sz w:val="24"/>
          <w:szCs w:val="22"/>
          <w:highlight w:val="none"/>
        </w:rPr>
        <w:t>本项目废水采取有效的处理处置措施后，可实现水资源综合利用，各种废水均不会排入外界水体，不会对</w:t>
      </w:r>
      <w:r>
        <w:rPr>
          <w:rFonts w:hint="default" w:ascii="Times New Roman" w:hAnsi="Times New Roman" w:eastAsia="宋体" w:cs="Times New Roman"/>
          <w:color w:val="auto"/>
          <w:spacing w:val="0"/>
          <w:w w:val="100"/>
          <w:kern w:val="0"/>
          <w:position w:val="0"/>
          <w:sz w:val="24"/>
          <w:szCs w:val="22"/>
          <w:highlight w:val="none"/>
          <w:lang w:eastAsia="zh-CN"/>
        </w:rPr>
        <w:t>地表</w:t>
      </w:r>
      <w:r>
        <w:rPr>
          <w:rFonts w:hint="default" w:ascii="Times New Roman" w:hAnsi="Times New Roman" w:eastAsia="宋体" w:cs="Times New Roman"/>
          <w:color w:val="auto"/>
          <w:spacing w:val="0"/>
          <w:w w:val="100"/>
          <w:kern w:val="0"/>
          <w:position w:val="0"/>
          <w:sz w:val="24"/>
          <w:szCs w:val="22"/>
          <w:highlight w:val="none"/>
        </w:rPr>
        <w:t>水质产生影响。</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68" w:name="_Toc32620"/>
      <w:bookmarkStart w:id="869" w:name="_Toc26219"/>
      <w:r>
        <w:rPr>
          <w:rFonts w:hint="default" w:ascii="Times New Roman" w:hAnsi="Times New Roman" w:eastAsia="宋体" w:cs="Times New Roman"/>
          <w:snapToGrid w:val="0"/>
          <w:color w:val="auto"/>
          <w:spacing w:val="0"/>
          <w:w w:val="100"/>
          <w:kern w:val="0"/>
          <w:position w:val="0"/>
          <w:sz w:val="28"/>
          <w:szCs w:val="28"/>
          <w:highlight w:val="none"/>
          <w:lang w:val="en-US" w:eastAsia="zh-CN"/>
        </w:rPr>
        <w:t>5.2.2非正常工况下水环境影响分析</w:t>
      </w:r>
      <w:bookmarkEnd w:id="868"/>
      <w:bookmarkEnd w:id="869"/>
    </w:p>
    <w:p>
      <w:pPr>
        <w:adjustRightInd w:val="0"/>
        <w:snapToGrid w:val="0"/>
        <w:spacing w:line="356"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通过工程分析，确定本项目对地表水的可能影响途径为污水处理站设备运行故障情况下的废水排放。项目污水处理站发生故障情况下，正在进行处理的废水暂存于各处理水池中，新产生的废水经事故收集管网排入污水处理站配套建设的事故收集池中，收集的事故废水待污水处理站设备检修完毕后排入污水处理站处理，达到《农田灌溉水质标准》（GB5084-2005）中</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旱作</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标准后用于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rPr>
        <w:t>。因此，建设单位只要做好事故废水的收集与处置，项目非正常工况下废水不会对周边地表水环境造成影响。</w:t>
      </w:r>
    </w:p>
    <w:p>
      <w:pPr>
        <w:pStyle w:val="24"/>
        <w:rPr>
          <w:rFonts w:hint="default" w:ascii="Times New Roman" w:hAnsi="Times New Roman" w:eastAsia="宋体" w:cs="Times New Roman"/>
          <w:color w:val="auto"/>
          <w:spacing w:val="0"/>
          <w:w w:val="100"/>
          <w:kern w:val="0"/>
          <w:position w:val="0"/>
          <w:sz w:val="24"/>
          <w:szCs w:val="22"/>
          <w:highlight w:val="none"/>
          <w:lang w:val="zh-CN" w:eastAsia="zh-CN" w:bidi="ar-SA"/>
        </w:rPr>
      </w:pPr>
      <w:r>
        <w:rPr>
          <w:rFonts w:hint="default" w:ascii="Times New Roman" w:hAnsi="Times New Roman" w:eastAsia="宋体" w:cs="Times New Roman"/>
          <w:color w:val="auto"/>
          <w:spacing w:val="0"/>
          <w:w w:val="100"/>
          <w:kern w:val="0"/>
          <w:position w:val="0"/>
          <w:sz w:val="24"/>
          <w:szCs w:val="22"/>
          <w:highlight w:val="none"/>
          <w:lang w:val="zh-CN" w:eastAsia="zh-CN" w:bidi="ar-SA"/>
        </w:rPr>
        <w:t>建设项目地表水环境影响评价自查表详见表5.2-1。</w:t>
      </w:r>
    </w:p>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sectPr>
          <w:headerReference r:id="rId16"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表5.2-1   项目建设项目地表水环境影响评价自查表</w:t>
      </w:r>
    </w:p>
    <w:tbl>
      <w:tblPr>
        <w:tblStyle w:val="25"/>
        <w:tblW w:w="136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52"/>
        <w:gridCol w:w="2846"/>
        <w:gridCol w:w="2045"/>
        <w:gridCol w:w="513"/>
        <w:gridCol w:w="855"/>
        <w:gridCol w:w="682"/>
        <w:gridCol w:w="1027"/>
        <w:gridCol w:w="1023"/>
        <w:gridCol w:w="253"/>
        <w:gridCol w:w="429"/>
        <w:gridCol w:w="1368"/>
        <w:gridCol w:w="47"/>
        <w:gridCol w:w="566"/>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tblHeader/>
          <w:jc w:val="center"/>
        </w:trPr>
        <w:tc>
          <w:tcPr>
            <w:tcW w:w="339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
                <w:caps w:val="0"/>
                <w:smallCaps w:val="0"/>
                <w:snapToGrid w:val="0"/>
                <w:color w:val="auto"/>
                <w:spacing w:val="0"/>
                <w:w w:val="100"/>
                <w:kern w:val="0"/>
                <w:position w:val="0"/>
                <w:sz w:val="21"/>
                <w:szCs w:val="21"/>
                <w:highlight w:val="none"/>
              </w:rPr>
            </w:pPr>
            <w:r>
              <w:rPr>
                <w:rFonts w:hint="default" w:ascii="Times New Roman" w:hAnsi="Times New Roman" w:cs="Times New Roman"/>
                <w:b/>
                <w:caps w:val="0"/>
                <w:smallCaps w:val="0"/>
                <w:snapToGrid w:val="0"/>
                <w:color w:val="auto"/>
                <w:spacing w:val="0"/>
                <w:w w:val="100"/>
                <w:kern w:val="0"/>
                <w:position w:val="0"/>
                <w:sz w:val="21"/>
                <w:szCs w:val="21"/>
                <w:highlight w:val="none"/>
              </w:rPr>
              <w:t>工作内容</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
                <w:caps w:val="0"/>
                <w:smallCaps w:val="0"/>
                <w:snapToGrid w:val="0"/>
                <w:color w:val="auto"/>
                <w:spacing w:val="0"/>
                <w:w w:val="100"/>
                <w:kern w:val="0"/>
                <w:position w:val="0"/>
                <w:sz w:val="21"/>
                <w:szCs w:val="21"/>
                <w:highlight w:val="none"/>
              </w:rPr>
            </w:pPr>
            <w:r>
              <w:rPr>
                <w:rFonts w:hint="default" w:ascii="Times New Roman" w:hAnsi="Times New Roman" w:cs="Times New Roman"/>
                <w:b/>
                <w:caps w:val="0"/>
                <w:smallCaps w:val="0"/>
                <w:snapToGrid w:val="0"/>
                <w:color w:val="auto"/>
                <w:spacing w:val="0"/>
                <w:w w:val="100"/>
                <w:kern w:val="0"/>
                <w:position w:val="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响</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识</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别</w:t>
            </w: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影响类型</w:t>
            </w:r>
          </w:p>
        </w:tc>
        <w:tc>
          <w:tcPr>
            <w:tcW w:w="10259" w:type="dxa"/>
            <w:gridSpan w:val="12"/>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水污染影响型</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；水文要素影响型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水环境保护目标</w:t>
            </w:r>
          </w:p>
        </w:tc>
        <w:tc>
          <w:tcPr>
            <w:tcW w:w="10259" w:type="dxa"/>
            <w:gridSpan w:val="12"/>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饮用水水源保护区</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；饮用水取水口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；涉水的自然保护区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；重要湿地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重点保护与珍稀水生生物的栖息地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；重要水生生物的自然产卵场及索饵场、越冬场和洄游通道、天然渔场等渔业水体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；涉水的风景名胜区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影响途径</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水污染影响型</w:t>
            </w:r>
          </w:p>
        </w:tc>
        <w:tc>
          <w:tcPr>
            <w:tcW w:w="5137" w:type="dxa"/>
            <w:gridSpan w:val="7"/>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直接排放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；间接排放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；其他</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水温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；径流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；水域面积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影响因子</w:t>
            </w: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持久性污染物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；有毒有害污染物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；非持久性污染物</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；pH值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；热污染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；富营养化</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；其他</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水温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；水位（水深）</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；流速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；流量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398" w:type="dxa"/>
            <w:gridSpan w:val="2"/>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评价等级</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水污染影响型</w:t>
            </w:r>
          </w:p>
        </w:tc>
        <w:tc>
          <w:tcPr>
            <w:tcW w:w="5137" w:type="dxa"/>
            <w:gridSpan w:val="7"/>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398" w:type="dxa"/>
            <w:gridSpan w:val="2"/>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一级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；二级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；三级A</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；三级B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一级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；二级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；三级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现</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状</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调</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查</w:t>
            </w: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区域污染源</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调查项目</w:t>
            </w:r>
          </w:p>
        </w:tc>
        <w:tc>
          <w:tcPr>
            <w:tcW w:w="5137" w:type="dxa"/>
            <w:gridSpan w:val="7"/>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己建 口；在建 口；拟建 口；</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拟替代的污染源 口 其他 口</w:t>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排污许可证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；环评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；环保验收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；既有实测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；现场 监测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；入河排放口数据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受影响水体水环境质量</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调查时期</w:t>
            </w:r>
          </w:p>
        </w:tc>
        <w:tc>
          <w:tcPr>
            <w:tcW w:w="5137" w:type="dxa"/>
            <w:gridSpan w:val="7"/>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丰水期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；平水期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；枯水期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；冰封期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春季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；夏季 口；秋季 口；冬季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生态环境保护主管部门</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；补充监测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区域水资源开发利用状况</w:t>
            </w:r>
          </w:p>
        </w:tc>
        <w:tc>
          <w:tcPr>
            <w:tcW w:w="10259" w:type="dxa"/>
            <w:gridSpan w:val="12"/>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未开发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；开发量40%以下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；开发量40%以上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水文情势调查</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调查时期</w:t>
            </w:r>
          </w:p>
        </w:tc>
        <w:tc>
          <w:tcPr>
            <w:tcW w:w="5137" w:type="dxa"/>
            <w:gridSpan w:val="7"/>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丰水期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；平水期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；枯水期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；冰封期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春季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；夏季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；秋季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；冬季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c>
          <w:tcPr>
            <w:tcW w:w="5137" w:type="dxa"/>
            <w:gridSpan w:val="7"/>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水行政主管部门</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；补充监测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补充监测</w:t>
            </w:r>
          </w:p>
        </w:tc>
        <w:tc>
          <w:tcPr>
            <w:tcW w:w="5122"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监测时期</w:t>
            </w:r>
          </w:p>
        </w:tc>
        <w:tc>
          <w:tcPr>
            <w:tcW w:w="3120"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监测因子</w:t>
            </w:r>
          </w:p>
        </w:tc>
        <w:tc>
          <w:tcPr>
            <w:tcW w:w="2017" w:type="dxa"/>
            <w:gridSpan w:val="2"/>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5122"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丰水期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；平水期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；枯水期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；冰封期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春季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；夏季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；秋季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；冬季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c>
          <w:tcPr>
            <w:tcW w:w="3120" w:type="dxa"/>
            <w:gridSpan w:val="5"/>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17" w:type="dxa"/>
            <w:gridSpan w:val="2"/>
            <w:tcBorders>
              <w:tl2br w:val="nil"/>
              <w:tr2bl w:val="nil"/>
            </w:tcBorders>
            <w:noWrap/>
            <w:vAlign w:val="center"/>
          </w:tcPr>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监测断面或点位个数</w:t>
            </w:r>
          </w:p>
          <w:p>
            <w:pPr>
              <w:tabs>
                <w:tab w:val="left" w:pos="1200"/>
              </w:tabs>
              <w:adjustRightInd w:val="0"/>
              <w:snapToGrid w:val="0"/>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现</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状</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价</w:t>
            </w: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评价范围</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河流：长度（）km;湖库、河口及近岸海域：面积（）km</w:t>
            </w:r>
            <w:r>
              <w:rPr>
                <w:rFonts w:hint="default" w:ascii="Times New Roman" w:hAnsi="Times New Roman" w:cs="Times New Roman"/>
                <w:bCs/>
                <w:caps w:val="0"/>
                <w:smallCaps w:val="0"/>
                <w:snapToGrid w:val="0"/>
                <w:color w:val="auto"/>
                <w:spacing w:val="0"/>
                <w:w w:val="100"/>
                <w:kern w:val="0"/>
                <w:positio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评价因子</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(pH、溶解氧、高锰酸盐指数、化学需氧量、氨氮、总磷、总氮、铜、锌、铅、镉、生化需氧量、砷、硒、汞、六价铬、氟化物、氰化物、挥发酚、石油类、阴离子表面活性剂、硫化物)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评价标准</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河流、湖库、河口： </w:t>
            </w:r>
            <w:r>
              <w:rPr>
                <w:rFonts w:hint="default" w:ascii="Times New Roman" w:hAnsi="Times New Roman" w:cs="Times New Roman"/>
                <w:bCs/>
                <w:caps w:val="0"/>
                <w:smallCaps w:val="0"/>
                <w:snapToGrid w:val="0"/>
                <w:color w:val="auto"/>
                <w:spacing w:val="0"/>
                <w:w w:val="100"/>
                <w:kern w:val="0"/>
                <w:position w:val="0"/>
                <w:sz w:val="21"/>
                <w:szCs w:val="21"/>
                <w:highlight w:val="none"/>
                <w:lang w:val="zh-CN"/>
              </w:rPr>
              <w:t>I</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w:t>
            </w:r>
            <w:r>
              <w:rPr>
                <w:rFonts w:hint="default" w:ascii="Times New Roman" w:hAnsi="Times New Roman" w:cs="Times New Roman"/>
                <w:bCs/>
                <w:caps w:val="0"/>
                <w:smallCaps w:val="0"/>
                <w:snapToGrid w:val="0"/>
                <w:color w:val="auto"/>
                <w:spacing w:val="0"/>
                <w:w w:val="100"/>
                <w:kern w:val="0"/>
                <w:position w:val="0"/>
                <w:sz w:val="21"/>
                <w:szCs w:val="21"/>
                <w:highlight w:val="none"/>
                <w:lang w:val="zh-CN"/>
              </w:rPr>
              <w:t>II</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III类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w:t>
            </w:r>
            <w:r>
              <w:rPr>
                <w:rFonts w:hint="default" w:ascii="Times New Roman" w:hAnsi="Times New Roman" w:cs="Times New Roman"/>
                <w:bCs/>
                <w:caps w:val="0"/>
                <w:smallCaps w:val="0"/>
                <w:snapToGrid w:val="0"/>
                <w:color w:val="auto"/>
                <w:spacing w:val="0"/>
                <w:w w:val="100"/>
                <w:kern w:val="0"/>
                <w:position w:val="0"/>
                <w:sz w:val="21"/>
                <w:szCs w:val="21"/>
                <w:highlight w:val="none"/>
                <w:lang w:val="zh-CN"/>
              </w:rPr>
              <w:t>IV</w:t>
            </w:r>
            <w:r>
              <w:rPr>
                <w:rFonts w:hint="default" w:ascii="Times New Roman" w:hAnsi="Times New Roman" w:cs="Times New Roman"/>
                <w:bCs/>
                <w:caps w:val="0"/>
                <w:smallCaps w:val="0"/>
                <w:snapToGrid w:val="0"/>
                <w:color w:val="auto"/>
                <w:spacing w:val="0"/>
                <w:w w:val="100"/>
                <w:kern w:val="0"/>
                <w:position w:val="0"/>
                <w:sz w:val="21"/>
                <w:szCs w:val="21"/>
                <w:highlight w:val="none"/>
              </w:rPr>
              <w:t>类</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w:t>
            </w:r>
            <w:r>
              <w:rPr>
                <w:rFonts w:hint="default" w:ascii="Times New Roman" w:hAnsi="Times New Roman" w:cs="Times New Roman"/>
                <w:bCs/>
                <w:caps w:val="0"/>
                <w:smallCaps w:val="0"/>
                <w:snapToGrid w:val="0"/>
                <w:color w:val="auto"/>
                <w:spacing w:val="0"/>
                <w:w w:val="100"/>
                <w:kern w:val="0"/>
                <w:position w:val="0"/>
                <w:sz w:val="21"/>
                <w:szCs w:val="21"/>
                <w:highlight w:val="none"/>
                <w:lang w:val="zh-CN"/>
              </w:rPr>
              <w:t>V</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类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近岸海域：第一类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；第二类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；第三类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；第四类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评价时期</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丰水期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；平水期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；枯水期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；冰封期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春季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；夏季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；秋季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；冬季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评价结论</w:t>
            </w:r>
          </w:p>
        </w:tc>
        <w:tc>
          <w:tcPr>
            <w:tcW w:w="8808" w:type="dxa"/>
            <w:gridSpan w:val="11"/>
            <w:tcBorders>
              <w:tl2br w:val="nil"/>
              <w:tr2bl w:val="nil"/>
            </w:tcBorders>
            <w:noWrap/>
            <w:vAlign w:val="center"/>
          </w:tcPr>
          <w:p>
            <w:pPr>
              <w:tabs>
                <w:tab w:val="left" w:pos="1200"/>
              </w:tabs>
              <w:adjustRightInd w:val="0"/>
              <w:snapToGrid w:val="0"/>
              <w:jc w:val="left"/>
              <w:rPr>
                <w:rFonts w:hint="default" w:ascii="Times New Roman" w:hAnsi="Times New Roman" w:cs="Times New Roman"/>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水环境功能区或水功能区、近岸海域环境功能区水质达标状况 □:达标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；不达标</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水环境控制单元或断面水质达标状况□:达标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；不达标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水环境保护目标质量状况□:达标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；不达标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对照断面、控制断面等代表性断面的水质状况□:达标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；不达标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底泥污染评价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水资源与开发利用程度及其水文情势评价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水环境质量回顾评价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流域（区域）水资源（包括水能资源）与开发利用总体状况、生态流量管理要求与现状满足程度、建设项目占 用水域空间的水流状况与河湖演变状况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c>
          <w:tcPr>
            <w:tcW w:w="1451"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pPr>
            <w:r>
              <w:rPr>
                <w:rFonts w:hint="default" w:ascii="Times New Roman" w:hAnsi="Times New Roman" w:cs="Times New Roman"/>
                <w:bCs/>
                <w:caps w:val="0"/>
                <w:smallCaps w:val="0"/>
                <w:snapToGrid w:val="0"/>
                <w:color w:val="auto"/>
                <w:spacing w:val="0"/>
                <w:w w:val="100"/>
                <w:kern w:val="0"/>
                <w:position w:val="0"/>
                <w:sz w:val="21"/>
                <w:szCs w:val="21"/>
                <w:highlight w:val="none"/>
              </w:rPr>
              <w:t>达标区</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 xml:space="preserve">□ </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不达标区</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响</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测</w:t>
            </w: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预测范围</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河流：长度（）km;湖库、河口及近岸海域：面积（）km</w:t>
            </w:r>
            <w:r>
              <w:rPr>
                <w:rFonts w:hint="default" w:ascii="Times New Roman" w:hAnsi="Times New Roman" w:cs="Times New Roman"/>
                <w:bCs/>
                <w:caps w:val="0"/>
                <w:smallCaps w:val="0"/>
                <w:snapToGrid w:val="0"/>
                <w:color w:val="auto"/>
                <w:spacing w:val="0"/>
                <w:w w:val="100"/>
                <w:kern w:val="0"/>
                <w:positio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预测因子</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预测时期</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丰水期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；平水期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；枯水期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；冰封期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39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工作内容</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春季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；夏季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；秋季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；冬季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设计水文条件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预测情景</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建设期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；生产运行期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；服务期满后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正常工况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；非正常工况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污染控制和减缓措施方案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区（流）域环境质量改善目标要求情景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预测方法</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数值解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:解析解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 导则推荐模式□:其他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影</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响</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价</w:t>
            </w: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水污染控制和水环境影响减缓措 施有效性评价</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区（流）域水环境质量改善目标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；替代削减源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水环境影响评价</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排放口混合区外满足水环境管理要求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水环境功能区或水功能区、近岸海域环境功能区水质达标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满足水环境保护目标水域水环境质量要求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水环境控制单元或断面水质达标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满足重点水污染物排放总量控制指标要求，重点行业建设项目，主要污染物排放满足等量或减量替代要求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满足区（流）域水环境质量改善目标要求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水文要素影响型建设项目同时应包括水文情势变化评价、主要水文特征值影响评价、生态流量符合性评价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对于新设或调整入河（湖库、近岸海域）排放口的建设项目，应包括排放口设置的环境合理性评价 </w:t>
            </w:r>
            <w:r>
              <w:rPr>
                <w:rFonts w:hint="default" w:ascii="Times New Roman" w:hAnsi="Times New Roman" w:cs="Times New Roman"/>
                <w:caps w:val="0"/>
                <w:smallCaps w:val="0"/>
                <w:snapToGrid w:val="0"/>
                <w:color w:val="auto"/>
                <w:spacing w:val="0"/>
                <w:w w:val="100"/>
                <w:kern w:val="0"/>
                <w:position w:val="0"/>
                <w:sz w:val="21"/>
                <w:szCs w:val="21"/>
                <w:highlight w:val="none"/>
              </w:rPr>
              <w:t>☐</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满足生态保护红线、水环境质量底线、资源利用上线和环境准入清单管理要求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污染源排放量核算</w:t>
            </w:r>
          </w:p>
        </w:tc>
        <w:tc>
          <w:tcPr>
            <w:tcW w:w="3413"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污染物名称</w:t>
            </w:r>
          </w:p>
        </w:tc>
        <w:tc>
          <w:tcPr>
            <w:tcW w:w="3414"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排放量/ </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t</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a</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3432" w:type="dxa"/>
            <w:gridSpan w:val="4"/>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排放浓度/ </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mg</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L</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3413"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3414"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3432" w:type="dxa"/>
            <w:gridSpan w:val="4"/>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替代源排放情况</w:t>
            </w:r>
          </w:p>
        </w:tc>
        <w:tc>
          <w:tcPr>
            <w:tcW w:w="2045"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污染源名称</w:t>
            </w:r>
          </w:p>
        </w:tc>
        <w:tc>
          <w:tcPr>
            <w:tcW w:w="2050"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排污许可证编号</w:t>
            </w:r>
          </w:p>
        </w:tc>
        <w:tc>
          <w:tcPr>
            <w:tcW w:w="2050"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污染物名称</w:t>
            </w:r>
          </w:p>
        </w:tc>
        <w:tc>
          <w:tcPr>
            <w:tcW w:w="2050"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排放量/ </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t</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a</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64"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排放浓度/ </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mg</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L</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045"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50"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50"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50"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2064" w:type="dxa"/>
            <w:gridSpan w:val="3"/>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生态流量确定</w:t>
            </w:r>
          </w:p>
        </w:tc>
        <w:tc>
          <w:tcPr>
            <w:tcW w:w="10259" w:type="dxa"/>
            <w:gridSpan w:val="12"/>
            <w:tcBorders>
              <w:tl2br w:val="nil"/>
              <w:tr2bl w:val="nil"/>
            </w:tcBorders>
            <w:noWrap/>
            <w:vAlign w:val="center"/>
          </w:tcPr>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生态流量：一般水期</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w:t>
            </w:r>
            <w:r>
              <w:rPr>
                <w:rFonts w:hint="default" w:ascii="Times New Roman" w:hAnsi="Times New Roman" w:cs="Times New Roman"/>
                <w:bCs/>
                <w:caps w:val="0"/>
                <w:smallCaps w:val="0"/>
                <w:snapToGrid w:val="0"/>
                <w:color w:val="auto"/>
                <w:spacing w:val="0"/>
                <w:w w:val="100"/>
                <w:kern w:val="0"/>
                <w:position w:val="0"/>
                <w:sz w:val="21"/>
                <w:szCs w:val="21"/>
                <w:highlight w:val="none"/>
                <w:vertAlign w:val="superscript"/>
                <w:lang w:eastAsia="en-US"/>
              </w:rPr>
              <w:t>3</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s</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鱼类繁殖期</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w:t>
            </w:r>
            <w:r>
              <w:rPr>
                <w:rFonts w:hint="default" w:ascii="Times New Roman" w:hAnsi="Times New Roman" w:cs="Times New Roman"/>
                <w:bCs/>
                <w:caps w:val="0"/>
                <w:smallCaps w:val="0"/>
                <w:snapToGrid w:val="0"/>
                <w:color w:val="auto"/>
                <w:spacing w:val="0"/>
                <w:w w:val="100"/>
                <w:kern w:val="0"/>
                <w:position w:val="0"/>
                <w:sz w:val="21"/>
                <w:szCs w:val="21"/>
                <w:highlight w:val="none"/>
                <w:vertAlign w:val="superscript"/>
                <w:lang w:eastAsia="en-US"/>
              </w:rPr>
              <w:t>3</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s;</w:t>
            </w:r>
            <w:r>
              <w:rPr>
                <w:rFonts w:hint="default" w:ascii="Times New Roman" w:hAnsi="Times New Roman" w:cs="Times New Roman"/>
                <w:bCs/>
                <w:caps w:val="0"/>
                <w:smallCaps w:val="0"/>
                <w:snapToGrid w:val="0"/>
                <w:color w:val="auto"/>
                <w:spacing w:val="0"/>
                <w:w w:val="100"/>
                <w:kern w:val="0"/>
                <w:position w:val="0"/>
                <w:sz w:val="21"/>
                <w:szCs w:val="21"/>
                <w:highlight w:val="none"/>
                <w:lang w:val="zh-CN"/>
              </w:rPr>
              <w:t>其他</w:t>
            </w:r>
            <w:r>
              <w:rPr>
                <w:rFonts w:hint="default" w:ascii="Times New Roman" w:hAnsi="Times New Roman" w:cs="Times New Roman"/>
                <w:bCs/>
                <w:caps w:val="0"/>
                <w:smallCaps w:val="0"/>
                <w:snapToGrid w:val="0"/>
                <w:color w:val="auto"/>
                <w:spacing w:val="0"/>
                <w:w w:val="100"/>
                <w:kern w:val="0"/>
                <w:position w:val="0"/>
                <w:sz w:val="21"/>
                <w:szCs w:val="21"/>
                <w:highlight w:val="none"/>
              </w:rPr>
              <w:t>（）m</w:t>
            </w:r>
            <w:r>
              <w:rPr>
                <w:rFonts w:hint="default" w:ascii="Times New Roman" w:hAnsi="Times New Roman" w:cs="Times New Roman"/>
                <w:bCs/>
                <w:caps w:val="0"/>
                <w:smallCaps w:val="0"/>
                <w:snapToGrid w:val="0"/>
                <w:color w:val="auto"/>
                <w:spacing w:val="0"/>
                <w:w w:val="100"/>
                <w:kern w:val="0"/>
                <w:position w:val="0"/>
                <w:sz w:val="21"/>
                <w:szCs w:val="21"/>
                <w:highlight w:val="none"/>
                <w:vertAlign w:val="superscript"/>
              </w:rPr>
              <w:t>3</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/s </w:t>
            </w:r>
          </w:p>
          <w:p>
            <w:pPr>
              <w:tabs>
                <w:tab w:val="left" w:pos="1200"/>
              </w:tabs>
              <w:adjustRightInd w:val="0"/>
              <w:snapToGrid w:val="0"/>
              <w:jc w:val="left"/>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生态水位：一般水期</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鱼类繁殖期</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m</w:t>
            </w: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r>
              <w:rPr>
                <w:rFonts w:hint="default" w:ascii="Times New Roman" w:hAnsi="Times New Roman" w:cs="Times New Roman"/>
                <w:bCs/>
                <w:caps w:val="0"/>
                <w:smallCaps w:val="0"/>
                <w:snapToGrid w:val="0"/>
                <w:color w:val="auto"/>
                <w:spacing w:val="0"/>
                <w:w w:val="100"/>
                <w:kern w:val="0"/>
                <w:position w:val="0"/>
                <w:sz w:val="21"/>
                <w:szCs w:val="21"/>
                <w:highlight w:val="none"/>
              </w:rPr>
              <w:t>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39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工作内容</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防</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治</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措</w:t>
            </w:r>
          </w:p>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施</w:t>
            </w: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环保措施</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污水处理设施</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；水文减缓设施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；生态流量保障设施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；区域削减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；依托其他工程措施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；其他 </w:t>
            </w:r>
            <w:r>
              <w:rPr>
                <w:rFonts w:hint="default" w:ascii="Times New Roman" w:hAnsi="Times New Roman" w:cs="Times New Roman"/>
                <w:caps w:val="0"/>
                <w:smallCaps w:val="0"/>
                <w:snapToGrid w:val="0"/>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restart"/>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监测计划</w:t>
            </w:r>
          </w:p>
        </w:tc>
        <w:tc>
          <w:tcPr>
            <w:tcW w:w="255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3840"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环境质量</w:t>
            </w:r>
          </w:p>
        </w:tc>
        <w:tc>
          <w:tcPr>
            <w:tcW w:w="3861"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55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监测方式</w:t>
            </w:r>
          </w:p>
        </w:tc>
        <w:tc>
          <w:tcPr>
            <w:tcW w:w="3840"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手动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；自动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；无监测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c>
          <w:tcPr>
            <w:tcW w:w="3861"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手动 </w:t>
            </w:r>
            <w:r>
              <w:rPr>
                <w:rFonts w:hint="default" w:ascii="Times New Roman" w:hAnsi="Times New Roman" w:cs="Times New Roman"/>
                <w:caps w:val="0"/>
                <w:smallCaps w:val="0"/>
                <w:snapToGrid w:val="0"/>
                <w:color w:val="auto"/>
                <w:spacing w:val="0"/>
                <w:w w:val="100"/>
                <w:kern w:val="0"/>
                <w:position w:val="0"/>
                <w:sz w:val="21"/>
                <w:szCs w:val="21"/>
                <w:highlight w:val="none"/>
              </w:rPr>
              <w:t>☐</w:t>
            </w:r>
            <w:r>
              <w:rPr>
                <w:rFonts w:hint="default" w:ascii="Times New Roman" w:hAnsi="Times New Roman" w:cs="Times New Roman"/>
                <w:bCs/>
                <w:caps w:val="0"/>
                <w:smallCaps w:val="0"/>
                <w:snapToGrid w:val="0"/>
                <w:color w:val="auto"/>
                <w:spacing w:val="0"/>
                <w:w w:val="100"/>
                <w:kern w:val="0"/>
                <w:position w:val="0"/>
                <w:sz w:val="21"/>
                <w:szCs w:val="21"/>
                <w:highlight w:val="none"/>
              </w:rPr>
              <w:t xml:space="preserve">；自动 </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A3"/>
            </w:r>
            <w:r>
              <w:rPr>
                <w:rFonts w:hint="default" w:ascii="Times New Roman" w:hAnsi="Times New Roman" w:cs="Times New Roman"/>
                <w:bCs/>
                <w:caps w:val="0"/>
                <w:smallCaps w:val="0"/>
                <w:snapToGrid w:val="0"/>
                <w:color w:val="auto"/>
                <w:spacing w:val="0"/>
                <w:w w:val="100"/>
                <w:kern w:val="0"/>
                <w:position w:val="0"/>
                <w:sz w:val="21"/>
                <w:szCs w:val="21"/>
                <w:highlight w:val="none"/>
              </w:rPr>
              <w:t>；无监测</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55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监测点位</w:t>
            </w:r>
          </w:p>
        </w:tc>
        <w:tc>
          <w:tcPr>
            <w:tcW w:w="3840"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3861"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55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监测因子</w:t>
            </w:r>
          </w:p>
        </w:tc>
        <w:tc>
          <w:tcPr>
            <w:tcW w:w="3840"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c>
          <w:tcPr>
            <w:tcW w:w="3861" w:type="dxa"/>
            <w:gridSpan w:val="5"/>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52" w:type="dxa"/>
            <w:vMerge w:val="continue"/>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p>
        </w:tc>
        <w:tc>
          <w:tcPr>
            <w:tcW w:w="2846" w:type="dxa"/>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污染物排放清单</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398" w:type="dxa"/>
            <w:gridSpan w:val="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评价结论</w:t>
            </w:r>
          </w:p>
        </w:tc>
        <w:tc>
          <w:tcPr>
            <w:tcW w:w="10259" w:type="dxa"/>
            <w:gridSpan w:val="12"/>
            <w:tcBorders>
              <w:tl2br w:val="nil"/>
              <w:tr2bl w:val="nil"/>
            </w:tcBorders>
            <w:noWrap/>
            <w:vAlign w:val="center"/>
          </w:tcPr>
          <w:p>
            <w:pPr>
              <w:tabs>
                <w:tab w:val="left" w:pos="1200"/>
              </w:tabs>
              <w:adjustRightInd w:val="0"/>
              <w:snapToGrid w:val="0"/>
              <w:jc w:val="center"/>
              <w:rPr>
                <w:rFonts w:hint="default" w:ascii="Times New Roman" w:hAnsi="Times New Roman" w:cs="Times New Roman"/>
                <w:bCs/>
                <w:caps w:val="0"/>
                <w:smallCaps w:val="0"/>
                <w:snapToGrid w:val="0"/>
                <w:color w:val="auto"/>
                <w:spacing w:val="0"/>
                <w:w w:val="100"/>
                <w:kern w:val="0"/>
                <w:position w:val="0"/>
                <w:sz w:val="21"/>
                <w:szCs w:val="21"/>
                <w:highlight w:val="none"/>
              </w:rPr>
            </w:pPr>
            <w:r>
              <w:rPr>
                <w:rFonts w:hint="default" w:ascii="Times New Roman" w:hAnsi="Times New Roman" w:cs="Times New Roman"/>
                <w:bCs/>
                <w:caps w:val="0"/>
                <w:smallCaps w:val="0"/>
                <w:snapToGrid w:val="0"/>
                <w:color w:val="auto"/>
                <w:spacing w:val="0"/>
                <w:w w:val="100"/>
                <w:kern w:val="0"/>
                <w:position w:val="0"/>
                <w:sz w:val="21"/>
                <w:szCs w:val="21"/>
                <w:highlight w:val="none"/>
              </w:rPr>
              <w:t>可以接受</w:t>
            </w:r>
            <w:r>
              <w:rPr>
                <w:rFonts w:hint="default" w:ascii="Times New Roman" w:hAnsi="Times New Roman" w:cs="Times New Roman"/>
                <w:caps w:val="0"/>
                <w:smallCaps w:val="0"/>
                <w:snapToGrid w:val="0"/>
                <w:color w:val="auto"/>
                <w:spacing w:val="0"/>
                <w:w w:val="100"/>
                <w:kern w:val="0"/>
                <w:position w:val="0"/>
                <w:sz w:val="21"/>
                <w:szCs w:val="21"/>
                <w:highlight w:val="none"/>
              </w:rPr>
              <w:sym w:font="Wingdings 2" w:char="0052"/>
            </w:r>
            <w:r>
              <w:rPr>
                <w:rFonts w:hint="default" w:ascii="Times New Roman" w:hAnsi="Times New Roman" w:cs="Times New Roman"/>
                <w:bCs/>
                <w:caps w:val="0"/>
                <w:smallCaps w:val="0"/>
                <w:snapToGrid w:val="0"/>
                <w:color w:val="auto"/>
                <w:spacing w:val="0"/>
                <w:w w:val="100"/>
                <w:kern w:val="0"/>
                <w:position w:val="0"/>
                <w:sz w:val="21"/>
                <w:szCs w:val="21"/>
                <w:highlight w:val="none"/>
              </w:rPr>
              <w:t>；不可以接受口</w:t>
            </w:r>
          </w:p>
        </w:tc>
      </w:tr>
    </w:tbl>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sectPr>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70" w:name="_Toc16198"/>
      <w:r>
        <w:rPr>
          <w:rFonts w:hint="default" w:ascii="Times New Roman" w:hAnsi="Times New Roman" w:eastAsia="宋体" w:cs="Times New Roman"/>
          <w:snapToGrid w:val="0"/>
          <w:color w:val="auto"/>
          <w:spacing w:val="0"/>
          <w:w w:val="100"/>
          <w:kern w:val="0"/>
          <w:position w:val="0"/>
          <w:highlight w:val="none"/>
          <w:lang w:val="en-US" w:eastAsia="zh-CN"/>
        </w:rPr>
        <w:t>5.3地下水环境影响分析</w:t>
      </w:r>
      <w:bookmarkEnd w:id="870"/>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71" w:name="_Toc4053"/>
      <w:bookmarkStart w:id="872" w:name="_Toc15192"/>
      <w:bookmarkStart w:id="873" w:name="_Toc31840"/>
      <w:r>
        <w:rPr>
          <w:rFonts w:hint="default" w:ascii="Times New Roman" w:hAnsi="Times New Roman" w:eastAsia="宋体" w:cs="Times New Roman"/>
          <w:snapToGrid w:val="0"/>
          <w:color w:val="auto"/>
          <w:spacing w:val="0"/>
          <w:w w:val="100"/>
          <w:kern w:val="0"/>
          <w:position w:val="0"/>
          <w:sz w:val="28"/>
          <w:szCs w:val="28"/>
          <w:highlight w:val="none"/>
          <w:lang w:val="en-US" w:eastAsia="zh-CN"/>
        </w:rPr>
        <w:t>5.3.1区域水文地质条件</w:t>
      </w:r>
      <w:bookmarkEnd w:id="871"/>
      <w:bookmarkEnd w:id="872"/>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 xml:space="preserve">5.3.1.1场区地貌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场区内地形总体呈现西高东低，南高东北部低的低缓丘陵地貌。最高标高点位于南部边界偏东位置的山丘地带，最高标高+1</w:t>
      </w:r>
      <w:r>
        <w:rPr>
          <w:rFonts w:hint="eastAsia" w:ascii="Times New Roman" w:hAnsi="Times New Roman" w:cs="Times New Roman"/>
          <w:color w:val="auto"/>
          <w:spacing w:val="0"/>
          <w:w w:val="100"/>
          <w:kern w:val="0"/>
          <w:position w:val="0"/>
          <w:sz w:val="24"/>
          <w:szCs w:val="24"/>
          <w:lang w:val="en-US" w:eastAsia="zh-CN" w:bidi="ar"/>
        </w:rPr>
        <w:t>466</w:t>
      </w:r>
      <w:r>
        <w:rPr>
          <w:rFonts w:hint="default" w:ascii="Times New Roman" w:hAnsi="Times New Roman" w:eastAsia="宋体" w:cs="Times New Roman"/>
          <w:color w:val="auto"/>
          <w:spacing w:val="0"/>
          <w:w w:val="100"/>
          <w:kern w:val="0"/>
          <w:position w:val="0"/>
          <w:sz w:val="24"/>
          <w:szCs w:val="24"/>
          <w:lang w:val="en-US" w:eastAsia="zh-CN" w:bidi="ar"/>
        </w:rPr>
        <w:t>.00m；最低点标高位于渗滤液池附近，最低点标高为+1</w:t>
      </w:r>
      <w:r>
        <w:rPr>
          <w:rFonts w:hint="eastAsia" w:ascii="Times New Roman" w:hAnsi="Times New Roman" w:cs="Times New Roman"/>
          <w:color w:val="auto"/>
          <w:spacing w:val="0"/>
          <w:w w:val="100"/>
          <w:kern w:val="0"/>
          <w:position w:val="0"/>
          <w:sz w:val="24"/>
          <w:szCs w:val="24"/>
          <w:lang w:val="en-US" w:eastAsia="zh-CN" w:bidi="ar"/>
        </w:rPr>
        <w:t>455</w:t>
      </w:r>
      <w:r>
        <w:rPr>
          <w:rFonts w:hint="default" w:ascii="Times New Roman" w:hAnsi="Times New Roman" w:eastAsia="宋体" w:cs="Times New Roman"/>
          <w:color w:val="auto"/>
          <w:spacing w:val="0"/>
          <w:w w:val="100"/>
          <w:kern w:val="0"/>
          <w:position w:val="0"/>
          <w:sz w:val="24"/>
          <w:szCs w:val="24"/>
          <w:lang w:val="en-US" w:eastAsia="zh-CN" w:bidi="ar"/>
        </w:rPr>
        <w:t>.00m。渣场内大部分地区为沙丘掩盖，多系风成垄状及新月形流动沙丘，间有植被固定、半固定沙丘，场内最大相对高差</w:t>
      </w:r>
      <w:r>
        <w:rPr>
          <w:rFonts w:hint="eastAsia" w:ascii="Times New Roman" w:hAnsi="Times New Roman" w:cs="Times New Roman"/>
          <w:color w:val="auto"/>
          <w:spacing w:val="0"/>
          <w:w w:val="100"/>
          <w:kern w:val="0"/>
          <w:position w:val="0"/>
          <w:sz w:val="24"/>
          <w:szCs w:val="24"/>
          <w:lang w:val="en-US" w:eastAsia="zh-CN" w:bidi="ar"/>
        </w:rPr>
        <w:t>11</w:t>
      </w:r>
      <w:r>
        <w:rPr>
          <w:rFonts w:hint="default" w:ascii="Times New Roman" w:hAnsi="Times New Roman" w:eastAsia="宋体" w:cs="Times New Roman"/>
          <w:color w:val="auto"/>
          <w:spacing w:val="0"/>
          <w:w w:val="100"/>
          <w:kern w:val="0"/>
          <w:position w:val="0"/>
          <w:sz w:val="24"/>
          <w:szCs w:val="24"/>
          <w:lang w:val="en-US" w:eastAsia="zh-CN" w:bidi="ar"/>
        </w:rPr>
        <w:t>m。</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5.3.1.2场区地层结构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 xml:space="preserve">勘探揭示：场区地层以风积的粉砂、黄土状粉土、角砾层为主；各土层描述如下：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①素填土Q</w:t>
      </w:r>
      <w:r>
        <w:rPr>
          <w:rFonts w:hint="default" w:ascii="Times New Roman" w:hAnsi="Times New Roman" w:eastAsia="宋体" w:cs="Times New Roman"/>
          <w:color w:val="auto"/>
          <w:spacing w:val="0"/>
          <w:w w:val="100"/>
          <w:kern w:val="0"/>
          <w:position w:val="0"/>
          <w:sz w:val="24"/>
          <w:szCs w:val="24"/>
          <w:vertAlign w:val="subscript"/>
          <w:lang w:val="en-US" w:eastAsia="zh-CN" w:bidi="ar"/>
        </w:rPr>
        <w:t>4</w:t>
      </w:r>
      <w:r>
        <w:rPr>
          <w:rFonts w:hint="default" w:ascii="Times New Roman" w:hAnsi="Times New Roman" w:eastAsia="宋体" w:cs="Times New Roman"/>
          <w:color w:val="auto"/>
          <w:spacing w:val="0"/>
          <w:w w:val="100"/>
          <w:kern w:val="0"/>
          <w:position w:val="0"/>
          <w:sz w:val="24"/>
          <w:szCs w:val="24"/>
          <w:vertAlign w:val="superscript"/>
          <w:lang w:val="en-US" w:eastAsia="zh-CN" w:bidi="ar"/>
        </w:rPr>
        <w:t>ml</w:t>
      </w:r>
      <w:r>
        <w:rPr>
          <w:rFonts w:hint="default" w:ascii="Times New Roman" w:hAnsi="Times New Roman" w:eastAsia="宋体" w:cs="Times New Roman"/>
          <w:color w:val="auto"/>
          <w:spacing w:val="0"/>
          <w:w w:val="100"/>
          <w:kern w:val="0"/>
          <w:position w:val="0"/>
          <w:sz w:val="24"/>
          <w:szCs w:val="24"/>
          <w:lang w:val="en-US" w:eastAsia="zh-CN" w:bidi="ar"/>
        </w:rPr>
        <w:t xml:space="preserve">：为近期回填土，杂色、松散～稍密、稍湿，成份杂乱，以黄土状粉土为主，地表长有植物。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②黄土状粉土（Q</w:t>
      </w:r>
      <w:r>
        <w:rPr>
          <w:rFonts w:hint="default" w:ascii="Times New Roman" w:hAnsi="Times New Roman" w:eastAsia="宋体" w:cs="Times New Roman"/>
          <w:color w:val="auto"/>
          <w:spacing w:val="0"/>
          <w:w w:val="100"/>
          <w:kern w:val="0"/>
          <w:position w:val="0"/>
          <w:sz w:val="24"/>
          <w:szCs w:val="24"/>
          <w:vertAlign w:val="subscript"/>
          <w:lang w:val="en-US" w:eastAsia="zh-CN" w:bidi="ar"/>
        </w:rPr>
        <w:t>4</w:t>
      </w:r>
      <w:r>
        <w:rPr>
          <w:rFonts w:hint="default" w:ascii="Times New Roman" w:hAnsi="Times New Roman" w:eastAsia="宋体" w:cs="Times New Roman"/>
          <w:color w:val="auto"/>
          <w:spacing w:val="0"/>
          <w:w w:val="100"/>
          <w:kern w:val="0"/>
          <w:position w:val="0"/>
          <w:sz w:val="24"/>
          <w:szCs w:val="24"/>
          <w:vertAlign w:val="superscript"/>
          <w:lang w:val="en-US" w:eastAsia="zh-CN" w:bidi="ar"/>
        </w:rPr>
        <w:t>1eol+al</w:t>
      </w:r>
      <w:r>
        <w:rPr>
          <w:rFonts w:hint="default" w:ascii="Times New Roman" w:hAnsi="Times New Roman" w:eastAsia="宋体" w:cs="Times New Roman"/>
          <w:color w:val="auto"/>
          <w:spacing w:val="0"/>
          <w:w w:val="100"/>
          <w:kern w:val="0"/>
          <w:position w:val="0"/>
          <w:sz w:val="24"/>
          <w:szCs w:val="24"/>
          <w:lang w:val="en-US" w:eastAsia="zh-CN" w:bidi="ar"/>
        </w:rPr>
        <w:t>）:属风积和冲、洪积多种作用成因。黄褐色，以黄土状粉土 为主，含砾及砂质。具冲孔及微细孔，可见白色钙质菌丝，局部具湿陷性。稍湿-很湿， 松散-密实，局部稍密，属中、低压缩性土，摇振反应中等、干强度、韧性均较低，渗透系数k平均值为3.18×10</w:t>
      </w:r>
      <w:r>
        <w:rPr>
          <w:rFonts w:hint="default" w:ascii="Times New Roman" w:hAnsi="Times New Roman" w:eastAsia="宋体" w:cs="Times New Roman"/>
          <w:color w:val="auto"/>
          <w:spacing w:val="0"/>
          <w:w w:val="100"/>
          <w:kern w:val="0"/>
          <w:position w:val="0"/>
          <w:sz w:val="24"/>
          <w:szCs w:val="24"/>
          <w:vertAlign w:val="superscript"/>
          <w:lang w:val="en-US" w:eastAsia="zh-CN" w:bidi="ar"/>
        </w:rPr>
        <w:t>-4</w:t>
      </w:r>
      <w:r>
        <w:rPr>
          <w:rFonts w:hint="default" w:ascii="Times New Roman" w:hAnsi="Times New Roman" w:eastAsia="宋体" w:cs="Times New Roman"/>
          <w:color w:val="auto"/>
          <w:spacing w:val="0"/>
          <w:w w:val="100"/>
          <w:kern w:val="0"/>
          <w:position w:val="0"/>
          <w:sz w:val="24"/>
          <w:szCs w:val="24"/>
          <w:lang w:val="en-US" w:eastAsia="zh-CN" w:bidi="ar"/>
        </w:rPr>
        <w:t>cm/s。</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 xml:space="preserve">5.3.1.3 地下水的类型及埋藏特点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 xml:space="preserve">同心县是地下水位低，水源缺乏、水质差的干旱山区，境内有清水河、苦水河、长沙河三条河流。其中苦水河、长沙河是季节性河流，旱季干涸，雨季有少量水。清水河是黄河的一条支流，是同心县境内的长年性河流。清水河河谷平原区为第四承潜水及承压水，西部为自南而北的地下潜流补给，东部为自东而西的第三系孔隙裂陈水，沟谷潜水及季节性洪水补给，降水的补给意义不大。场区湿陷性黄土工程地质分区属陇东一陕北一晋西地区。在地貌上属较平缓的黄土缘，为清水河二级阶地。 </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 xml:space="preserve">5.3.1.4 场地水文特征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0"/>
          <w:position w:val="0"/>
          <w:sz w:val="24"/>
          <w:szCs w:val="24"/>
          <w:lang w:val="en-US" w:eastAsia="zh-CN" w:bidi="ar"/>
        </w:rPr>
      </w:pPr>
      <w:r>
        <w:rPr>
          <w:rFonts w:hint="default" w:ascii="Times New Roman" w:hAnsi="Times New Roman" w:eastAsia="宋体" w:cs="Times New Roman"/>
          <w:color w:val="auto"/>
          <w:spacing w:val="0"/>
          <w:w w:val="100"/>
          <w:kern w:val="0"/>
          <w:position w:val="0"/>
          <w:sz w:val="24"/>
          <w:szCs w:val="24"/>
          <w:lang w:val="en-US" w:eastAsia="zh-CN" w:bidi="ar"/>
        </w:rPr>
        <w:t>项目区地处鄂尔多斯盆地西缘灵盐台地。该地区总体水文地质特征为大部分第四系不含地下水，只在丘间洼地和较大的并且第四系沉积较厚的丘陵间蝶形地带赋存少量的地下水，丘间洼地地下水成独立的地下水系统相互间不存在水力联系，地下水多为苦成水；第三系广泛分布在第四系之下，但由于其岩性以及气候条件因素限制，透水性较差含水性弱，地下水贫乏，且水质普遍较差，一些地区在砂岩夹层中含有少量的层间孔隙水；而深理于第三系之下的前第三系地层赋存有一定量的地下水，但水质均较差，多为苦成水。</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5.3.2地下水污染途径分析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⑴正常工况</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对地下水影响途径主要是废水跑、冒、滴、漏下渗可能会对地下水水质造成影响。本项目针对可能接触粪污的地面全部为防渗混凝土地面，具有良好的隔水防渗性能，项目各功能区均设计有良好的排水系统，不会出现积水及内涝，产生的废水（生活污水、生产废水）由管网收集后送至自建污水处理站处理后污染物达到《农田灌溉水质标准》（GB5084-2005）中“旱作”标准后，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szCs w:val="24"/>
          <w:lang w:val="en-US" w:eastAsia="zh-CN"/>
        </w:rPr>
        <w:t>，不外排地表水体，故项目正常工况下不会导致粪污进入地下污染地下水质，因此，在采取各项防渗措施后，本工程正常工况下对地下水影响很小。</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⑵非正常工况</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非正常工况是指违反操作规程和有关规定或由于设备和管道的损坏，使正常生产持续被破坏，造成环境污染的状态。非正常状况属于不可控的、随机的工况；污染来源于事故排放，同时非正常工况下防渗层破损，导致污染物直接下渗对地下水水质造成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通过工程分析，确定本项目对地下水的可能影响途径包括：</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①挤奶</w:t>
      </w:r>
      <w:r>
        <w:rPr>
          <w:rFonts w:hint="default" w:ascii="Times New Roman" w:hAnsi="Times New Roman" w:eastAsia="宋体" w:cs="Times New Roman"/>
          <w:color w:val="auto"/>
          <w:spacing w:val="0"/>
          <w:w w:val="100"/>
          <w:kern w:val="0"/>
          <w:position w:val="0"/>
          <w:sz w:val="24"/>
          <w:szCs w:val="24"/>
          <w:lang w:val="zh-CN" w:eastAsia="zh-CN"/>
        </w:rPr>
        <w:t>厅</w:t>
      </w:r>
      <w:r>
        <w:rPr>
          <w:rFonts w:hint="default" w:ascii="Times New Roman" w:hAnsi="Times New Roman" w:eastAsia="宋体" w:cs="Times New Roman"/>
          <w:color w:val="auto"/>
          <w:spacing w:val="0"/>
          <w:w w:val="100"/>
          <w:kern w:val="0"/>
          <w:position w:val="0"/>
          <w:sz w:val="24"/>
          <w:szCs w:val="24"/>
          <w:lang w:val="en-US" w:eastAsia="zh-CN"/>
        </w:rPr>
        <w:t>、奶缸等设施清洗废水、挤奶厅地面冲洗废水、牛槽清洗废水和</w:t>
      </w:r>
      <w:r>
        <w:rPr>
          <w:rFonts w:hint="default" w:ascii="Times New Roman" w:hAnsi="Times New Roman" w:cs="Times New Roman"/>
          <w:color w:val="auto"/>
          <w:spacing w:val="0"/>
          <w:w w:val="100"/>
          <w:kern w:val="0"/>
          <w:position w:val="0"/>
          <w:sz w:val="24"/>
          <w:szCs w:val="24"/>
          <w:lang w:val="en-US" w:eastAsia="zh-CN"/>
        </w:rPr>
        <w:t>堆粪棚</w:t>
      </w:r>
      <w:r>
        <w:rPr>
          <w:rFonts w:hint="default" w:ascii="Times New Roman" w:hAnsi="Times New Roman" w:eastAsia="宋体" w:cs="Times New Roman"/>
          <w:color w:val="auto"/>
          <w:spacing w:val="0"/>
          <w:w w:val="100"/>
          <w:kern w:val="0"/>
          <w:position w:val="0"/>
          <w:sz w:val="24"/>
          <w:szCs w:val="24"/>
          <w:lang w:val="en-US" w:eastAsia="zh-CN"/>
        </w:rPr>
        <w:t>渗滤液因防渗层损坏渗入地下造成地下水环境污染。</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lang w:val="en-US" w:eastAsia="zh-CN"/>
        </w:rPr>
      </w:pPr>
      <w:r>
        <w:rPr>
          <w:rFonts w:hint="default" w:ascii="Times New Roman" w:hAnsi="Times New Roman" w:eastAsia="宋体" w:cs="Times New Roman"/>
          <w:color w:val="auto"/>
          <w:spacing w:val="0"/>
          <w:w w:val="100"/>
          <w:kern w:val="0"/>
          <w:position w:val="0"/>
          <w:sz w:val="24"/>
          <w:szCs w:val="24"/>
          <w:lang w:val="en-US" w:eastAsia="zh-CN"/>
        </w:rPr>
        <w:t>②污水处理设施构筑物及收集管道发生泄漏，污水渗入地下造成地下水环境污染。</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5.3.3地下水环境影响预测与分析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fldChar w:fldCharType="begin"/>
      </w:r>
      <w:r>
        <w:rPr>
          <w:rFonts w:hint="default" w:ascii="Times New Roman" w:hAnsi="Times New Roman" w:eastAsia="宋体" w:cs="Times New Roman"/>
          <w:color w:val="auto"/>
          <w:spacing w:val="0"/>
          <w:w w:val="100"/>
          <w:kern w:val="0"/>
          <w:position w:val="0"/>
          <w:sz w:val="24"/>
          <w:szCs w:val="15"/>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15"/>
          <w:highlight w:val="none"/>
        </w:rPr>
        <w:fldChar w:fldCharType="separate"/>
      </w:r>
      <w:r>
        <w:rPr>
          <w:rFonts w:hint="default" w:ascii="Times New Roman" w:hAnsi="Times New Roman" w:eastAsia="宋体" w:cs="Times New Roman"/>
          <w:color w:val="auto"/>
          <w:spacing w:val="0"/>
          <w:w w:val="100"/>
          <w:kern w:val="0"/>
          <w:position w:val="0"/>
          <w:sz w:val="24"/>
          <w:szCs w:val="15"/>
          <w:highlight w:val="none"/>
        </w:rPr>
        <w:t>⑴</w:t>
      </w:r>
      <w:r>
        <w:rPr>
          <w:rFonts w:hint="default" w:ascii="Times New Roman" w:hAnsi="Times New Roman" w:eastAsia="宋体" w:cs="Times New Roman"/>
          <w:color w:val="auto"/>
          <w:spacing w:val="0"/>
          <w:w w:val="100"/>
          <w:kern w:val="0"/>
          <w:position w:val="0"/>
          <w:sz w:val="24"/>
          <w:szCs w:val="15"/>
          <w:highlight w:val="none"/>
        </w:rPr>
        <w:fldChar w:fldCharType="end"/>
      </w:r>
      <w:r>
        <w:rPr>
          <w:rFonts w:hint="default" w:ascii="Times New Roman" w:hAnsi="Times New Roman" w:eastAsia="宋体" w:cs="Times New Roman"/>
          <w:color w:val="auto"/>
          <w:spacing w:val="0"/>
          <w:w w:val="100"/>
          <w:kern w:val="0"/>
          <w:position w:val="0"/>
          <w:sz w:val="24"/>
          <w:szCs w:val="15"/>
          <w:highlight w:val="none"/>
        </w:rPr>
        <w:t>污染因素</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本项目对地下水潜在的污染因素有COD、</w:t>
      </w:r>
      <w:r>
        <w:rPr>
          <w:rFonts w:hint="default" w:ascii="Times New Roman" w:hAnsi="Times New Roman" w:eastAsia="宋体" w:cs="Times New Roman"/>
          <w:color w:val="auto"/>
          <w:spacing w:val="0"/>
          <w:w w:val="100"/>
          <w:kern w:val="0"/>
          <w:position w:val="0"/>
          <w:sz w:val="24"/>
          <w:highlight w:val="none"/>
        </w:rPr>
        <w:t>NH</w:t>
      </w:r>
      <w:r>
        <w:rPr>
          <w:rFonts w:hint="default" w:ascii="Times New Roman" w:hAnsi="Times New Roman" w:eastAsia="宋体" w:cs="Times New Roman"/>
          <w:color w:val="auto"/>
          <w:spacing w:val="0"/>
          <w:w w:val="100"/>
          <w:kern w:val="0"/>
          <w:position w:val="0"/>
          <w:sz w:val="24"/>
          <w:highlight w:val="none"/>
          <w:vertAlign w:val="subscript"/>
        </w:rPr>
        <w:t>3</w:t>
      </w:r>
      <w:r>
        <w:rPr>
          <w:rFonts w:hint="default" w:ascii="Times New Roman" w:hAnsi="Times New Roman" w:eastAsia="宋体" w:cs="Times New Roman"/>
          <w:color w:val="auto"/>
          <w:spacing w:val="0"/>
          <w:w w:val="100"/>
          <w:kern w:val="0"/>
          <w:position w:val="0"/>
          <w:sz w:val="24"/>
          <w:highlight w:val="none"/>
        </w:rPr>
        <w:t>-N</w:t>
      </w:r>
      <w:r>
        <w:rPr>
          <w:rFonts w:hint="default" w:ascii="Times New Roman" w:hAnsi="Times New Roman" w:eastAsia="宋体" w:cs="Times New Roman"/>
          <w:color w:val="auto"/>
          <w:spacing w:val="0"/>
          <w:w w:val="100"/>
          <w:kern w:val="0"/>
          <w:position w:val="0"/>
          <w:sz w:val="24"/>
          <w:szCs w:val="15"/>
          <w:highlight w:val="none"/>
        </w:rPr>
        <w:t>等污染物。</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fldChar w:fldCharType="begin"/>
      </w:r>
      <w:r>
        <w:rPr>
          <w:rFonts w:hint="default" w:ascii="Times New Roman" w:hAnsi="Times New Roman" w:eastAsia="宋体" w:cs="Times New Roman"/>
          <w:color w:val="auto"/>
          <w:spacing w:val="0"/>
          <w:w w:val="100"/>
          <w:kern w:val="0"/>
          <w:position w:val="0"/>
          <w:sz w:val="24"/>
          <w:szCs w:val="15"/>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15"/>
          <w:highlight w:val="none"/>
        </w:rPr>
        <w:fldChar w:fldCharType="separate"/>
      </w:r>
      <w:r>
        <w:rPr>
          <w:rFonts w:hint="default" w:ascii="Times New Roman" w:hAnsi="Times New Roman" w:eastAsia="宋体" w:cs="Times New Roman"/>
          <w:color w:val="auto"/>
          <w:spacing w:val="0"/>
          <w:w w:val="100"/>
          <w:kern w:val="0"/>
          <w:position w:val="0"/>
          <w:sz w:val="24"/>
          <w:szCs w:val="15"/>
          <w:highlight w:val="none"/>
        </w:rPr>
        <w:t>⑵</w:t>
      </w:r>
      <w:r>
        <w:rPr>
          <w:rFonts w:hint="default" w:ascii="Times New Roman" w:hAnsi="Times New Roman" w:eastAsia="宋体" w:cs="Times New Roman"/>
          <w:color w:val="auto"/>
          <w:spacing w:val="0"/>
          <w:w w:val="100"/>
          <w:kern w:val="0"/>
          <w:position w:val="0"/>
          <w:sz w:val="24"/>
          <w:szCs w:val="15"/>
          <w:highlight w:val="none"/>
        </w:rPr>
        <w:fldChar w:fldCharType="end"/>
      </w:r>
      <w:r>
        <w:rPr>
          <w:rFonts w:hint="default" w:ascii="Times New Roman" w:hAnsi="Times New Roman" w:eastAsia="宋体" w:cs="Times New Roman"/>
          <w:color w:val="auto"/>
          <w:spacing w:val="0"/>
          <w:w w:val="100"/>
          <w:kern w:val="0"/>
          <w:position w:val="0"/>
          <w:sz w:val="24"/>
          <w:szCs w:val="15"/>
          <w:highlight w:val="none"/>
        </w:rPr>
        <w:t>污染源及污染途径</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lang w:val="zh-CN"/>
        </w:rPr>
      </w:pPr>
      <w:r>
        <w:rPr>
          <w:rFonts w:hint="default" w:ascii="Times New Roman" w:hAnsi="Times New Roman" w:eastAsia="宋体" w:cs="Times New Roman"/>
          <w:color w:val="auto"/>
          <w:spacing w:val="0"/>
          <w:w w:val="100"/>
          <w:kern w:val="0"/>
          <w:position w:val="0"/>
          <w:sz w:val="24"/>
          <w:szCs w:val="15"/>
          <w:highlight w:val="none"/>
          <w:lang w:val="zh-CN"/>
        </w:rPr>
        <w:t>污染源：污水</w:t>
      </w:r>
      <w:r>
        <w:rPr>
          <w:rFonts w:hint="eastAsia" w:ascii="Times New Roman" w:hAnsi="Times New Roman" w:cs="Times New Roman"/>
          <w:color w:val="auto"/>
          <w:spacing w:val="0"/>
          <w:w w:val="100"/>
          <w:kern w:val="0"/>
          <w:position w:val="0"/>
          <w:sz w:val="24"/>
          <w:szCs w:val="15"/>
          <w:highlight w:val="none"/>
          <w:lang w:val="zh-CN"/>
        </w:rPr>
        <w:t>处理站污水池、氧化塘，</w:t>
      </w:r>
      <w:r>
        <w:rPr>
          <w:rFonts w:hint="default" w:ascii="Times New Roman" w:hAnsi="Times New Roman" w:eastAsia="宋体" w:cs="Times New Roman"/>
          <w:color w:val="auto"/>
          <w:spacing w:val="0"/>
          <w:w w:val="100"/>
          <w:kern w:val="0"/>
          <w:position w:val="0"/>
          <w:sz w:val="24"/>
          <w:szCs w:val="15"/>
          <w:highlight w:val="none"/>
          <w:lang w:val="zh-CN"/>
        </w:rPr>
        <w:t>污水收集管道。</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lang w:val="zh-CN"/>
        </w:rPr>
      </w:pPr>
      <w:r>
        <w:rPr>
          <w:rFonts w:hint="default" w:ascii="Times New Roman" w:hAnsi="Times New Roman" w:eastAsia="宋体" w:cs="Times New Roman"/>
          <w:color w:val="auto"/>
          <w:spacing w:val="0"/>
          <w:w w:val="100"/>
          <w:kern w:val="0"/>
          <w:position w:val="0"/>
          <w:sz w:val="24"/>
          <w:szCs w:val="15"/>
          <w:highlight w:val="none"/>
          <w:lang w:val="zh-CN"/>
        </w:rPr>
        <w:t>污染途径：污水收集管道</w:t>
      </w:r>
      <w:r>
        <w:rPr>
          <w:rFonts w:hint="eastAsia" w:ascii="Times New Roman" w:hAnsi="Times New Roman" w:cs="Times New Roman"/>
          <w:color w:val="auto"/>
          <w:spacing w:val="0"/>
          <w:w w:val="100"/>
          <w:kern w:val="0"/>
          <w:position w:val="0"/>
          <w:sz w:val="24"/>
          <w:szCs w:val="15"/>
          <w:highlight w:val="none"/>
          <w:lang w:val="zh-CN"/>
        </w:rPr>
        <w:t>、氧化塘</w:t>
      </w:r>
      <w:r>
        <w:rPr>
          <w:rFonts w:hint="default" w:ascii="Times New Roman" w:hAnsi="Times New Roman" w:eastAsia="宋体" w:cs="Times New Roman"/>
          <w:color w:val="auto"/>
          <w:spacing w:val="0"/>
          <w:w w:val="100"/>
          <w:kern w:val="0"/>
          <w:position w:val="0"/>
          <w:sz w:val="24"/>
          <w:szCs w:val="15"/>
          <w:highlight w:val="none"/>
          <w:lang w:val="zh-CN"/>
        </w:rPr>
        <w:t>、污水池发生泄漏，污水渗入地下造成地下水环境污染。</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fldChar w:fldCharType="begin"/>
      </w:r>
      <w:r>
        <w:rPr>
          <w:rFonts w:hint="default" w:ascii="Times New Roman" w:hAnsi="Times New Roman" w:eastAsia="宋体" w:cs="Times New Roman"/>
          <w:color w:val="auto"/>
          <w:spacing w:val="0"/>
          <w:w w:val="100"/>
          <w:kern w:val="0"/>
          <w:position w:val="0"/>
          <w:sz w:val="24"/>
          <w:szCs w:val="15"/>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15"/>
          <w:highlight w:val="none"/>
        </w:rPr>
        <w:fldChar w:fldCharType="separate"/>
      </w:r>
      <w:r>
        <w:rPr>
          <w:rFonts w:hint="default" w:ascii="Times New Roman" w:hAnsi="Times New Roman" w:eastAsia="宋体" w:cs="Times New Roman"/>
          <w:color w:val="auto"/>
          <w:spacing w:val="0"/>
          <w:w w:val="100"/>
          <w:kern w:val="0"/>
          <w:position w:val="0"/>
          <w:sz w:val="24"/>
          <w:szCs w:val="15"/>
          <w:highlight w:val="none"/>
        </w:rPr>
        <w:t>⑶</w:t>
      </w:r>
      <w:r>
        <w:rPr>
          <w:rFonts w:hint="default" w:ascii="Times New Roman" w:hAnsi="Times New Roman" w:eastAsia="宋体" w:cs="Times New Roman"/>
          <w:color w:val="auto"/>
          <w:spacing w:val="0"/>
          <w:w w:val="100"/>
          <w:kern w:val="0"/>
          <w:position w:val="0"/>
          <w:sz w:val="24"/>
          <w:szCs w:val="15"/>
          <w:highlight w:val="none"/>
        </w:rPr>
        <w:fldChar w:fldCharType="end"/>
      </w:r>
      <w:r>
        <w:rPr>
          <w:rFonts w:hint="default" w:ascii="Times New Roman" w:hAnsi="Times New Roman" w:eastAsia="宋体" w:cs="Times New Roman"/>
          <w:color w:val="auto"/>
          <w:spacing w:val="0"/>
          <w:w w:val="100"/>
          <w:kern w:val="0"/>
          <w:position w:val="0"/>
          <w:sz w:val="24"/>
          <w:szCs w:val="15"/>
          <w:highlight w:val="none"/>
        </w:rPr>
        <w:t>运营期地下水环境影响预测分析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eastAsia" w:ascii="Times New Roman" w:hAnsi="Times New Roman" w:cs="Times New Roman"/>
          <w:color w:val="auto"/>
          <w:spacing w:val="0"/>
          <w:w w:val="100"/>
          <w:kern w:val="0"/>
          <w:position w:val="0"/>
          <w:sz w:val="24"/>
          <w:szCs w:val="15"/>
          <w:highlight w:val="none"/>
          <w:lang w:eastAsia="zh-CN"/>
        </w:rPr>
        <w:t>污水处理站各池体、氧化塘</w:t>
      </w:r>
      <w:r>
        <w:rPr>
          <w:rFonts w:hint="default" w:ascii="Times New Roman" w:hAnsi="Times New Roman" w:eastAsia="宋体" w:cs="Times New Roman"/>
          <w:color w:val="auto"/>
          <w:spacing w:val="0"/>
          <w:w w:val="100"/>
          <w:kern w:val="0"/>
          <w:position w:val="0"/>
          <w:sz w:val="24"/>
          <w:szCs w:val="15"/>
          <w:highlight w:val="none"/>
        </w:rPr>
        <w:t>底部做防渗层，厂区除绿化地带、</w:t>
      </w:r>
      <w:r>
        <w:rPr>
          <w:rFonts w:hint="eastAsia" w:ascii="Times New Roman" w:hAnsi="Times New Roman" w:cs="Times New Roman"/>
          <w:color w:val="auto"/>
          <w:spacing w:val="0"/>
          <w:w w:val="100"/>
          <w:kern w:val="0"/>
          <w:position w:val="0"/>
          <w:sz w:val="24"/>
          <w:szCs w:val="15"/>
          <w:highlight w:val="none"/>
          <w:lang w:eastAsia="zh-CN"/>
        </w:rPr>
        <w:t>牛舍</w:t>
      </w:r>
      <w:r>
        <w:rPr>
          <w:rFonts w:hint="default" w:ascii="Times New Roman" w:hAnsi="Times New Roman" w:eastAsia="宋体" w:cs="Times New Roman"/>
          <w:color w:val="auto"/>
          <w:spacing w:val="0"/>
          <w:w w:val="100"/>
          <w:kern w:val="0"/>
          <w:position w:val="0"/>
          <w:sz w:val="24"/>
          <w:szCs w:val="15"/>
          <w:highlight w:val="none"/>
        </w:rPr>
        <w:t>运动场以外的地面均进行硬化，正常状况下拟建项目涉及的废水渗入地下的几率极小，对地下水影响甚微。工程本次评价拟主要考虑非正常工况下，不同形式污水泄漏对地下水水质的影响程度和影响范围，通过预测结果评价其对地下水环境造成的影响。</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在非正常工况下，污水泄漏事件具有突发性、泄漏量具有不确定性，项目最终废水暂存</w:t>
      </w:r>
      <w:r>
        <w:rPr>
          <w:rFonts w:hint="default" w:ascii="Times New Roman" w:hAnsi="Times New Roman" w:eastAsia="宋体" w:cs="Times New Roman"/>
          <w:color w:val="auto"/>
          <w:spacing w:val="0"/>
          <w:w w:val="100"/>
          <w:kern w:val="0"/>
          <w:position w:val="0"/>
          <w:sz w:val="24"/>
          <w:szCs w:val="15"/>
          <w:highlight w:val="none"/>
          <w:lang w:eastAsia="zh-CN"/>
        </w:rPr>
        <w:t>氧化塘</w:t>
      </w:r>
      <w:r>
        <w:rPr>
          <w:rFonts w:hint="eastAsia" w:ascii="Times New Roman" w:hAnsi="Times New Roman" w:cs="Times New Roman"/>
          <w:color w:val="auto"/>
          <w:spacing w:val="0"/>
          <w:w w:val="100"/>
          <w:kern w:val="0"/>
          <w:position w:val="0"/>
          <w:sz w:val="24"/>
          <w:szCs w:val="15"/>
          <w:highlight w:val="none"/>
          <w:lang w:eastAsia="zh-CN"/>
        </w:rPr>
        <w:t>。</w:t>
      </w:r>
      <w:r>
        <w:rPr>
          <w:rFonts w:hint="default" w:ascii="Times New Roman" w:hAnsi="Times New Roman" w:eastAsia="宋体" w:cs="Times New Roman"/>
          <w:color w:val="auto"/>
          <w:spacing w:val="0"/>
          <w:w w:val="100"/>
          <w:kern w:val="0"/>
          <w:position w:val="0"/>
          <w:sz w:val="24"/>
          <w:szCs w:val="15"/>
          <w:highlight w:val="none"/>
        </w:rPr>
        <w:t>因此，本次评价选择</w:t>
      </w:r>
      <w:r>
        <w:rPr>
          <w:rFonts w:hint="eastAsia" w:ascii="Times New Roman" w:hAnsi="Times New Roman" w:cs="Times New Roman"/>
          <w:color w:val="auto"/>
          <w:spacing w:val="0"/>
          <w:w w:val="100"/>
          <w:kern w:val="0"/>
          <w:position w:val="0"/>
          <w:sz w:val="24"/>
          <w:szCs w:val="15"/>
          <w:highlight w:val="none"/>
          <w:lang w:eastAsia="zh-CN"/>
        </w:rPr>
        <w:t>氧化塘</w:t>
      </w:r>
      <w:r>
        <w:rPr>
          <w:rFonts w:hint="default" w:ascii="Times New Roman" w:hAnsi="Times New Roman" w:eastAsia="宋体" w:cs="Times New Roman"/>
          <w:color w:val="auto"/>
          <w:spacing w:val="0"/>
          <w:w w:val="100"/>
          <w:kern w:val="0"/>
          <w:position w:val="0"/>
          <w:sz w:val="24"/>
          <w:szCs w:val="15"/>
          <w:highlight w:val="none"/>
        </w:rPr>
        <w:t>出现破损废水泄露进行设计预测。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预测时间：本次在设定预测时间时综合考虑了环境和人为因素、以及项目运行时间安排。</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预测范围：根据厂区所在位置的地下水流动方向和评价区划定范围，设计预测范围是从假定泄漏点至评价区东北方向的厂区下游区域。</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预测内容：选择污染物浓度较高的生产冲洗废水，进行污水瞬时泄漏和连续泄漏两种情况分析，说明污染物在地下水中的迁移特征，预测地下水环境中污染物超标范围、超标程度、影响距离和超标时间。</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lang w:eastAsia="zh-CN"/>
        </w:rPr>
        <w:t>预测因子</w:t>
      </w:r>
      <w:r>
        <w:rPr>
          <w:rFonts w:hint="default" w:ascii="Times New Roman" w:hAnsi="Times New Roman" w:eastAsia="宋体" w:cs="Times New Roman"/>
          <w:color w:val="auto"/>
          <w:spacing w:val="0"/>
          <w:w w:val="100"/>
          <w:kern w:val="0"/>
          <w:position w:val="0"/>
          <w:sz w:val="24"/>
          <w:szCs w:val="15"/>
          <w:highlight w:val="none"/>
        </w:rPr>
        <w:t>：参照《地下水质量标准》（GB/T14848-2017）中Ⅲ类水标准，对比污水中污染物与标准的浓度差异，选择超标倍数较高的污染物作为预测因子。因此选择</w:t>
      </w:r>
      <w:r>
        <w:rPr>
          <w:rFonts w:hint="default" w:ascii="Times New Roman" w:hAnsi="Times New Roman" w:eastAsia="宋体" w:cs="Times New Roman"/>
          <w:color w:val="auto"/>
          <w:spacing w:val="0"/>
          <w:w w:val="100"/>
          <w:kern w:val="0"/>
          <w:position w:val="0"/>
          <w:sz w:val="24"/>
          <w:highlight w:val="none"/>
        </w:rPr>
        <w:t>NH</w:t>
      </w:r>
      <w:r>
        <w:rPr>
          <w:rFonts w:hint="default" w:ascii="Times New Roman" w:hAnsi="Times New Roman" w:eastAsia="宋体" w:cs="Times New Roman"/>
          <w:color w:val="auto"/>
          <w:spacing w:val="0"/>
          <w:w w:val="100"/>
          <w:kern w:val="0"/>
          <w:position w:val="0"/>
          <w:sz w:val="24"/>
          <w:highlight w:val="none"/>
          <w:vertAlign w:val="subscript"/>
        </w:rPr>
        <w:t>3</w:t>
      </w:r>
      <w:r>
        <w:rPr>
          <w:rFonts w:hint="default" w:ascii="Times New Roman" w:hAnsi="Times New Roman" w:eastAsia="宋体" w:cs="Times New Roman"/>
          <w:color w:val="auto"/>
          <w:spacing w:val="0"/>
          <w:w w:val="100"/>
          <w:kern w:val="0"/>
          <w:position w:val="0"/>
          <w:sz w:val="24"/>
          <w:highlight w:val="none"/>
        </w:rPr>
        <w:t>-N</w:t>
      </w:r>
      <w:r>
        <w:rPr>
          <w:rFonts w:hint="eastAsia" w:ascii="Times New Roman" w:hAnsi="Times New Roman" w:cs="Times New Roman"/>
          <w:color w:val="auto"/>
          <w:spacing w:val="0"/>
          <w:w w:val="100"/>
          <w:kern w:val="0"/>
          <w:position w:val="0"/>
          <w:sz w:val="24"/>
          <w:highlight w:val="none"/>
          <w:lang w:eastAsia="zh-CN"/>
        </w:rPr>
        <w:t>作为</w:t>
      </w:r>
      <w:r>
        <w:rPr>
          <w:rFonts w:hint="default" w:ascii="Times New Roman" w:hAnsi="Times New Roman" w:eastAsia="宋体" w:cs="Times New Roman"/>
          <w:color w:val="auto"/>
          <w:spacing w:val="0"/>
          <w:w w:val="100"/>
          <w:kern w:val="0"/>
          <w:position w:val="0"/>
          <w:sz w:val="24"/>
          <w:szCs w:val="15"/>
          <w:highlight w:val="none"/>
        </w:rPr>
        <w:t>本次评价预测因子。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预测方法：按照《环境影响评价技术导则</w:t>
      </w:r>
      <w:r>
        <w:rPr>
          <w:rFonts w:hint="eastAsia" w:ascii="Times New Roman" w:hAnsi="Times New Roman" w:cs="Times New Roman"/>
          <w:color w:val="auto"/>
          <w:spacing w:val="0"/>
          <w:w w:val="100"/>
          <w:kern w:val="0"/>
          <w:position w:val="0"/>
          <w:sz w:val="24"/>
          <w:szCs w:val="15"/>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15"/>
          <w:highlight w:val="none"/>
        </w:rPr>
        <w:t>地下水环境》（HJ610-2016）规定，三级评价可采用解析法或类比分析法，故本环评拟采用解析法对地下水环境影响进行预测。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非正常工况污水管线突发泄露影响预测：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A预测模型建立</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评价区水文地质条件简单，采用解析法进行预测。本次地下水预测采用《环境影响评价技术导则 地下水》附录D推荐的预测模型：一维稳定流动一维水动力弥散问题中的一维无限长多孔介质柱体，示踪剂瞬时注入模型，预测公式为：</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object>
          <v:shape id="_x0000_i1027" o:spt="75" type="#_x0000_t75" style="height:39.35pt;width:129pt;" o:ole="t" filled="f" o:preferrelative="t" stroked="f" coordsize="21600,21600">
            <v:path/>
            <v:fill on="f" focussize="0,0"/>
            <v:stroke on="f"/>
            <v:imagedata r:id="rId29" o:title=""/>
            <o:lock v:ext="edit" aspectratio="t"/>
            <w10:wrap type="none"/>
            <w10:anchorlock/>
          </v:shape>
          <o:OLEObject Type="Embed" ProgID="Equation.3" ShapeID="_x0000_i1027" DrawAspect="Content" ObjectID="_1468075727" r:id="rId28">
            <o:LockedField>false</o:LockedField>
          </o:OLEObject>
        </w:objec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式中：x—距注入点的距离，m；</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t—时间，d；</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C（x</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t）—t时刻x处的污染物的浓度，mg/L；</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m—注入的示踪剂质量，kg；</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w—横截面面积，m</w:t>
      </w:r>
      <w:r>
        <w:rPr>
          <w:rFonts w:hint="default" w:ascii="Times New Roman" w:hAnsi="Times New Roman" w:eastAsia="宋体" w:cs="Times New Roman"/>
          <w:color w:val="auto"/>
          <w:spacing w:val="0"/>
          <w:w w:val="100"/>
          <w:kern w:val="0"/>
          <w:position w:val="0"/>
          <w:sz w:val="24"/>
          <w:szCs w:val="24"/>
          <w:highlight w:val="none"/>
          <w:vertAlign w:val="superscript"/>
        </w:rPr>
        <w:t>2</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n—有效孔隙度；</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u—水流速度，u=K·I/n，m/d；</w:t>
      </w:r>
    </w:p>
    <w:p>
      <w:pPr>
        <w:pStyle w:val="16"/>
        <w:adjustRightInd w:val="0"/>
        <w:spacing w:line="360" w:lineRule="auto"/>
        <w:ind w:firstLine="1200" w:firstLineChars="5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D</w:t>
      </w:r>
      <w:r>
        <w:rPr>
          <w:rFonts w:hint="default" w:ascii="Times New Roman" w:hAnsi="Times New Roman" w:eastAsia="宋体" w:cs="Times New Roman"/>
          <w:color w:val="auto"/>
          <w:spacing w:val="0"/>
          <w:w w:val="100"/>
          <w:kern w:val="0"/>
          <w:position w:val="0"/>
          <w:sz w:val="24"/>
          <w:szCs w:val="24"/>
          <w:highlight w:val="none"/>
          <w:vertAlign w:val="subscript"/>
        </w:rPr>
        <w:t>L</w:t>
      </w:r>
      <w:r>
        <w:rPr>
          <w:rFonts w:hint="default" w:ascii="Times New Roman" w:hAnsi="Times New Roman" w:eastAsia="宋体" w:cs="Times New Roman"/>
          <w:color w:val="auto"/>
          <w:spacing w:val="0"/>
          <w:w w:val="100"/>
          <w:kern w:val="0"/>
          <w:position w:val="0"/>
          <w:sz w:val="24"/>
          <w:szCs w:val="24"/>
          <w:highlight w:val="none"/>
        </w:rPr>
        <w:t>—纵向弥散系数，m</w:t>
      </w:r>
      <w:r>
        <w:rPr>
          <w:rFonts w:hint="default" w:ascii="Times New Roman" w:hAnsi="Times New Roman" w:eastAsia="宋体" w:cs="Times New Roman"/>
          <w:color w:val="auto"/>
          <w:spacing w:val="0"/>
          <w:w w:val="100"/>
          <w:kern w:val="0"/>
          <w:position w:val="0"/>
          <w:sz w:val="24"/>
          <w:szCs w:val="24"/>
          <w:highlight w:val="none"/>
          <w:vertAlign w:val="superscript"/>
        </w:rPr>
        <w:t>2</w:t>
      </w:r>
      <w:r>
        <w:rPr>
          <w:rFonts w:hint="default" w:ascii="Times New Roman" w:hAnsi="Times New Roman" w:eastAsia="宋体" w:cs="Times New Roman"/>
          <w:color w:val="auto"/>
          <w:spacing w:val="0"/>
          <w:w w:val="100"/>
          <w:kern w:val="0"/>
          <w:position w:val="0"/>
          <w:sz w:val="24"/>
          <w:szCs w:val="24"/>
          <w:highlight w:val="none"/>
        </w:rPr>
        <w:t>/d；</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B预测场景及源强确定</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①</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预测情景</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本情景假设</w:t>
      </w:r>
      <w:r>
        <w:rPr>
          <w:rFonts w:hint="eastAsia" w:ascii="Times New Roman" w:hAnsi="Times New Roman" w:cs="Times New Roman"/>
          <w:color w:val="auto"/>
          <w:spacing w:val="0"/>
          <w:w w:val="100"/>
          <w:kern w:val="0"/>
          <w:position w:val="0"/>
          <w:sz w:val="24"/>
          <w:szCs w:val="15"/>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底部发生破损，按照最不利情况考虑，生产废水</w:t>
      </w:r>
      <w:r>
        <w:rPr>
          <w:rFonts w:hint="eastAsia" w:ascii="Times New Roman" w:hAnsi="Times New Roman" w:cs="Times New Roman"/>
          <w:color w:val="auto"/>
          <w:spacing w:val="0"/>
          <w:w w:val="100"/>
          <w:kern w:val="0"/>
          <w:position w:val="0"/>
          <w:sz w:val="24"/>
          <w:szCs w:val="24"/>
          <w:highlight w:val="none"/>
          <w:lang w:eastAsia="zh-CN"/>
        </w:rPr>
        <w:t>泄漏</w:t>
      </w:r>
      <w:r>
        <w:rPr>
          <w:rFonts w:hint="default" w:ascii="Times New Roman" w:hAnsi="Times New Roman" w:eastAsia="宋体" w:cs="Times New Roman"/>
          <w:color w:val="auto"/>
          <w:spacing w:val="0"/>
          <w:w w:val="100"/>
          <w:kern w:val="0"/>
          <w:position w:val="0"/>
          <w:sz w:val="24"/>
          <w:szCs w:val="24"/>
          <w:highlight w:val="none"/>
        </w:rPr>
        <w:t>后直接进入第四系潜水含水层，造成地下水水质污染。</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②</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预测源强</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假定</w:t>
      </w:r>
      <w:r>
        <w:rPr>
          <w:rFonts w:hint="eastAsia" w:ascii="Times New Roman" w:hAnsi="Times New Roman" w:cs="Times New Roman"/>
          <w:color w:val="auto"/>
          <w:spacing w:val="0"/>
          <w:w w:val="100"/>
          <w:kern w:val="0"/>
          <w:position w:val="0"/>
          <w:sz w:val="24"/>
          <w:szCs w:val="15"/>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发生破损，废水发生渗漏，确定NH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-N预测因子，</w:t>
      </w:r>
      <w:r>
        <w:rPr>
          <w:rFonts w:hint="eastAsia" w:ascii="Times New Roman" w:hAnsi="Times New Roman" w:cs="Times New Roman"/>
          <w:snapToGrid w:val="0"/>
          <w:color w:val="auto"/>
          <w:spacing w:val="0"/>
          <w:w w:val="100"/>
          <w:kern w:val="0"/>
          <w:position w:val="0"/>
          <w:sz w:val="24"/>
          <w:lang w:eastAsia="zh-CN"/>
        </w:rPr>
        <w:t>废水</w:t>
      </w:r>
      <w:r>
        <w:rPr>
          <w:rFonts w:hint="default" w:ascii="Times New Roman" w:hAnsi="Times New Roman" w:eastAsia="宋体" w:cs="Times New Roman"/>
          <w:snapToGrid w:val="0"/>
          <w:color w:val="auto"/>
          <w:spacing w:val="0"/>
          <w:w w:val="100"/>
          <w:kern w:val="0"/>
          <w:position w:val="0"/>
          <w:sz w:val="24"/>
        </w:rPr>
        <w:t>中氨氮浓度取</w:t>
      </w:r>
      <w:r>
        <w:rPr>
          <w:rFonts w:hint="eastAsia" w:ascii="Times New Roman" w:hAnsi="Times New Roman" w:cs="Times New Roman"/>
          <w:snapToGrid w:val="0"/>
          <w:color w:val="auto"/>
          <w:spacing w:val="0"/>
          <w:w w:val="100"/>
          <w:kern w:val="0"/>
          <w:position w:val="0"/>
          <w:sz w:val="24"/>
          <w:lang w:val="en-US" w:eastAsia="zh-CN"/>
        </w:rPr>
        <w:t>27.7</w:t>
      </w:r>
      <w:r>
        <w:rPr>
          <w:rFonts w:hint="default" w:ascii="Times New Roman" w:hAnsi="Times New Roman" w:eastAsia="宋体" w:cs="Times New Roman"/>
          <w:snapToGrid w:val="0"/>
          <w:color w:val="auto"/>
          <w:spacing w:val="0"/>
          <w:w w:val="100"/>
          <w:kern w:val="0"/>
          <w:position w:val="0"/>
          <w:sz w:val="24"/>
        </w:rPr>
        <w:t>mg/L</w:t>
      </w:r>
      <w:r>
        <w:rPr>
          <w:rFonts w:hint="default" w:ascii="Times New Roman" w:hAnsi="Times New Roman" w:eastAsia="宋体" w:cs="Times New Roman"/>
          <w:snapToGrid w:val="0"/>
          <w:color w:val="auto"/>
          <w:spacing w:val="0"/>
          <w:w w:val="100"/>
          <w:kern w:val="0"/>
          <w:position w:val="0"/>
          <w:sz w:val="24"/>
          <w:lang w:eastAsia="zh-CN"/>
        </w:rPr>
        <w:t>，</w:t>
      </w:r>
      <w:r>
        <w:rPr>
          <w:rFonts w:hint="default" w:ascii="Times New Roman" w:hAnsi="Times New Roman" w:eastAsia="宋体" w:cs="Times New Roman"/>
          <w:color w:val="auto"/>
          <w:spacing w:val="0"/>
          <w:w w:val="100"/>
          <w:kern w:val="0"/>
          <w:position w:val="0"/>
          <w:sz w:val="24"/>
          <w:szCs w:val="24"/>
          <w:highlight w:val="none"/>
        </w:rPr>
        <w:t>《地下水质量标准》（GB/T14848-2017）中NH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-N的Ⅲ类水质标准为0.2mg/L</w:t>
      </w:r>
      <w:r>
        <w:rPr>
          <w:rFonts w:hint="default" w:ascii="Times New Roman" w:hAnsi="Times New Roman" w:eastAsia="宋体" w:cs="Times New Roman"/>
          <w:snapToGrid w:val="0"/>
          <w:color w:val="auto"/>
          <w:spacing w:val="0"/>
          <w:w w:val="100"/>
          <w:kern w:val="0"/>
          <w:position w:val="0"/>
          <w:sz w:val="24"/>
        </w:rPr>
        <w:t>，超标</w:t>
      </w:r>
      <w:r>
        <w:rPr>
          <w:rFonts w:hint="eastAsia" w:ascii="Times New Roman" w:hAnsi="Times New Roman" w:cs="Times New Roman"/>
          <w:snapToGrid w:val="0"/>
          <w:color w:val="auto"/>
          <w:spacing w:val="0"/>
          <w:w w:val="100"/>
          <w:kern w:val="0"/>
          <w:position w:val="0"/>
          <w:sz w:val="24"/>
          <w:lang w:val="en-US" w:eastAsia="zh-CN"/>
        </w:rPr>
        <w:t>138.5</w:t>
      </w:r>
      <w:r>
        <w:rPr>
          <w:rFonts w:hint="default" w:ascii="Times New Roman" w:hAnsi="Times New Roman" w:eastAsia="宋体" w:cs="Times New Roman"/>
          <w:snapToGrid w:val="0"/>
          <w:color w:val="auto"/>
          <w:spacing w:val="0"/>
          <w:w w:val="100"/>
          <w:kern w:val="0"/>
          <w:position w:val="0"/>
          <w:sz w:val="24"/>
        </w:rPr>
        <w:t>倍</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假定</w:t>
      </w:r>
      <w:r>
        <w:rPr>
          <w:rFonts w:hint="eastAsia" w:ascii="Times New Roman" w:hAnsi="Times New Roman" w:cs="Times New Roman"/>
          <w:color w:val="auto"/>
          <w:spacing w:val="0"/>
          <w:w w:val="100"/>
          <w:kern w:val="0"/>
          <w:position w:val="0"/>
          <w:sz w:val="24"/>
          <w:szCs w:val="15"/>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底部破损的面积占水池</w:t>
      </w:r>
      <w:r>
        <w:rPr>
          <w:rFonts w:hint="eastAsia" w:ascii="Times New Roman" w:hAnsi="Times New Roman" w:cs="Times New Roman"/>
          <w:color w:val="auto"/>
          <w:spacing w:val="0"/>
          <w:w w:val="100"/>
          <w:kern w:val="0"/>
          <w:position w:val="0"/>
          <w:sz w:val="24"/>
          <w:szCs w:val="24"/>
          <w:highlight w:val="none"/>
          <w:lang w:eastAsia="zh-CN"/>
        </w:rPr>
        <w:t>底部</w:t>
      </w:r>
      <w:r>
        <w:rPr>
          <w:rFonts w:hint="default" w:ascii="Times New Roman" w:hAnsi="Times New Roman" w:eastAsia="宋体" w:cs="Times New Roman"/>
          <w:color w:val="auto"/>
          <w:spacing w:val="0"/>
          <w:w w:val="100"/>
          <w:kern w:val="0"/>
          <w:position w:val="0"/>
          <w:sz w:val="24"/>
          <w:szCs w:val="24"/>
          <w:highlight w:val="none"/>
        </w:rPr>
        <w:t>面积的2%，取</w:t>
      </w:r>
      <w:r>
        <w:rPr>
          <w:rFonts w:hint="eastAsia" w:ascii="Times New Roman" w:hAnsi="Times New Roman" w:cs="Times New Roman"/>
          <w:color w:val="auto"/>
          <w:spacing w:val="0"/>
          <w:w w:val="100"/>
          <w:kern w:val="0"/>
          <w:position w:val="0"/>
          <w:sz w:val="24"/>
          <w:szCs w:val="24"/>
          <w:highlight w:val="none"/>
          <w:lang w:val="en-US" w:eastAsia="zh-CN"/>
        </w:rPr>
        <w:t>64</w:t>
      </w:r>
      <w:r>
        <w:rPr>
          <w:rFonts w:hint="default" w:ascii="Times New Roman" w:hAnsi="Times New Roman" w:eastAsia="宋体" w:cs="Times New Roman"/>
          <w:color w:val="auto"/>
          <w:spacing w:val="0"/>
          <w:w w:val="100"/>
          <w:kern w:val="0"/>
          <w:position w:val="0"/>
          <w:sz w:val="24"/>
          <w:szCs w:val="24"/>
          <w:highlight w:val="none"/>
        </w:rPr>
        <w:t>m</w:t>
      </w:r>
      <w:r>
        <w:rPr>
          <w:rFonts w:hint="default" w:ascii="Times New Roman" w:hAnsi="Times New Roman" w:eastAsia="宋体" w:cs="Times New Roman"/>
          <w:color w:val="auto"/>
          <w:spacing w:val="0"/>
          <w:w w:val="100"/>
          <w:kern w:val="0"/>
          <w:position w:val="0"/>
          <w:sz w:val="24"/>
          <w:szCs w:val="24"/>
          <w:highlight w:val="none"/>
          <w:vertAlign w:val="superscript"/>
        </w:rPr>
        <w:t>2</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rPr>
        <w:t>根据</w:t>
      </w:r>
      <w:r>
        <w:rPr>
          <w:rFonts w:hint="default" w:ascii="Times New Roman" w:hAnsi="Times New Roman" w:eastAsia="宋体" w:cs="Times New Roman"/>
          <w:bCs/>
          <w:snapToGrid w:val="0"/>
          <w:color w:val="auto"/>
          <w:spacing w:val="0"/>
          <w:w w:val="100"/>
          <w:kern w:val="0"/>
          <w:position w:val="0"/>
          <w:sz w:val="24"/>
        </w:rPr>
        <w:t>《给水排水构筑物工程施工及验收规范》(GB50141-2008)，钢筋混凝土结构水池渗水量不得超过2L/（m</w:t>
      </w:r>
      <w:r>
        <w:rPr>
          <w:rFonts w:hint="default" w:ascii="Times New Roman" w:hAnsi="Times New Roman" w:eastAsia="宋体" w:cs="Times New Roman"/>
          <w:bCs/>
          <w:snapToGrid w:val="0"/>
          <w:color w:val="auto"/>
          <w:spacing w:val="0"/>
          <w:w w:val="100"/>
          <w:kern w:val="0"/>
          <w:position w:val="0"/>
          <w:sz w:val="24"/>
          <w:vertAlign w:val="superscript"/>
        </w:rPr>
        <w:t>2</w:t>
      </w:r>
      <w:r>
        <w:rPr>
          <w:rFonts w:hint="default" w:ascii="Times New Roman" w:hAnsi="Times New Roman" w:eastAsia="宋体" w:cs="Times New Roman"/>
          <w:bCs/>
          <w:snapToGrid w:val="0"/>
          <w:color w:val="auto"/>
          <w:spacing w:val="0"/>
          <w:w w:val="100"/>
          <w:kern w:val="0"/>
          <w:position w:val="0"/>
          <w:sz w:val="24"/>
        </w:rPr>
        <w:t xml:space="preserve"> ▪d），</w:t>
      </w:r>
      <w:r>
        <w:rPr>
          <w:rFonts w:hint="default" w:ascii="Times New Roman" w:hAnsi="Times New Roman" w:eastAsia="宋体" w:cs="Times New Roman"/>
          <w:snapToGrid w:val="0"/>
          <w:color w:val="auto"/>
          <w:spacing w:val="0"/>
          <w:w w:val="100"/>
          <w:kern w:val="0"/>
          <w:position w:val="0"/>
          <w:sz w:val="24"/>
        </w:rPr>
        <w:t>非正常状况渗漏量应不小于正常状况允许渗漏量限值的10倍，假定不考虑渗漏过程中包气带对污染物的吸附阻滞过程，视为污染物全部进入潜水含水层，则非正常状况渗漏量为渗漏强度×渗漏面积×10，渗漏强度≤2L/（m</w:t>
      </w:r>
      <w:r>
        <w:rPr>
          <w:rFonts w:hint="default" w:ascii="Times New Roman" w:hAnsi="Times New Roman" w:eastAsia="宋体" w:cs="Times New Roman"/>
          <w:snapToGrid w:val="0"/>
          <w:color w:val="auto"/>
          <w:spacing w:val="0"/>
          <w:w w:val="100"/>
          <w:kern w:val="0"/>
          <w:position w:val="0"/>
          <w:sz w:val="24"/>
          <w:vertAlign w:val="superscript"/>
        </w:rPr>
        <w:t>2</w:t>
      </w:r>
      <w:r>
        <w:rPr>
          <w:rFonts w:hint="default" w:ascii="Times New Roman" w:hAnsi="Times New Roman" w:eastAsia="宋体" w:cs="Times New Roman"/>
          <w:snapToGrid w:val="0"/>
          <w:color w:val="auto"/>
          <w:spacing w:val="0"/>
          <w:w w:val="100"/>
          <w:kern w:val="0"/>
          <w:position w:val="0"/>
          <w:sz w:val="24"/>
        </w:rPr>
        <w:t>•d），即渗漏量=2×</w:t>
      </w:r>
      <w:r>
        <w:rPr>
          <w:rFonts w:hint="default" w:ascii="Times New Roman" w:hAnsi="Times New Roman" w:cs="Times New Roman"/>
          <w:snapToGrid w:val="0"/>
          <w:color w:val="auto"/>
          <w:spacing w:val="0"/>
          <w:w w:val="100"/>
          <w:kern w:val="0"/>
          <w:position w:val="0"/>
          <w:sz w:val="24"/>
          <w:lang w:val="en-US" w:eastAsia="zh-CN"/>
        </w:rPr>
        <w:t>64</w:t>
      </w:r>
      <w:r>
        <w:rPr>
          <w:rFonts w:hint="default" w:ascii="Times New Roman" w:hAnsi="Times New Roman" w:eastAsia="宋体" w:cs="Times New Roman"/>
          <w:snapToGrid w:val="0"/>
          <w:color w:val="auto"/>
          <w:spacing w:val="0"/>
          <w:w w:val="100"/>
          <w:kern w:val="0"/>
          <w:position w:val="0"/>
          <w:sz w:val="24"/>
        </w:rPr>
        <w:t>×10×10</w:t>
      </w:r>
      <w:r>
        <w:rPr>
          <w:rFonts w:hint="default" w:ascii="Times New Roman" w:hAnsi="Times New Roman" w:eastAsia="宋体" w:cs="Times New Roman"/>
          <w:snapToGrid w:val="0"/>
          <w:color w:val="auto"/>
          <w:spacing w:val="0"/>
          <w:w w:val="100"/>
          <w:kern w:val="0"/>
          <w:position w:val="0"/>
          <w:sz w:val="24"/>
          <w:vertAlign w:val="superscript"/>
        </w:rPr>
        <w:t>-3</w:t>
      </w:r>
      <w:r>
        <w:rPr>
          <w:rFonts w:hint="default" w:ascii="Times New Roman" w:hAnsi="Times New Roman" w:eastAsia="宋体" w:cs="Times New Roman"/>
          <w:snapToGrid w:val="0"/>
          <w:color w:val="auto"/>
          <w:spacing w:val="0"/>
          <w:w w:val="100"/>
          <w:kern w:val="0"/>
          <w:position w:val="0"/>
          <w:sz w:val="24"/>
        </w:rPr>
        <w:t>=</w:t>
      </w:r>
      <w:r>
        <w:rPr>
          <w:rFonts w:hint="default" w:ascii="Times New Roman" w:hAnsi="Times New Roman" w:cs="Times New Roman"/>
          <w:snapToGrid w:val="0"/>
          <w:color w:val="auto"/>
          <w:spacing w:val="0"/>
          <w:w w:val="100"/>
          <w:kern w:val="0"/>
          <w:position w:val="0"/>
          <w:sz w:val="24"/>
          <w:lang w:val="en-US" w:eastAsia="zh-CN"/>
        </w:rPr>
        <w:t>1.28</w:t>
      </w:r>
      <w:r>
        <w:rPr>
          <w:rFonts w:hint="default" w:ascii="Times New Roman" w:hAnsi="Times New Roman" w:eastAsia="宋体" w:cs="Times New Roman"/>
          <w:snapToGrid w:val="0"/>
          <w:color w:val="auto"/>
          <w:spacing w:val="0"/>
          <w:w w:val="100"/>
          <w:kern w:val="0"/>
          <w:position w:val="0"/>
          <w:sz w:val="24"/>
        </w:rPr>
        <w:t>m</w:t>
      </w:r>
      <w:r>
        <w:rPr>
          <w:rFonts w:hint="default" w:ascii="Times New Roman" w:hAnsi="Times New Roman" w:eastAsia="宋体" w:cs="Times New Roman"/>
          <w:snapToGrid w:val="0"/>
          <w:color w:val="auto"/>
          <w:spacing w:val="0"/>
          <w:w w:val="100"/>
          <w:kern w:val="0"/>
          <w:position w:val="0"/>
          <w:sz w:val="24"/>
          <w:vertAlign w:val="superscript"/>
        </w:rPr>
        <w:t>3</w:t>
      </w:r>
      <w:r>
        <w:rPr>
          <w:rFonts w:hint="default" w:ascii="Times New Roman" w:hAnsi="Times New Roman" w:eastAsia="宋体" w:cs="Times New Roman"/>
          <w:snapToGrid w:val="0"/>
          <w:color w:val="auto"/>
          <w:spacing w:val="0"/>
          <w:w w:val="100"/>
          <w:kern w:val="0"/>
          <w:position w:val="0"/>
          <w:sz w:val="24"/>
        </w:rPr>
        <w:t>/d</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从环境安全角度考虑，将发现污染物泄漏并采取措施停止泄漏的时间定为90</w:t>
      </w:r>
      <w:r>
        <w:rPr>
          <w:rFonts w:hint="default" w:ascii="Times New Roman" w:hAnsi="Times New Roman" w:eastAsia="宋体" w:cs="Times New Roman"/>
          <w:color w:val="auto"/>
          <w:spacing w:val="0"/>
          <w:w w:val="100"/>
          <w:kern w:val="0"/>
          <w:position w:val="0"/>
          <w:sz w:val="24"/>
          <w:szCs w:val="24"/>
          <w:highlight w:val="none"/>
          <w:lang w:val="en-US" w:eastAsia="zh-CN"/>
        </w:rPr>
        <w:t>d</w:t>
      </w:r>
      <w:r>
        <w:rPr>
          <w:rFonts w:hint="default" w:ascii="Times New Roman" w:hAnsi="Times New Roman" w:eastAsia="宋体" w:cs="Times New Roman"/>
          <w:color w:val="auto"/>
          <w:spacing w:val="0"/>
          <w:w w:val="100"/>
          <w:kern w:val="0"/>
          <w:position w:val="0"/>
          <w:sz w:val="24"/>
          <w:szCs w:val="24"/>
          <w:highlight w:val="none"/>
        </w:rPr>
        <w:t>，则NH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-N的总泄漏量为</w:t>
      </w:r>
      <w:r>
        <w:rPr>
          <w:rFonts w:hint="default" w:ascii="Times New Roman" w:hAnsi="Times New Roman" w:cs="Times New Roman"/>
          <w:color w:val="auto"/>
          <w:spacing w:val="0"/>
          <w:w w:val="100"/>
          <w:kern w:val="0"/>
          <w:position w:val="0"/>
          <w:sz w:val="24"/>
          <w:szCs w:val="24"/>
          <w:highlight w:val="none"/>
          <w:lang w:val="en-US" w:eastAsia="zh-CN"/>
        </w:rPr>
        <w:t>115.2</w:t>
      </w:r>
      <w:r>
        <w:rPr>
          <w:rFonts w:hint="default" w:ascii="Times New Roman" w:hAnsi="Times New Roman" w:eastAsia="宋体" w:cs="Times New Roman"/>
          <w:color w:val="auto"/>
          <w:spacing w:val="0"/>
          <w:w w:val="100"/>
          <w:kern w:val="0"/>
          <w:position w:val="0"/>
          <w:sz w:val="24"/>
          <w:szCs w:val="24"/>
          <w:highlight w:val="none"/>
          <w:lang w:val="en-US" w:eastAsia="zh-CN"/>
        </w:rPr>
        <w:t>m</w:t>
      </w:r>
      <w:r>
        <w:rPr>
          <w:rFonts w:hint="default" w:ascii="Times New Roman" w:hAnsi="Times New Roman" w:eastAsia="宋体" w:cs="Times New Roman"/>
          <w:color w:val="auto"/>
          <w:spacing w:val="0"/>
          <w:w w:val="100"/>
          <w:kern w:val="0"/>
          <w:position w:val="0"/>
          <w:sz w:val="24"/>
          <w:szCs w:val="24"/>
          <w:highlight w:val="none"/>
          <w:vertAlign w:val="superscript"/>
          <w:lang w:val="en-US" w:eastAsia="zh-CN"/>
        </w:rPr>
        <w:t>3</w:t>
      </w:r>
      <w:r>
        <w:rPr>
          <w:rFonts w:hint="default" w:ascii="Times New Roman" w:hAnsi="Times New Roman" w:eastAsia="宋体"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snapToGrid w:val="0"/>
          <w:color w:val="auto"/>
          <w:spacing w:val="0"/>
          <w:w w:val="100"/>
          <w:kern w:val="0"/>
          <w:position w:val="0"/>
          <w:sz w:val="24"/>
          <w:highlight w:val="none"/>
        </w:rPr>
        <w:t>废水中氨氮初始浓度为</w:t>
      </w:r>
      <w:r>
        <w:rPr>
          <w:rFonts w:hint="eastAsia" w:ascii="Times New Roman" w:hAnsi="Times New Roman" w:cs="Times New Roman"/>
          <w:snapToGrid w:val="0"/>
          <w:color w:val="auto"/>
          <w:spacing w:val="0"/>
          <w:w w:val="100"/>
          <w:kern w:val="0"/>
          <w:position w:val="0"/>
          <w:sz w:val="24"/>
          <w:highlight w:val="none"/>
          <w:lang w:val="en-US" w:eastAsia="zh-CN"/>
        </w:rPr>
        <w:t>27.7</w:t>
      </w:r>
      <w:r>
        <w:rPr>
          <w:rFonts w:hint="default" w:ascii="Times New Roman" w:hAnsi="Times New Roman" w:eastAsia="宋体" w:cs="Times New Roman"/>
          <w:snapToGrid w:val="0"/>
          <w:color w:val="auto"/>
          <w:spacing w:val="0"/>
          <w:w w:val="100"/>
          <w:kern w:val="0"/>
          <w:position w:val="0"/>
          <w:sz w:val="24"/>
          <w:highlight w:val="none"/>
        </w:rPr>
        <w:t>mg/L，则污染物渗漏量为</w:t>
      </w:r>
      <w:r>
        <w:rPr>
          <w:rFonts w:hint="eastAsia" w:ascii="Times New Roman" w:hAnsi="Times New Roman" w:cs="Times New Roman"/>
          <w:snapToGrid w:val="0"/>
          <w:color w:val="auto"/>
          <w:spacing w:val="0"/>
          <w:w w:val="100"/>
          <w:kern w:val="0"/>
          <w:position w:val="0"/>
          <w:sz w:val="24"/>
          <w:highlight w:val="none"/>
          <w:lang w:val="en-US" w:eastAsia="zh-CN"/>
        </w:rPr>
        <w:t>3.191</w:t>
      </w:r>
      <w:r>
        <w:rPr>
          <w:rFonts w:hint="default" w:ascii="Times New Roman" w:hAnsi="Times New Roman" w:eastAsia="宋体" w:cs="Times New Roman"/>
          <w:snapToGrid w:val="0"/>
          <w:color w:val="auto"/>
          <w:spacing w:val="0"/>
          <w:w w:val="100"/>
          <w:kern w:val="0"/>
          <w:position w:val="0"/>
          <w:sz w:val="24"/>
          <w:highlight w:val="none"/>
        </w:rPr>
        <w:t>kg/次。</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③</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预测时段</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根据导则预测时段的要求，本次确定的预测时段分别为污染发生后的100d和1000d。</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④</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预测参数</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计算模式中各参数值见表5.3-1。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表5.3-1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水质预测各参数取值表</w:t>
      </w:r>
    </w:p>
    <w:tbl>
      <w:tblPr>
        <w:tblStyle w:val="25"/>
        <w:tblW w:w="494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3"/>
        <w:gridCol w:w="1449"/>
        <w:gridCol w:w="1456"/>
        <w:gridCol w:w="1658"/>
        <w:gridCol w:w="1453"/>
        <w:gridCol w:w="17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3"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参数</w:t>
            </w:r>
          </w:p>
        </w:tc>
        <w:tc>
          <w:tcPr>
            <w:tcW w:w="1449"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K(m/d)</w:t>
            </w:r>
          </w:p>
        </w:tc>
        <w:tc>
          <w:tcPr>
            <w:tcW w:w="1456"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n</w:t>
            </w:r>
          </w:p>
        </w:tc>
        <w:tc>
          <w:tcPr>
            <w:tcW w:w="1658"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I</w:t>
            </w:r>
          </w:p>
        </w:tc>
        <w:tc>
          <w:tcPr>
            <w:tcW w:w="1453"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u(m/d)</w:t>
            </w:r>
          </w:p>
        </w:tc>
        <w:tc>
          <w:tcPr>
            <w:tcW w:w="1735"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bCs w:val="0"/>
                <w:color w:val="auto"/>
                <w:spacing w:val="0"/>
                <w:w w:val="100"/>
                <w:kern w:val="0"/>
                <w:position w:val="0"/>
                <w:sz w:val="21"/>
                <w:szCs w:val="21"/>
                <w:highlight w:val="none"/>
              </w:rPr>
            </w:pPr>
            <w:r>
              <w:rPr>
                <w:rFonts w:hint="default" w:ascii="Times New Roman" w:hAnsi="Times New Roman" w:eastAsia="宋体" w:cs="Times New Roman"/>
                <w:b/>
                <w:bCs w:val="0"/>
                <w:color w:val="auto"/>
                <w:spacing w:val="0"/>
                <w:w w:val="100"/>
                <w:kern w:val="0"/>
                <w:position w:val="0"/>
                <w:sz w:val="21"/>
                <w:szCs w:val="21"/>
                <w:highlight w:val="none"/>
              </w:rPr>
              <w:t>D</w:t>
            </w:r>
            <w:r>
              <w:rPr>
                <w:rFonts w:hint="default" w:ascii="Times New Roman" w:hAnsi="Times New Roman" w:eastAsia="宋体" w:cs="Times New Roman"/>
                <w:b/>
                <w:bCs w:val="0"/>
                <w:color w:val="auto"/>
                <w:spacing w:val="0"/>
                <w:w w:val="100"/>
                <w:kern w:val="0"/>
                <w:position w:val="0"/>
                <w:sz w:val="21"/>
                <w:szCs w:val="21"/>
                <w:highlight w:val="none"/>
                <w:vertAlign w:val="subscript"/>
              </w:rPr>
              <w:t>L</w:t>
            </w:r>
            <w:r>
              <w:rPr>
                <w:rFonts w:hint="default" w:ascii="Times New Roman" w:hAnsi="Times New Roman" w:eastAsia="宋体" w:cs="Times New Roman"/>
                <w:b/>
                <w:bCs w:val="0"/>
                <w:color w:val="auto"/>
                <w:spacing w:val="0"/>
                <w:w w:val="100"/>
                <w:kern w:val="0"/>
                <w:position w:val="0"/>
                <w:sz w:val="21"/>
                <w:szCs w:val="21"/>
                <w:highlight w:val="none"/>
              </w:rPr>
              <w:t>(m</w:t>
            </w:r>
            <w:r>
              <w:rPr>
                <w:rFonts w:hint="default" w:ascii="Times New Roman" w:hAnsi="Times New Roman" w:eastAsia="宋体" w:cs="Times New Roman"/>
                <w:b/>
                <w:bCs w:val="0"/>
                <w:color w:val="auto"/>
                <w:spacing w:val="0"/>
                <w:w w:val="100"/>
                <w:kern w:val="0"/>
                <w:position w:val="0"/>
                <w:sz w:val="21"/>
                <w:szCs w:val="21"/>
                <w:highlight w:val="none"/>
                <w:vertAlign w:val="superscript"/>
              </w:rPr>
              <w:t>2</w:t>
            </w:r>
            <w:r>
              <w:rPr>
                <w:rFonts w:hint="default" w:ascii="Times New Roman" w:hAnsi="Times New Roman" w:eastAsia="宋体" w:cs="Times New Roman"/>
                <w:b/>
                <w:bCs w:val="0"/>
                <w:color w:val="auto"/>
                <w:spacing w:val="0"/>
                <w:w w:val="100"/>
                <w:kern w:val="0"/>
                <w:position w:val="0"/>
                <w:sz w:val="21"/>
                <w:szCs w:val="21"/>
                <w:highlight w:val="none"/>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3" w:type="dxa"/>
            <w:noWrap w:val="0"/>
            <w:vAlign w:val="center"/>
          </w:tcPr>
          <w:p>
            <w:pPr>
              <w:pStyle w:val="18"/>
              <w:keepNext w:val="0"/>
              <w:keepLines w:val="0"/>
              <w:pageBreakBefore w:val="0"/>
              <w:widowControl w:val="0"/>
              <w:tabs>
                <w:tab w:val="left" w:pos="429"/>
              </w:tabs>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b w:val="0"/>
                <w:color w:val="auto"/>
                <w:spacing w:val="0"/>
                <w:w w:val="100"/>
                <w:kern w:val="0"/>
                <w:position w:val="0"/>
                <w:sz w:val="21"/>
                <w:szCs w:val="21"/>
                <w:highlight w:val="none"/>
              </w:rPr>
            </w:pPr>
            <w:r>
              <w:rPr>
                <w:rFonts w:hint="default" w:ascii="Times New Roman" w:hAnsi="Times New Roman" w:eastAsia="宋体" w:cs="Times New Roman"/>
                <w:b w:val="0"/>
                <w:color w:val="auto"/>
                <w:spacing w:val="0"/>
                <w:w w:val="100"/>
                <w:kern w:val="0"/>
                <w:position w:val="0"/>
                <w:sz w:val="21"/>
                <w:szCs w:val="21"/>
                <w:highlight w:val="none"/>
              </w:rPr>
              <w:t>数值</w:t>
            </w:r>
          </w:p>
        </w:tc>
        <w:tc>
          <w:tcPr>
            <w:tcW w:w="1449" w:type="dxa"/>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eastAsia="宋体" w:cs="Times New Roman"/>
                <w:snapToGrid w:val="0"/>
                <w:color w:val="auto"/>
                <w:spacing w:val="0"/>
                <w:w w:val="100"/>
                <w:kern w:val="0"/>
                <w:position w:val="0"/>
                <w:sz w:val="21"/>
                <w:szCs w:val="21"/>
                <w:lang w:val="en-US" w:eastAsia="zh-CN"/>
              </w:rPr>
              <w:t>7</w:t>
            </w:r>
          </w:p>
        </w:tc>
        <w:tc>
          <w:tcPr>
            <w:tcW w:w="1456" w:type="dxa"/>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eastAsia="宋体" w:cs="Times New Roman"/>
                <w:snapToGrid w:val="0"/>
                <w:color w:val="auto"/>
                <w:spacing w:val="0"/>
                <w:w w:val="100"/>
                <w:kern w:val="0"/>
                <w:position w:val="0"/>
                <w:sz w:val="21"/>
                <w:szCs w:val="21"/>
                <w:lang w:val="en-US" w:eastAsia="zh-CN"/>
              </w:rPr>
              <w:t>0.2</w:t>
            </w:r>
          </w:p>
        </w:tc>
        <w:tc>
          <w:tcPr>
            <w:tcW w:w="1658" w:type="dxa"/>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eastAsia="宋体" w:cs="Times New Roman"/>
                <w:snapToGrid w:val="0"/>
                <w:color w:val="auto"/>
                <w:spacing w:val="0"/>
                <w:w w:val="100"/>
                <w:kern w:val="0"/>
                <w:position w:val="0"/>
                <w:sz w:val="21"/>
                <w:szCs w:val="21"/>
                <w:lang w:val="en-US" w:eastAsia="zh-CN"/>
              </w:rPr>
              <w:t>0.01</w:t>
            </w:r>
          </w:p>
        </w:tc>
        <w:tc>
          <w:tcPr>
            <w:tcW w:w="1453" w:type="dxa"/>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eastAsia="宋体" w:cs="Times New Roman"/>
                <w:snapToGrid w:val="0"/>
                <w:color w:val="auto"/>
                <w:spacing w:val="0"/>
                <w:w w:val="100"/>
                <w:kern w:val="0"/>
                <w:position w:val="0"/>
                <w:sz w:val="21"/>
                <w:szCs w:val="21"/>
                <w:lang w:val="en-US" w:eastAsia="zh-CN"/>
              </w:rPr>
              <w:t>0.35</w:t>
            </w:r>
          </w:p>
        </w:tc>
        <w:tc>
          <w:tcPr>
            <w:tcW w:w="1735" w:type="dxa"/>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default" w:ascii="Times New Roman" w:hAnsi="Times New Roman" w:eastAsia="宋体" w:cs="Times New Roman"/>
                <w:snapToGrid w:val="0"/>
                <w:color w:val="auto"/>
                <w:spacing w:val="0"/>
                <w:w w:val="100"/>
                <w:kern w:val="0"/>
                <w:position w:val="0"/>
                <w:sz w:val="21"/>
                <w:szCs w:val="21"/>
                <w:lang w:val="en-US" w:eastAsia="zh-CN"/>
              </w:rPr>
              <w:t>1.25</w:t>
            </w:r>
          </w:p>
        </w:tc>
      </w:tr>
    </w:tbl>
    <w:p>
      <w:pPr>
        <w:pStyle w:val="16"/>
        <w:adjustRightInd w:val="0"/>
        <w:spacing w:before="120" w:beforeLines="50"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5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⑤</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预测结果</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将上述参数代入预测公式，各预测时段污染羽中心浓度随时间和距离变化特征见表5.3-2。</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表5.3-2</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泄漏的NH</w:t>
      </w:r>
      <w:r>
        <w:rPr>
          <w:rFonts w:hint="default" w:ascii="Times New Roman" w:hAnsi="Times New Roman" w:eastAsia="宋体" w:cs="Times New Roman"/>
          <w:b/>
          <w:bCs w:val="0"/>
          <w:color w:val="auto"/>
          <w:spacing w:val="0"/>
          <w:w w:val="100"/>
          <w:kern w:val="0"/>
          <w:position w:val="0"/>
          <w:sz w:val="24"/>
          <w:szCs w:val="24"/>
          <w:highlight w:val="none"/>
          <w:vertAlign w:val="subscript"/>
          <w:lang w:val="en-US" w:eastAsia="zh-CN" w:bidi="ar-SA"/>
        </w:rPr>
        <w:t>3</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-N浓度随时间和距离的变化特征</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单位：mg/L</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27"/>
        <w:gridCol w:w="3250"/>
        <w:gridCol w:w="3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16" w:type="dxa"/>
            <w:vMerge w:val="restart"/>
            <w:tcBorders>
              <w:tl2br w:val="nil"/>
              <w:tr2bl w:val="nil"/>
            </w:tcBorders>
            <w:noWrap w:val="0"/>
            <w:vAlign w:val="center"/>
          </w:tcPr>
          <w:p>
            <w:pPr>
              <w:wordWrap w:val="0"/>
              <w:adjustRightInd w:val="0"/>
              <w:snapToGrid w:val="0"/>
              <w:jc w:val="center"/>
              <w:rPr>
                <w:rFonts w:hint="default" w:ascii="Times New Roman" w:hAnsi="Times New Roman" w:eastAsia="宋体" w:cs="Times New Roman"/>
                <w:b/>
                <w:color w:val="auto"/>
                <w:spacing w:val="0"/>
                <w:w w:val="100"/>
                <w:kern w:val="0"/>
                <w:position w:val="0"/>
                <w:sz w:val="21"/>
                <w:szCs w:val="21"/>
              </w:rPr>
            </w:pPr>
            <w:r>
              <w:rPr>
                <w:rFonts w:hint="default" w:ascii="Times New Roman" w:hAnsi="Times New Roman" w:eastAsia="宋体" w:cs="Times New Roman"/>
                <w:b/>
                <w:color w:val="auto"/>
                <w:spacing w:val="0"/>
                <w:w w:val="100"/>
                <w:kern w:val="0"/>
                <w:position w:val="0"/>
                <w:sz w:val="21"/>
                <w:szCs w:val="21"/>
              </w:rPr>
              <w:t>预测因子</w:t>
            </w:r>
          </w:p>
        </w:tc>
        <w:tc>
          <w:tcPr>
            <w:tcW w:w="1227" w:type="dxa"/>
            <w:vMerge w:val="restart"/>
            <w:tcBorders>
              <w:tl2br w:val="nil"/>
              <w:tr2bl w:val="nil"/>
            </w:tcBorders>
            <w:noWrap w:val="0"/>
            <w:vAlign w:val="center"/>
          </w:tcPr>
          <w:p>
            <w:pPr>
              <w:wordWrap w:val="0"/>
              <w:adjustRightInd w:val="0"/>
              <w:snapToGrid w:val="0"/>
              <w:jc w:val="center"/>
              <w:rPr>
                <w:rFonts w:hint="default" w:ascii="Times New Roman" w:hAnsi="Times New Roman" w:eastAsia="宋体" w:cs="Times New Roman"/>
                <w:b/>
                <w:color w:val="auto"/>
                <w:spacing w:val="0"/>
                <w:w w:val="100"/>
                <w:kern w:val="0"/>
                <w:position w:val="0"/>
                <w:sz w:val="21"/>
                <w:szCs w:val="21"/>
              </w:rPr>
            </w:pPr>
            <w:r>
              <w:rPr>
                <w:rFonts w:hint="default" w:ascii="Times New Roman" w:hAnsi="Times New Roman" w:eastAsia="宋体" w:cs="Times New Roman"/>
                <w:b/>
                <w:color w:val="auto"/>
                <w:spacing w:val="0"/>
                <w:w w:val="100"/>
                <w:kern w:val="0"/>
                <w:position w:val="0"/>
                <w:sz w:val="21"/>
                <w:szCs w:val="21"/>
              </w:rPr>
              <w:t>预测时间(d)</w:t>
            </w:r>
          </w:p>
        </w:tc>
        <w:tc>
          <w:tcPr>
            <w:tcW w:w="6503" w:type="dxa"/>
            <w:gridSpan w:val="2"/>
            <w:tcBorders>
              <w:tl2br w:val="nil"/>
              <w:tr2bl w:val="nil"/>
            </w:tcBorders>
            <w:noWrap w:val="0"/>
            <w:vAlign w:val="center"/>
          </w:tcPr>
          <w:p>
            <w:pPr>
              <w:wordWrap w:val="0"/>
              <w:adjustRightInd w:val="0"/>
              <w:snapToGrid w:val="0"/>
              <w:jc w:val="center"/>
              <w:rPr>
                <w:rFonts w:hint="default" w:ascii="Times New Roman" w:hAnsi="Times New Roman" w:eastAsia="宋体" w:cs="Times New Roman"/>
                <w:b/>
                <w:color w:val="auto"/>
                <w:spacing w:val="0"/>
                <w:w w:val="100"/>
                <w:kern w:val="0"/>
                <w:position w:val="0"/>
                <w:sz w:val="21"/>
                <w:szCs w:val="21"/>
              </w:rPr>
            </w:pPr>
            <w:r>
              <w:rPr>
                <w:rFonts w:hint="default" w:ascii="Times New Roman" w:hAnsi="Times New Roman" w:eastAsia="宋体" w:cs="Times New Roman"/>
                <w:b/>
                <w:color w:val="auto"/>
                <w:spacing w:val="0"/>
                <w:w w:val="100"/>
                <w:kern w:val="0"/>
                <w:position w:val="0"/>
                <w:sz w:val="21"/>
                <w:szCs w:val="21"/>
              </w:rPr>
              <w:t>预测结果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6" w:type="dxa"/>
            <w:vMerge w:val="continue"/>
            <w:tcBorders>
              <w:tl2br w:val="nil"/>
              <w:tr2bl w:val="nil"/>
            </w:tcBorders>
            <w:noWrap w:val="0"/>
            <w:vAlign w:val="center"/>
          </w:tcPr>
          <w:p>
            <w:pPr>
              <w:widowControl/>
              <w:jc w:val="left"/>
              <w:rPr>
                <w:rFonts w:hint="default" w:ascii="Times New Roman" w:hAnsi="Times New Roman" w:eastAsia="宋体" w:cs="Times New Roman"/>
                <w:b/>
                <w:color w:val="auto"/>
                <w:spacing w:val="0"/>
                <w:w w:val="100"/>
                <w:kern w:val="0"/>
                <w:position w:val="0"/>
                <w:sz w:val="21"/>
                <w:szCs w:val="21"/>
              </w:rPr>
            </w:pPr>
          </w:p>
        </w:tc>
        <w:tc>
          <w:tcPr>
            <w:tcW w:w="1227" w:type="dxa"/>
            <w:vMerge w:val="continue"/>
            <w:tcBorders>
              <w:tl2br w:val="nil"/>
              <w:tr2bl w:val="nil"/>
            </w:tcBorders>
            <w:noWrap w:val="0"/>
            <w:vAlign w:val="center"/>
          </w:tcPr>
          <w:p>
            <w:pPr>
              <w:widowControl/>
              <w:jc w:val="left"/>
              <w:rPr>
                <w:rFonts w:hint="default" w:ascii="Times New Roman" w:hAnsi="Times New Roman" w:eastAsia="宋体" w:cs="Times New Roman"/>
                <w:b/>
                <w:color w:val="auto"/>
                <w:spacing w:val="0"/>
                <w:w w:val="100"/>
                <w:kern w:val="0"/>
                <w:position w:val="0"/>
                <w:sz w:val="21"/>
                <w:szCs w:val="21"/>
              </w:rPr>
            </w:pPr>
          </w:p>
        </w:tc>
        <w:tc>
          <w:tcPr>
            <w:tcW w:w="3250"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b/>
                <w:color w:val="auto"/>
                <w:spacing w:val="0"/>
                <w:w w:val="100"/>
                <w:kern w:val="0"/>
                <w:position w:val="0"/>
                <w:sz w:val="21"/>
                <w:szCs w:val="21"/>
              </w:rPr>
            </w:pPr>
            <w:bookmarkStart w:id="874" w:name="_Hlk14089072"/>
            <w:r>
              <w:rPr>
                <w:rFonts w:hint="default" w:ascii="Times New Roman" w:hAnsi="Times New Roman" w:eastAsia="宋体" w:cs="Times New Roman"/>
                <w:b/>
                <w:color w:val="auto"/>
                <w:spacing w:val="0"/>
                <w:w w:val="100"/>
                <w:kern w:val="0"/>
                <w:position w:val="0"/>
                <w:sz w:val="21"/>
                <w:szCs w:val="21"/>
              </w:rPr>
              <w:t>下游最大浓度</w:t>
            </w:r>
            <w:bookmarkEnd w:id="874"/>
            <w:r>
              <w:rPr>
                <w:rFonts w:hint="default" w:ascii="Times New Roman" w:hAnsi="Times New Roman" w:eastAsia="宋体" w:cs="Times New Roman"/>
                <w:b/>
                <w:color w:val="auto"/>
                <w:spacing w:val="0"/>
                <w:w w:val="100"/>
                <w:kern w:val="0"/>
                <w:position w:val="0"/>
                <w:sz w:val="21"/>
                <w:szCs w:val="21"/>
              </w:rPr>
              <w:t>(mg/L)</w:t>
            </w:r>
          </w:p>
        </w:tc>
        <w:tc>
          <w:tcPr>
            <w:tcW w:w="3253"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b/>
                <w:iCs/>
                <w:color w:val="auto"/>
                <w:spacing w:val="0"/>
                <w:w w:val="100"/>
                <w:kern w:val="0"/>
                <w:position w:val="0"/>
                <w:sz w:val="21"/>
                <w:szCs w:val="21"/>
              </w:rPr>
            </w:pPr>
            <w:r>
              <w:rPr>
                <w:rFonts w:hint="default" w:ascii="Times New Roman" w:hAnsi="Times New Roman" w:eastAsia="宋体" w:cs="Times New Roman"/>
                <w:b/>
                <w:iCs/>
                <w:color w:val="auto"/>
                <w:spacing w:val="0"/>
                <w:w w:val="100"/>
                <w:kern w:val="0"/>
                <w:position w:val="0"/>
                <w:sz w:val="21"/>
                <w:szCs w:val="21"/>
              </w:rPr>
              <w:t>最大迁移距离(m)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16" w:type="dxa"/>
            <w:vMerge w:val="restart"/>
            <w:tcBorders>
              <w:tl2br w:val="nil"/>
              <w:tr2bl w:val="nil"/>
            </w:tcBorders>
            <w:noWrap w:val="0"/>
            <w:vAlign w:val="center"/>
          </w:tcPr>
          <w:p>
            <w:pPr>
              <w:wordWrap w:val="0"/>
              <w:adjustRightInd w:val="0"/>
              <w:snapToGrid w:val="0"/>
              <w:jc w:val="center"/>
              <w:rPr>
                <w:rFonts w:hint="default" w:ascii="Times New Roman" w:hAnsi="Times New Roman" w:eastAsia="宋体" w:cs="Times New Roman"/>
                <w:color w:val="auto"/>
                <w:spacing w:val="0"/>
                <w:w w:val="100"/>
                <w:kern w:val="0"/>
                <w:position w:val="0"/>
                <w:sz w:val="21"/>
                <w:szCs w:val="21"/>
                <w:lang w:val="en-US" w:eastAsia="zh-CN"/>
              </w:rPr>
            </w:pP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-N</w:t>
            </w:r>
          </w:p>
        </w:tc>
        <w:tc>
          <w:tcPr>
            <w:tcW w:w="1227"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100</w:t>
            </w:r>
          </w:p>
        </w:tc>
        <w:tc>
          <w:tcPr>
            <w:tcW w:w="3250"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eastAsia" w:ascii="Times New Roman" w:hAnsi="Times New Roman" w:cs="Times New Roman"/>
                <w:snapToGrid w:val="0"/>
                <w:color w:val="auto"/>
                <w:spacing w:val="0"/>
                <w:w w:val="100"/>
                <w:kern w:val="0"/>
                <w:position w:val="0"/>
                <w:sz w:val="21"/>
                <w:szCs w:val="21"/>
                <w:lang w:val="en-US" w:eastAsia="zh-CN"/>
              </w:rPr>
              <w:t>24.65501</w:t>
            </w:r>
          </w:p>
        </w:tc>
        <w:tc>
          <w:tcPr>
            <w:tcW w:w="3253"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eastAsia" w:ascii="Times New Roman" w:hAnsi="Times New Roman" w:cs="Times New Roman"/>
                <w:snapToGrid w:val="0"/>
                <w:color w:val="auto"/>
                <w:spacing w:val="0"/>
                <w:w w:val="100"/>
                <w:kern w:val="0"/>
                <w:position w:val="0"/>
                <w:sz w:val="21"/>
                <w:szCs w:val="21"/>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16" w:type="dxa"/>
            <w:vMerge w:val="continue"/>
            <w:tcBorders>
              <w:tl2br w:val="nil"/>
              <w:tr2bl w:val="nil"/>
            </w:tcBorders>
            <w:noWrap w:val="0"/>
            <w:vAlign w:val="center"/>
          </w:tcPr>
          <w:p>
            <w:pPr>
              <w:widowControl/>
              <w:jc w:val="left"/>
              <w:rPr>
                <w:rFonts w:hint="default" w:ascii="Times New Roman" w:hAnsi="Times New Roman" w:eastAsia="宋体" w:cs="Times New Roman"/>
                <w:color w:val="auto"/>
                <w:spacing w:val="0"/>
                <w:w w:val="100"/>
                <w:kern w:val="0"/>
                <w:position w:val="0"/>
                <w:sz w:val="21"/>
                <w:szCs w:val="21"/>
              </w:rPr>
            </w:pPr>
          </w:p>
        </w:tc>
        <w:tc>
          <w:tcPr>
            <w:tcW w:w="1227"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1"/>
                <w:szCs w:val="21"/>
              </w:rPr>
              <w:t>1000</w:t>
            </w:r>
          </w:p>
        </w:tc>
        <w:tc>
          <w:tcPr>
            <w:tcW w:w="3250"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eastAsia" w:ascii="Times New Roman" w:hAnsi="Times New Roman" w:cs="Times New Roman"/>
                <w:snapToGrid w:val="0"/>
                <w:color w:val="auto"/>
                <w:spacing w:val="0"/>
                <w:w w:val="100"/>
                <w:kern w:val="0"/>
                <w:position w:val="0"/>
                <w:sz w:val="21"/>
                <w:szCs w:val="21"/>
                <w:lang w:val="en-US" w:eastAsia="zh-CN"/>
              </w:rPr>
              <w:t>7.022232</w:t>
            </w:r>
          </w:p>
        </w:tc>
        <w:tc>
          <w:tcPr>
            <w:tcW w:w="3253" w:type="dxa"/>
            <w:tcBorders>
              <w:tl2br w:val="nil"/>
              <w:tr2bl w:val="nil"/>
            </w:tcBorders>
            <w:noWrap w:val="0"/>
            <w:vAlign w:val="center"/>
          </w:tcPr>
          <w:p>
            <w:pPr>
              <w:wordWrap w:val="0"/>
              <w:adjustRightInd w:val="0"/>
              <w:snapToGrid w:val="0"/>
              <w:jc w:val="center"/>
              <w:rPr>
                <w:rFonts w:hint="default" w:ascii="Times New Roman" w:hAnsi="Times New Roman" w:eastAsia="宋体" w:cs="Times New Roman"/>
                <w:snapToGrid w:val="0"/>
                <w:color w:val="auto"/>
                <w:spacing w:val="0"/>
                <w:w w:val="100"/>
                <w:kern w:val="0"/>
                <w:position w:val="0"/>
                <w:sz w:val="21"/>
                <w:szCs w:val="21"/>
                <w:lang w:val="en-US" w:eastAsia="zh-CN"/>
              </w:rPr>
            </w:pPr>
            <w:r>
              <w:rPr>
                <w:rFonts w:hint="eastAsia" w:ascii="Times New Roman" w:hAnsi="Times New Roman" w:cs="Times New Roman"/>
                <w:snapToGrid w:val="0"/>
                <w:color w:val="auto"/>
                <w:spacing w:val="0"/>
                <w:w w:val="100"/>
                <w:kern w:val="0"/>
                <w:position w:val="0"/>
                <w:sz w:val="21"/>
                <w:szCs w:val="21"/>
                <w:lang w:val="en-US" w:eastAsia="zh-CN"/>
              </w:rPr>
              <w:t>505</w:t>
            </w:r>
          </w:p>
        </w:tc>
      </w:tr>
    </w:tbl>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pStyle w:val="8"/>
        <w:rPr>
          <w:rFonts w:hint="default" w:ascii="Times New Roman" w:hAnsi="Times New Roman" w:eastAsia="宋体" w:cs="Times New Roman"/>
          <w:color w:val="auto"/>
          <w:spacing w:val="0"/>
          <w:w w:val="100"/>
          <w:kern w:val="0"/>
          <w:position w:val="0"/>
          <w:sz w:val="24"/>
          <w:szCs w:val="15"/>
          <w:highlight w:val="none"/>
          <w:lang w:val="en-US" w:eastAsia="zh-CN"/>
        </w:rPr>
      </w:pPr>
    </w:p>
    <w:p>
      <w:pPr>
        <w:rPr>
          <w:rFonts w:hint="default" w:ascii="Times New Roman" w:hAnsi="Times New Roman" w:eastAsia="宋体" w:cs="Times New Roman"/>
          <w:color w:val="auto"/>
          <w:spacing w:val="0"/>
          <w:w w:val="100"/>
          <w:kern w:val="0"/>
          <w:position w:val="0"/>
          <w:sz w:val="24"/>
          <w:szCs w:val="15"/>
          <w:highlight w:val="none"/>
          <w:lang w:val="en-US" w:eastAsia="zh-CN"/>
        </w:rPr>
      </w:pPr>
    </w:p>
    <w:p>
      <w:pPr>
        <w:pStyle w:val="8"/>
        <w:rPr>
          <w:rFonts w:hint="default" w:ascii="Times New Roman" w:hAnsi="Times New Roman" w:eastAsia="宋体" w:cs="Times New Roman"/>
          <w:color w:val="auto"/>
          <w:spacing w:val="0"/>
          <w:w w:val="100"/>
          <w:kern w:val="0"/>
          <w:position w:val="0"/>
          <w:sz w:val="24"/>
          <w:szCs w:val="15"/>
          <w:highlight w:val="none"/>
          <w:lang w:val="en-US" w:eastAsia="zh-CN"/>
        </w:rPr>
      </w:pPr>
    </w:p>
    <w:p>
      <w:pPr>
        <w:rPr>
          <w:rFonts w:hint="default" w:ascii="Times New Roman" w:hAnsi="Times New Roman" w:eastAsia="宋体" w:cs="Times New Roman"/>
          <w:color w:val="auto"/>
          <w:spacing w:val="0"/>
          <w:w w:val="100"/>
          <w:kern w:val="0"/>
          <w:position w:val="0"/>
          <w:sz w:val="24"/>
          <w:szCs w:val="15"/>
          <w:highlight w:val="none"/>
          <w:lang w:val="en-US" w:eastAsia="zh-CN"/>
        </w:rPr>
      </w:pPr>
    </w:p>
    <w:p>
      <w:pPr>
        <w:pStyle w:val="8"/>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95" w:beforeLines="30" w:line="240" w:lineRule="auto"/>
        <w:ind w:firstLine="480" w:firstLineChars="200"/>
        <w:jc w:val="both"/>
        <w:textAlignment w:val="baseline"/>
        <w:rPr>
          <w:rFonts w:hint="default" w:ascii="Times New Roman" w:hAnsi="Times New Roman" w:eastAsia="宋体" w:cs="Times New Roman"/>
          <w:color w:val="auto"/>
          <w:spacing w:val="0"/>
          <w:w w:val="100"/>
          <w:kern w:val="0"/>
          <w:position w:val="0"/>
          <w:sz w:val="24"/>
          <w:szCs w:val="15"/>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表5.3-3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污染物泄漏事故影响预测结果一览表</w:t>
      </w:r>
    </w:p>
    <w:tbl>
      <w:tblPr>
        <w:tblStyle w:val="25"/>
        <w:tblW w:w="89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15"/>
        <w:gridCol w:w="7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32" w:type="dxa"/>
            <w:noWrap w:val="0"/>
            <w:vAlign w:val="center"/>
          </w:tcPr>
          <w:p>
            <w:pPr>
              <w:pStyle w:val="66"/>
              <w:snapToGrid w:val="0"/>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预测因子</w:t>
            </w:r>
          </w:p>
        </w:tc>
        <w:tc>
          <w:tcPr>
            <w:tcW w:w="915" w:type="dxa"/>
            <w:noWrap w:val="0"/>
            <w:vAlign w:val="center"/>
          </w:tcPr>
          <w:p>
            <w:pPr>
              <w:pStyle w:val="66"/>
              <w:snapToGrid w:val="0"/>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预测</w:t>
            </w:r>
          </w:p>
          <w:p>
            <w:pPr>
              <w:pStyle w:val="66"/>
              <w:snapToGrid w:val="0"/>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时段</w:t>
            </w:r>
          </w:p>
        </w:tc>
        <w:tc>
          <w:tcPr>
            <w:tcW w:w="7191" w:type="dxa"/>
            <w:noWrap w:val="0"/>
            <w:vAlign w:val="center"/>
          </w:tcPr>
          <w:p>
            <w:pPr>
              <w:pStyle w:val="66"/>
              <w:snapToGrid w:val="0"/>
              <w:rPr>
                <w:rFonts w:hint="default" w:ascii="Times New Roman" w:hAnsi="Times New Roman" w:eastAsia="宋体" w:cs="Times New Roman"/>
                <w:b/>
                <w:snapToGrid w:val="0"/>
                <w:color w:val="auto"/>
                <w:spacing w:val="0"/>
                <w:w w:val="100"/>
                <w:kern w:val="0"/>
                <w:position w:val="0"/>
                <w:sz w:val="21"/>
                <w:szCs w:val="21"/>
              </w:rPr>
            </w:pPr>
            <w:r>
              <w:rPr>
                <w:rFonts w:hint="default" w:ascii="Times New Roman" w:hAnsi="Times New Roman" w:eastAsia="宋体" w:cs="Times New Roman"/>
                <w:b/>
                <w:snapToGrid w:val="0"/>
                <w:color w:val="auto"/>
                <w:spacing w:val="0"/>
                <w:w w:val="100"/>
                <w:kern w:val="0"/>
                <w:position w:val="0"/>
                <w:sz w:val="21"/>
                <w:szCs w:val="21"/>
              </w:rPr>
              <w:t>预测结果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2" w:hRule="atLeast"/>
          <w:jc w:val="center"/>
        </w:trPr>
        <w:tc>
          <w:tcPr>
            <w:tcW w:w="832" w:type="dxa"/>
            <w:vMerge w:val="restart"/>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rPr>
              <w:t>-N</w:t>
            </w:r>
          </w:p>
        </w:tc>
        <w:tc>
          <w:tcPr>
            <w:tcW w:w="915" w:type="dxa"/>
            <w:vMerge w:val="restart"/>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100d</w:t>
            </w:r>
          </w:p>
        </w:tc>
        <w:tc>
          <w:tcPr>
            <w:tcW w:w="7191" w:type="dxa"/>
            <w:noWrap w:val="0"/>
            <w:vAlign w:val="center"/>
          </w:tcPr>
          <w:p>
            <w:pPr>
              <w:pStyle w:val="66"/>
              <w:snapToGrid w:val="0"/>
              <w:rPr>
                <w:rFonts w:hint="default" w:ascii="Times New Roman" w:hAnsi="Times New Roman" w:eastAsia="宋体" w:cs="Times New Roman"/>
                <w:color w:val="auto"/>
                <w:spacing w:val="0"/>
                <w:w w:val="100"/>
                <w:kern w:val="0"/>
                <w:position w:val="0"/>
                <w:sz w:val="21"/>
                <w:szCs w:val="21"/>
                <w:lang w:eastAsia="zh-CN"/>
              </w:rPr>
            </w:pPr>
            <w:r>
              <w:rPr>
                <w:color w:val="auto"/>
              </w:rPr>
              <w:drawing>
                <wp:inline distT="0" distB="0" distL="114300" distR="114300">
                  <wp:extent cx="4341495" cy="3144520"/>
                  <wp:effectExtent l="4445" t="5080" r="16510" b="12700"/>
                  <wp:docPr id="54" name="图表 1" descr="7b0a202020202263686172745265734964223a202232303437323139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dxa"/>
            <w:vMerge w:val="continue"/>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p>
        </w:tc>
        <w:tc>
          <w:tcPr>
            <w:tcW w:w="915" w:type="dxa"/>
            <w:vMerge w:val="continue"/>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p>
        </w:tc>
        <w:tc>
          <w:tcPr>
            <w:tcW w:w="7191" w:type="dxa"/>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结果说明：最大贡献浓度为</w:t>
            </w:r>
            <w:r>
              <w:rPr>
                <w:rFonts w:hint="eastAsia" w:ascii="Times New Roman" w:hAnsi="Times New Roman" w:cs="Times New Roman"/>
                <w:snapToGrid w:val="0"/>
                <w:color w:val="auto"/>
                <w:spacing w:val="0"/>
                <w:w w:val="100"/>
                <w:kern w:val="0"/>
                <w:position w:val="0"/>
                <w:sz w:val="21"/>
                <w:szCs w:val="21"/>
                <w:lang w:val="en-US" w:eastAsia="zh-CN"/>
              </w:rPr>
              <w:t>24.65501</w:t>
            </w:r>
            <w:r>
              <w:rPr>
                <w:rFonts w:hint="default" w:ascii="Times New Roman" w:hAnsi="Times New Roman" w:eastAsia="宋体" w:cs="Times New Roman"/>
                <w:snapToGrid w:val="0"/>
                <w:color w:val="auto"/>
                <w:spacing w:val="0"/>
                <w:w w:val="100"/>
                <w:kern w:val="0"/>
                <w:position w:val="0"/>
                <w:sz w:val="21"/>
                <w:szCs w:val="21"/>
              </w:rPr>
              <w:t>mg/L，最大值运移距离达</w:t>
            </w:r>
            <w:r>
              <w:rPr>
                <w:rFonts w:hint="eastAsia" w:ascii="Times New Roman" w:cs="Times New Roman"/>
                <w:snapToGrid w:val="0"/>
                <w:color w:val="auto"/>
                <w:spacing w:val="0"/>
                <w:w w:val="100"/>
                <w:kern w:val="0"/>
                <w:position w:val="0"/>
                <w:sz w:val="21"/>
                <w:szCs w:val="21"/>
                <w:lang w:val="en-US" w:eastAsia="zh-CN"/>
              </w:rPr>
              <w:t>84</w:t>
            </w:r>
            <w:r>
              <w:rPr>
                <w:rFonts w:hint="default" w:ascii="Times New Roman" w:hAnsi="Times New Roman" w:eastAsia="宋体" w:cs="Times New Roman"/>
                <w:snapToGrid w:val="0"/>
                <w:color w:val="auto"/>
                <w:spacing w:val="0"/>
                <w:w w:val="100"/>
                <w:kern w:val="0"/>
                <w:position w:val="0"/>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832" w:type="dxa"/>
            <w:vMerge w:val="continue"/>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p>
        </w:tc>
        <w:tc>
          <w:tcPr>
            <w:tcW w:w="915" w:type="dxa"/>
            <w:vMerge w:val="restart"/>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1000d</w:t>
            </w:r>
          </w:p>
        </w:tc>
        <w:tc>
          <w:tcPr>
            <w:tcW w:w="7191" w:type="dxa"/>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lang w:eastAsia="zh-CN"/>
              </w:rPr>
            </w:pPr>
            <w:r>
              <w:rPr>
                <w:color w:val="auto"/>
              </w:rPr>
              <w:drawing>
                <wp:inline distT="0" distB="0" distL="114300" distR="114300">
                  <wp:extent cx="4274185" cy="3249295"/>
                  <wp:effectExtent l="4445" t="4445" r="7620" b="22860"/>
                  <wp:docPr id="56" name="图表 2" descr="7b0a202020202263686172745265734964223a202232303437323139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32" w:type="dxa"/>
            <w:vMerge w:val="continue"/>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p>
        </w:tc>
        <w:tc>
          <w:tcPr>
            <w:tcW w:w="915" w:type="dxa"/>
            <w:vMerge w:val="continue"/>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p>
        </w:tc>
        <w:tc>
          <w:tcPr>
            <w:tcW w:w="7191" w:type="dxa"/>
            <w:noWrap w:val="0"/>
            <w:vAlign w:val="center"/>
          </w:tcPr>
          <w:p>
            <w:pPr>
              <w:pStyle w:val="66"/>
              <w:snapToGrid w:val="0"/>
              <w:rPr>
                <w:rFonts w:hint="default" w:ascii="Times New Roman" w:hAnsi="Times New Roman" w:eastAsia="宋体" w:cs="Times New Roman"/>
                <w:snapToGrid w:val="0"/>
                <w:color w:val="auto"/>
                <w:spacing w:val="0"/>
                <w:w w:val="100"/>
                <w:kern w:val="0"/>
                <w:position w:val="0"/>
                <w:sz w:val="21"/>
                <w:szCs w:val="21"/>
              </w:rPr>
            </w:pPr>
            <w:r>
              <w:rPr>
                <w:rFonts w:hint="default" w:ascii="Times New Roman" w:hAnsi="Times New Roman" w:eastAsia="宋体" w:cs="Times New Roman"/>
                <w:snapToGrid w:val="0"/>
                <w:color w:val="auto"/>
                <w:spacing w:val="0"/>
                <w:w w:val="100"/>
                <w:kern w:val="0"/>
                <w:position w:val="0"/>
                <w:sz w:val="21"/>
                <w:szCs w:val="21"/>
              </w:rPr>
              <w:t>结果说明：最大贡献浓度为</w:t>
            </w:r>
            <w:r>
              <w:rPr>
                <w:rFonts w:hint="eastAsia" w:ascii="Times New Roman" w:hAnsi="Times New Roman" w:cs="Times New Roman"/>
                <w:snapToGrid w:val="0"/>
                <w:color w:val="auto"/>
                <w:spacing w:val="0"/>
                <w:w w:val="100"/>
                <w:kern w:val="0"/>
                <w:position w:val="0"/>
                <w:sz w:val="21"/>
                <w:szCs w:val="21"/>
                <w:lang w:val="en-US" w:eastAsia="zh-CN"/>
              </w:rPr>
              <w:t>7.022232</w:t>
            </w:r>
            <w:r>
              <w:rPr>
                <w:rFonts w:hint="default" w:ascii="Times New Roman" w:hAnsi="Times New Roman" w:eastAsia="宋体" w:cs="Times New Roman"/>
                <w:snapToGrid w:val="0"/>
                <w:color w:val="auto"/>
                <w:spacing w:val="0"/>
                <w:w w:val="100"/>
                <w:kern w:val="0"/>
                <w:position w:val="0"/>
                <w:sz w:val="21"/>
                <w:szCs w:val="21"/>
              </w:rPr>
              <w:t>mg/L，最大值运移距离达</w:t>
            </w:r>
            <w:r>
              <w:rPr>
                <w:rFonts w:hint="eastAsia" w:ascii="Times New Roman" w:cs="Times New Roman"/>
                <w:snapToGrid w:val="0"/>
                <w:color w:val="auto"/>
                <w:spacing w:val="0"/>
                <w:w w:val="100"/>
                <w:kern w:val="0"/>
                <w:position w:val="0"/>
                <w:sz w:val="21"/>
                <w:szCs w:val="21"/>
                <w:lang w:val="en-US" w:eastAsia="zh-CN"/>
              </w:rPr>
              <w:t>505</w:t>
            </w:r>
            <w:r>
              <w:rPr>
                <w:rFonts w:hint="default" w:ascii="Times New Roman" w:hAnsi="Times New Roman" w:eastAsia="宋体" w:cs="Times New Roman"/>
                <w:snapToGrid w:val="0"/>
                <w:color w:val="auto"/>
                <w:spacing w:val="0"/>
                <w:w w:val="100"/>
                <w:kern w:val="0"/>
                <w:position w:val="0"/>
                <w:sz w:val="21"/>
                <w:szCs w:val="21"/>
              </w:rPr>
              <w:t>m</w:t>
            </w:r>
          </w:p>
        </w:tc>
      </w:tr>
    </w:tbl>
    <w:p>
      <w:pPr>
        <w:pStyle w:val="16"/>
        <w:adjustRightInd w:val="0"/>
        <w:spacing w:before="157" w:line="348" w:lineRule="auto"/>
        <w:ind w:firstLine="480" w:firstLineChars="200"/>
        <w:jc w:val="both"/>
        <w:rPr>
          <w:rFonts w:hint="default" w:ascii="Times New Roman" w:hAnsi="Times New Roman" w:eastAsia="宋体" w:cs="Times New Roman"/>
          <w:color w:val="auto"/>
          <w:spacing w:val="0"/>
          <w:w w:val="100"/>
          <w:kern w:val="0"/>
          <w:position w:val="0"/>
          <w:sz w:val="24"/>
          <w:szCs w:val="15"/>
          <w:highlight w:val="none"/>
        </w:rPr>
      </w:pPr>
      <w:r>
        <w:rPr>
          <w:rFonts w:hint="default" w:ascii="Times New Roman" w:hAnsi="Times New Roman" w:eastAsia="宋体" w:cs="Times New Roman"/>
          <w:color w:val="auto"/>
          <w:spacing w:val="0"/>
          <w:w w:val="100"/>
          <w:kern w:val="0"/>
          <w:position w:val="0"/>
          <w:sz w:val="24"/>
          <w:szCs w:val="15"/>
          <w:highlight w:val="none"/>
        </w:rPr>
        <w:t>NH</w:t>
      </w:r>
      <w:r>
        <w:rPr>
          <w:rFonts w:hint="default" w:ascii="Times New Roman" w:hAnsi="Times New Roman" w:eastAsia="宋体" w:cs="Times New Roman"/>
          <w:color w:val="auto"/>
          <w:spacing w:val="0"/>
          <w:w w:val="100"/>
          <w:kern w:val="0"/>
          <w:position w:val="0"/>
          <w:sz w:val="24"/>
          <w:szCs w:val="15"/>
          <w:highlight w:val="none"/>
          <w:vertAlign w:val="subscript"/>
        </w:rPr>
        <w:t>3</w:t>
      </w:r>
      <w:r>
        <w:rPr>
          <w:rFonts w:hint="default" w:ascii="Times New Roman" w:hAnsi="Times New Roman" w:eastAsia="宋体" w:cs="Times New Roman"/>
          <w:color w:val="auto"/>
          <w:spacing w:val="0"/>
          <w:w w:val="100"/>
          <w:kern w:val="0"/>
          <w:position w:val="0"/>
          <w:sz w:val="24"/>
          <w:szCs w:val="15"/>
          <w:highlight w:val="none"/>
        </w:rPr>
        <w:t>-N标准浓度为0.2mg/L，根据地下水预测结果，污染物运移100天时，在</w:t>
      </w:r>
      <w:r>
        <w:rPr>
          <w:rFonts w:hint="default" w:ascii="Times New Roman" w:hAnsi="Times New Roman" w:eastAsia="宋体" w:cs="Times New Roman"/>
          <w:color w:val="auto"/>
          <w:spacing w:val="0"/>
          <w:w w:val="100"/>
          <w:kern w:val="0"/>
          <w:position w:val="0"/>
          <w:sz w:val="24"/>
          <w:szCs w:val="15"/>
          <w:highlight w:val="none"/>
          <w:lang w:val="en-US" w:eastAsia="zh-CN"/>
        </w:rPr>
        <w:t>7</w:t>
      </w:r>
      <w:r>
        <w:rPr>
          <w:rFonts w:hint="eastAsia" w:ascii="Times New Roman" w:hAnsi="Times New Roman" w:cs="Times New Roman"/>
          <w:color w:val="auto"/>
          <w:spacing w:val="0"/>
          <w:w w:val="100"/>
          <w:kern w:val="0"/>
          <w:position w:val="0"/>
          <w:sz w:val="24"/>
          <w:szCs w:val="15"/>
          <w:highlight w:val="none"/>
          <w:lang w:val="en-US" w:eastAsia="zh-CN"/>
        </w:rPr>
        <w:t>3</w:t>
      </w:r>
      <w:r>
        <w:rPr>
          <w:rFonts w:hint="default" w:ascii="Times New Roman" w:hAnsi="Times New Roman" w:eastAsia="宋体" w:cs="Times New Roman"/>
          <w:color w:val="auto"/>
          <w:spacing w:val="0"/>
          <w:w w:val="100"/>
          <w:kern w:val="0"/>
          <w:position w:val="0"/>
          <w:sz w:val="24"/>
          <w:szCs w:val="15"/>
          <w:highlight w:val="none"/>
        </w:rPr>
        <w:t>m范围内</w:t>
      </w:r>
      <w:r>
        <w:rPr>
          <w:rFonts w:hint="default" w:ascii="Times New Roman" w:hAnsi="Times New Roman" w:eastAsia="宋体" w:cs="Times New Roman"/>
          <w:color w:val="auto"/>
          <w:spacing w:val="0"/>
          <w:w w:val="100"/>
          <w:kern w:val="0"/>
          <w:position w:val="0"/>
          <w:sz w:val="24"/>
          <w:szCs w:val="24"/>
          <w:highlight w:val="none"/>
        </w:rPr>
        <w:t>会导致地下水中氨氮浓度超过《地下水质量标准》（GB/T14848-2017）的Ⅲ类标准限值</w:t>
      </w:r>
      <w:r>
        <w:rPr>
          <w:rFonts w:hint="default" w:ascii="Times New Roman" w:hAnsi="Times New Roman" w:eastAsia="宋体" w:cs="Times New Roman"/>
          <w:color w:val="auto"/>
          <w:spacing w:val="0"/>
          <w:w w:val="100"/>
          <w:kern w:val="0"/>
          <w:position w:val="0"/>
          <w:sz w:val="24"/>
          <w:szCs w:val="15"/>
          <w:highlight w:val="none"/>
        </w:rPr>
        <w:t>，对地下水水质造成污染；污染物运移1000</w:t>
      </w:r>
      <w:r>
        <w:rPr>
          <w:rFonts w:hint="default" w:ascii="Times New Roman" w:hAnsi="Times New Roman" w:eastAsia="宋体" w:cs="Times New Roman"/>
          <w:color w:val="auto"/>
          <w:spacing w:val="0"/>
          <w:w w:val="100"/>
          <w:kern w:val="0"/>
          <w:position w:val="0"/>
          <w:sz w:val="24"/>
          <w:szCs w:val="15"/>
          <w:highlight w:val="none"/>
          <w:lang w:val="en-US" w:eastAsia="zh-CN"/>
        </w:rPr>
        <w:t>d</w:t>
      </w:r>
      <w:r>
        <w:rPr>
          <w:rFonts w:hint="default" w:ascii="Times New Roman" w:hAnsi="Times New Roman" w:eastAsia="宋体" w:cs="Times New Roman"/>
          <w:color w:val="auto"/>
          <w:spacing w:val="0"/>
          <w:w w:val="100"/>
          <w:kern w:val="0"/>
          <w:position w:val="0"/>
          <w:sz w:val="24"/>
          <w:szCs w:val="15"/>
          <w:highlight w:val="none"/>
        </w:rPr>
        <w:t>后，在</w:t>
      </w:r>
      <w:r>
        <w:rPr>
          <w:rFonts w:hint="default" w:ascii="Times New Roman" w:hAnsi="Times New Roman" w:eastAsia="宋体" w:cs="Times New Roman"/>
          <w:color w:val="auto"/>
          <w:spacing w:val="0"/>
          <w:w w:val="100"/>
          <w:kern w:val="0"/>
          <w:position w:val="0"/>
          <w:sz w:val="24"/>
          <w:szCs w:val="15"/>
          <w:highlight w:val="none"/>
          <w:lang w:val="en-US" w:eastAsia="zh-CN"/>
        </w:rPr>
        <w:t>4</w:t>
      </w:r>
      <w:r>
        <w:rPr>
          <w:rFonts w:hint="eastAsia" w:ascii="Times New Roman" w:hAnsi="Times New Roman" w:cs="Times New Roman"/>
          <w:color w:val="auto"/>
          <w:spacing w:val="0"/>
          <w:w w:val="100"/>
          <w:kern w:val="0"/>
          <w:position w:val="0"/>
          <w:sz w:val="24"/>
          <w:szCs w:val="15"/>
          <w:highlight w:val="none"/>
          <w:lang w:val="en-US" w:eastAsia="zh-CN"/>
        </w:rPr>
        <w:t>70</w:t>
      </w:r>
      <w:r>
        <w:rPr>
          <w:rFonts w:hint="default" w:ascii="Times New Roman" w:hAnsi="Times New Roman" w:eastAsia="宋体" w:cs="Times New Roman"/>
          <w:color w:val="auto"/>
          <w:spacing w:val="0"/>
          <w:w w:val="100"/>
          <w:kern w:val="0"/>
          <w:position w:val="0"/>
          <w:sz w:val="24"/>
          <w:szCs w:val="15"/>
          <w:highlight w:val="none"/>
        </w:rPr>
        <w:t>m范围内</w:t>
      </w:r>
      <w:r>
        <w:rPr>
          <w:rFonts w:hint="default" w:ascii="Times New Roman" w:hAnsi="Times New Roman" w:eastAsia="宋体" w:cs="Times New Roman"/>
          <w:color w:val="auto"/>
          <w:spacing w:val="0"/>
          <w:w w:val="100"/>
          <w:kern w:val="0"/>
          <w:position w:val="0"/>
          <w:sz w:val="24"/>
          <w:szCs w:val="24"/>
          <w:highlight w:val="none"/>
        </w:rPr>
        <w:t>会导致地下水中氨氮浓度超过《地下水质量标准》（GB/T14848-2017）的Ⅲ类标准限值</w:t>
      </w:r>
      <w:r>
        <w:rPr>
          <w:rFonts w:hint="default" w:ascii="Times New Roman" w:hAnsi="Times New Roman" w:eastAsia="宋体" w:cs="Times New Roman"/>
          <w:color w:val="auto"/>
          <w:spacing w:val="0"/>
          <w:w w:val="100"/>
          <w:kern w:val="0"/>
          <w:position w:val="0"/>
          <w:sz w:val="24"/>
          <w:szCs w:val="15"/>
          <w:highlight w:val="none"/>
        </w:rPr>
        <w:t>，因此，1000</w:t>
      </w:r>
      <w:r>
        <w:rPr>
          <w:rFonts w:hint="default" w:ascii="Times New Roman" w:hAnsi="Times New Roman" w:eastAsia="宋体" w:cs="Times New Roman"/>
          <w:color w:val="auto"/>
          <w:spacing w:val="0"/>
          <w:w w:val="100"/>
          <w:kern w:val="0"/>
          <w:position w:val="0"/>
          <w:sz w:val="24"/>
          <w:szCs w:val="15"/>
          <w:highlight w:val="none"/>
          <w:lang w:val="en-US" w:eastAsia="zh-CN"/>
        </w:rPr>
        <w:t>d</w:t>
      </w:r>
      <w:r>
        <w:rPr>
          <w:rFonts w:hint="default" w:ascii="Times New Roman" w:hAnsi="Times New Roman" w:eastAsia="宋体" w:cs="Times New Roman"/>
          <w:color w:val="auto"/>
          <w:spacing w:val="0"/>
          <w:w w:val="100"/>
          <w:kern w:val="0"/>
          <w:position w:val="0"/>
          <w:sz w:val="24"/>
          <w:szCs w:val="15"/>
          <w:highlight w:val="none"/>
        </w:rPr>
        <w:t>以后对地下水水质影响较小。</w:t>
      </w:r>
    </w:p>
    <w:p>
      <w:pPr>
        <w:pStyle w:val="16"/>
        <w:adjustRightInd w:val="0"/>
        <w:spacing w:line="348"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综合以上预测结果可知，废水一旦泄漏进入地下水系统，将会对局部地下水造成污染。为了更好地控制对地下水的影响，当发生污染物渗漏事故后，必须立即启动应急预案，参照预测结果，分析污染事故的发展趋势，并提出下一步预防和防治措施，迅速控制或切断事件灾害链，对污水进行封闭、截流，抽出污水另外暂存，使污染地下水扩散得到有效抑制，最大限度地保护下游地下水水质安全，将损失降到最低限度。</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地下水环境防治措施</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①</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总体原则</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本项目为奶牛养殖，根据项目特点和当地的实际情况，按照</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源头控制、分区防治、污染监控、应急响应</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的地下水污染防治总体原则，本项目将从污染物的产生、入渗、扩散等采取全方位的控制措施。</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②</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源头控制措施</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选择先进、成熟、可靠的工艺技术，并对产生的废物进行合理的综合利用和治理，尽可能从源头上减少污染物排放；严格按照国家相关规范要求，对工艺、管道、设备、污水收集及处理构筑物采取相应的措施，以防止和降低污染物的跑、冒、滴、漏，将污染物泄漏的环境风险事故降到最低程度。</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③</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分区防治措施</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对项目可能泄漏污染物的污染区地面进行防渗设计，及时地将泄漏、渗漏的污染物进行收集处理，以有效防止洒落地面的污染物渗入地下。</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根据本项目可能泄漏至地面区域的污染物性质和生产单元的构筑方式，本项目危险废物暂存间、污水处理站、</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库等均为重点防治区；牛舍、挤奶厅为一般污染防治区。</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④</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要求采用防渗方案</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各污染防治分区的防渗要求，结合施工过程中的可操作性和技术水平，可选用的典型防渗方案如下。具体设计时可根据场地实际的工程地质、水文地质条件和可能发生泄漏的物料性质等，在满足防渗要求的前提下作必要的调整。建议防渗方案如下：</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a.重点防渗区：</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废暂存间防渗性能需满足《危险废物贮存污染控制标准》（GB 18597-2001）要求，基础必须防渗，防渗层为至少1m后粘土层（渗透系数≤1.0×10</w:t>
      </w:r>
      <w:r>
        <w:rPr>
          <w:rFonts w:hint="default" w:ascii="Times New Roman" w:hAnsi="Times New Roman" w:eastAsia="宋体" w:cs="Times New Roman"/>
          <w:color w:val="auto"/>
          <w:spacing w:val="0"/>
          <w:w w:val="100"/>
          <w:kern w:val="0"/>
          <w:position w:val="0"/>
          <w:sz w:val="24"/>
          <w:szCs w:val="24"/>
          <w:highlight w:val="none"/>
          <w:vertAlign w:val="superscript"/>
        </w:rPr>
        <w:t>-7</w:t>
      </w:r>
      <w:r>
        <w:rPr>
          <w:rFonts w:hint="default" w:ascii="Times New Roman" w:hAnsi="Times New Roman" w:eastAsia="宋体" w:cs="Times New Roman"/>
          <w:color w:val="auto"/>
          <w:spacing w:val="0"/>
          <w:w w:val="100"/>
          <w:kern w:val="0"/>
          <w:position w:val="0"/>
          <w:sz w:val="24"/>
          <w:szCs w:val="24"/>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 w:val="24"/>
          <w:szCs w:val="24"/>
          <w:highlight w:val="none"/>
          <w:vertAlign w:val="superscript"/>
        </w:rPr>
        <w:t>-10</w:t>
      </w:r>
      <w:r>
        <w:rPr>
          <w:rFonts w:hint="default" w:ascii="Times New Roman" w:hAnsi="Times New Roman" w:eastAsia="宋体" w:cs="Times New Roman"/>
          <w:color w:val="auto"/>
          <w:spacing w:val="0"/>
          <w:w w:val="100"/>
          <w:kern w:val="0"/>
          <w:position w:val="0"/>
          <w:sz w:val="24"/>
          <w:szCs w:val="24"/>
          <w:highlight w:val="none"/>
        </w:rPr>
        <w:t>cm/s；污水处理站、</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lang w:eastAsia="zh-CN"/>
        </w:rPr>
        <w:t>及氧化塘</w:t>
      </w:r>
      <w:r>
        <w:rPr>
          <w:rFonts w:hint="default" w:ascii="Times New Roman" w:hAnsi="Times New Roman" w:eastAsia="宋体" w:cs="Times New Roman"/>
          <w:color w:val="auto"/>
          <w:spacing w:val="0"/>
          <w:w w:val="100"/>
          <w:kern w:val="0"/>
          <w:position w:val="0"/>
          <w:sz w:val="24"/>
          <w:szCs w:val="24"/>
          <w:highlight w:val="none"/>
        </w:rPr>
        <w:t>防渗层的性能不低于6.0m厚渗透系数为1.0×10</w:t>
      </w:r>
      <w:r>
        <w:rPr>
          <w:rFonts w:hint="default" w:ascii="Times New Roman" w:hAnsi="Times New Roman" w:eastAsia="宋体" w:cs="Times New Roman"/>
          <w:color w:val="auto"/>
          <w:spacing w:val="0"/>
          <w:w w:val="100"/>
          <w:kern w:val="0"/>
          <w:position w:val="0"/>
          <w:sz w:val="24"/>
          <w:szCs w:val="24"/>
          <w:highlight w:val="none"/>
          <w:vertAlign w:val="superscript"/>
        </w:rPr>
        <w:t>-7</w:t>
      </w:r>
      <w:r>
        <w:rPr>
          <w:rFonts w:hint="default" w:ascii="Times New Roman" w:hAnsi="Times New Roman" w:eastAsia="宋体" w:cs="Times New Roman"/>
          <w:color w:val="auto"/>
          <w:spacing w:val="0"/>
          <w:w w:val="100"/>
          <w:kern w:val="0"/>
          <w:position w:val="0"/>
          <w:sz w:val="24"/>
          <w:szCs w:val="24"/>
          <w:highlight w:val="none"/>
        </w:rPr>
        <w:t>cm/s的黏土层。</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b.一般防渗区：</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对牛舍、挤奶厅做一般防渗，其防渗层的防渗性能不低于</w:t>
      </w:r>
      <w:r>
        <w:rPr>
          <w:rFonts w:hint="default" w:ascii="Times New Roman" w:hAnsi="Times New Roman" w:eastAsia="宋体" w:cs="Times New Roman"/>
          <w:color w:val="auto"/>
          <w:spacing w:val="0"/>
          <w:w w:val="100"/>
          <w:kern w:val="0"/>
          <w:position w:val="0"/>
          <w:sz w:val="24"/>
          <w:szCs w:val="24"/>
          <w:highlight w:val="none"/>
          <w:lang w:val="en-US" w:eastAsia="zh-CN"/>
        </w:rPr>
        <w:t>1.5</w:t>
      </w:r>
      <w:r>
        <w:rPr>
          <w:rFonts w:hint="default" w:ascii="Times New Roman" w:hAnsi="Times New Roman" w:eastAsia="宋体" w:cs="Times New Roman"/>
          <w:color w:val="auto"/>
          <w:spacing w:val="0"/>
          <w:w w:val="100"/>
          <w:kern w:val="0"/>
          <w:position w:val="0"/>
          <w:sz w:val="24"/>
          <w:szCs w:val="24"/>
          <w:highlight w:val="none"/>
        </w:rPr>
        <w:t>m厚渗透系数为1.0×10</w:t>
      </w:r>
      <w:r>
        <w:rPr>
          <w:rFonts w:hint="default" w:ascii="Times New Roman" w:hAnsi="Times New Roman" w:eastAsia="宋体" w:cs="Times New Roman"/>
          <w:color w:val="auto"/>
          <w:spacing w:val="0"/>
          <w:w w:val="100"/>
          <w:kern w:val="0"/>
          <w:position w:val="0"/>
          <w:sz w:val="24"/>
          <w:szCs w:val="24"/>
          <w:highlight w:val="none"/>
          <w:vertAlign w:val="superscript"/>
        </w:rPr>
        <w:t>-7</w:t>
      </w:r>
      <w:r>
        <w:rPr>
          <w:rFonts w:hint="default" w:ascii="Times New Roman" w:hAnsi="Times New Roman" w:eastAsia="宋体" w:cs="Times New Roman"/>
          <w:color w:val="auto"/>
          <w:spacing w:val="0"/>
          <w:w w:val="100"/>
          <w:kern w:val="0"/>
          <w:position w:val="0"/>
          <w:sz w:val="24"/>
          <w:szCs w:val="24"/>
          <w:highlight w:val="none"/>
        </w:rPr>
        <w:t>cm/s的黏土层的防渗性能。</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要求厂区建设及运行做到雨污分流；</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厂区所有</w:t>
      </w:r>
      <w:r>
        <w:rPr>
          <w:rFonts w:hint="default" w:ascii="Times New Roman" w:hAnsi="Times New Roman" w:eastAsia="宋体" w:cs="Times New Roman"/>
          <w:color w:val="auto"/>
          <w:spacing w:val="0"/>
          <w:w w:val="100"/>
          <w:kern w:val="0"/>
          <w:position w:val="0"/>
          <w:sz w:val="24"/>
          <w:szCs w:val="24"/>
          <w:highlight w:val="none"/>
          <w:lang w:eastAsia="zh-CN"/>
        </w:rPr>
        <w:t>水池</w:t>
      </w:r>
      <w:r>
        <w:rPr>
          <w:rFonts w:hint="default" w:ascii="Times New Roman" w:hAnsi="Times New Roman" w:eastAsia="宋体" w:cs="Times New Roman"/>
          <w:color w:val="auto"/>
          <w:spacing w:val="0"/>
          <w:w w:val="100"/>
          <w:kern w:val="0"/>
          <w:position w:val="0"/>
          <w:sz w:val="24"/>
          <w:szCs w:val="24"/>
          <w:highlight w:val="none"/>
        </w:rPr>
        <w:t>应顶层防雨防水，四周及底部防泄漏；合理设置雨污分流管网，尽量利用地势自流。</w:t>
      </w:r>
    </w:p>
    <w:p>
      <w:pPr>
        <w:pStyle w:val="20"/>
        <w:adjustRightInd w:val="0"/>
        <w:snapToGrid w:val="0"/>
        <w:spacing w:after="0" w:line="348"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项目分区防渗情况见表5.3-</w:t>
      </w:r>
      <w:r>
        <w:rPr>
          <w:rFonts w:hint="default" w:ascii="Times New Roman" w:hAnsi="Times New Roman" w:eastAsia="宋体" w:cs="Times New Roman"/>
          <w:color w:val="auto"/>
          <w:spacing w:val="0"/>
          <w:w w:val="100"/>
          <w:kern w:val="0"/>
          <w:position w:val="0"/>
          <w:sz w:val="24"/>
          <w:szCs w:val="24"/>
          <w:highlight w:val="none"/>
          <w:lang w:val="en-US" w:eastAsia="zh-CN"/>
        </w:rPr>
        <w:t>4</w:t>
      </w:r>
      <w:r>
        <w:rPr>
          <w:rFonts w:hint="default" w:ascii="Times New Roman" w:hAnsi="Times New Roman" w:eastAsia="宋体" w:cs="Times New Roman"/>
          <w:color w:val="auto"/>
          <w:spacing w:val="0"/>
          <w:w w:val="100"/>
          <w:kern w:val="0"/>
          <w:position w:val="0"/>
          <w:sz w:val="24"/>
          <w:szCs w:val="24"/>
          <w:highlight w:val="none"/>
        </w:rPr>
        <w:t>，防渗图见图5.3-3。</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表5.3-4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本项目污染防治分区情况表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7"/>
        <w:gridCol w:w="2721"/>
        <w:gridCol w:w="50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污染防治区</w:t>
            </w:r>
          </w:p>
        </w:tc>
        <w:tc>
          <w:tcPr>
            <w:tcW w:w="27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区域名称</w:t>
            </w:r>
          </w:p>
        </w:tc>
        <w:tc>
          <w:tcPr>
            <w:tcW w:w="50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防渗要求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重点防治污染区</w:t>
            </w:r>
          </w:p>
        </w:tc>
        <w:tc>
          <w:tcPr>
            <w:tcW w:w="27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危废暂存间</w:t>
            </w:r>
          </w:p>
        </w:tc>
        <w:tc>
          <w:tcPr>
            <w:tcW w:w="50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基础必须防渗，防渗层为至少1m后粘土层（渗透系数≤1.0×10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p>
        </w:tc>
        <w:tc>
          <w:tcPr>
            <w:tcW w:w="27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及氧化塘</w:t>
            </w:r>
          </w:p>
        </w:tc>
        <w:tc>
          <w:tcPr>
            <w:tcW w:w="50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一般防渗区</w:t>
            </w:r>
          </w:p>
        </w:tc>
        <w:tc>
          <w:tcPr>
            <w:tcW w:w="27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牛舍、挤奶厅</w:t>
            </w:r>
          </w:p>
        </w:tc>
        <w:tc>
          <w:tcPr>
            <w:tcW w:w="50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渗层的防渗性能不低于</w:t>
            </w:r>
            <w:r>
              <w:rPr>
                <w:rFonts w:hint="default" w:ascii="Times New Roman" w:hAnsi="Times New Roman" w:eastAsia="宋体" w:cs="Times New Roman"/>
                <w:color w:val="auto"/>
                <w:spacing w:val="0"/>
                <w:w w:val="100"/>
                <w:kern w:val="0"/>
                <w:position w:val="0"/>
                <w:szCs w:val="21"/>
                <w:highlight w:val="none"/>
                <w:lang w:val="en-US" w:eastAsia="zh-CN"/>
              </w:rPr>
              <w:t>1.5</w:t>
            </w:r>
            <w:r>
              <w:rPr>
                <w:rFonts w:hint="default" w:ascii="Times New Roman" w:hAnsi="Times New Roman" w:eastAsia="宋体" w:cs="Times New Roman"/>
                <w:color w:val="auto"/>
                <w:spacing w:val="0"/>
                <w:w w:val="100"/>
                <w:kern w:val="0"/>
                <w:position w:val="0"/>
                <w:szCs w:val="21"/>
                <w:highlight w:val="none"/>
              </w:rPr>
              <w:t>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简单防治区</w:t>
            </w:r>
          </w:p>
        </w:tc>
        <w:tc>
          <w:tcPr>
            <w:tcW w:w="27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其他裸露地面</w:t>
            </w:r>
          </w:p>
        </w:tc>
        <w:tc>
          <w:tcPr>
            <w:tcW w:w="502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全部进行水泥硬化处理</w:t>
            </w:r>
          </w:p>
        </w:tc>
      </w:tr>
    </w:tbl>
    <w:p>
      <w:pPr>
        <w:pStyle w:val="20"/>
        <w:adjustRightInd w:val="0"/>
        <w:snapToGrid w:val="0"/>
        <w:spacing w:before="120" w:beforeLines="50"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5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⑤</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地下水资源保护措施</w:t>
      </w:r>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a.工程在施工、运行中，必须把水资源保护工作纳入正常的生产管理中，确保实现水资源的有效保护和可持续利用，更好地支持区域经济可持续发展。</w:t>
      </w:r>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b.开展清洁无公害生产：根据本工程的实际情况，按照各工艺系统对用水量及水质的要求，结合水源条件，从节约用水、保护环境、确保项目长期、安全运行的目标出发，工程应设计并认真落实节水方案，同时根据经济技术进步实施先进的节水技术设备，进一步强化内部管理，不断研究新的节水技术，提高单位产品用水水平。</w:t>
      </w:r>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c.加强水资源保护教育：在工程的建设、施工、运行管理中，应不断加强对职工进行环境保护和水资源保护知识的教育和培训，提高职工的环境保护、清洁生产和节水意识。</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zh-CN"/>
        </w:rPr>
      </w:pPr>
      <w:r>
        <w:rPr>
          <w:rFonts w:hint="default" w:ascii="Times New Roman" w:hAnsi="Times New Roman" w:eastAsia="宋体" w:cs="Times New Roman"/>
          <w:color w:val="auto"/>
          <w:spacing w:val="0"/>
          <w:w w:val="100"/>
          <w:kern w:val="0"/>
          <w:position w:val="0"/>
          <w:sz w:val="24"/>
          <w:szCs w:val="24"/>
          <w:highlight w:val="none"/>
        </w:rPr>
        <w:t>综上所述，采区相应措施后，本项目对地下水影响轻微。</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875" w:name="_Toc2770"/>
      <w:bookmarkStart w:id="876" w:name="_Toc27996"/>
      <w:bookmarkStart w:id="877" w:name="_Toc6582"/>
      <w:bookmarkStart w:id="878" w:name="_Toc9141"/>
      <w:bookmarkStart w:id="879" w:name="_Toc12969"/>
      <w:bookmarkStart w:id="880" w:name="_Toc10647"/>
      <w:r>
        <w:rPr>
          <w:rFonts w:hint="default" w:ascii="Times New Roman" w:hAnsi="Times New Roman" w:eastAsia="宋体" w:cs="Times New Roman"/>
          <w:snapToGrid w:val="0"/>
          <w:color w:val="auto"/>
          <w:spacing w:val="0"/>
          <w:w w:val="100"/>
          <w:kern w:val="0"/>
          <w:position w:val="0"/>
          <w:highlight w:val="none"/>
          <w:lang w:val="en-US" w:eastAsia="zh-CN"/>
        </w:rPr>
        <w:t>5.4声环境影响分析</w:t>
      </w:r>
      <w:bookmarkEnd w:id="873"/>
      <w:bookmarkEnd w:id="875"/>
      <w:bookmarkEnd w:id="876"/>
      <w:bookmarkEnd w:id="877"/>
      <w:bookmarkEnd w:id="878"/>
      <w:bookmarkEnd w:id="879"/>
      <w:bookmarkEnd w:id="880"/>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81" w:name="_Toc31700"/>
      <w:bookmarkStart w:id="882" w:name="_Toc3228"/>
      <w:r>
        <w:rPr>
          <w:rFonts w:hint="default" w:ascii="Times New Roman" w:hAnsi="Times New Roman" w:eastAsia="宋体" w:cs="Times New Roman"/>
          <w:snapToGrid w:val="0"/>
          <w:color w:val="auto"/>
          <w:spacing w:val="0"/>
          <w:w w:val="100"/>
          <w:kern w:val="0"/>
          <w:position w:val="0"/>
          <w:sz w:val="28"/>
          <w:szCs w:val="28"/>
          <w:highlight w:val="none"/>
          <w:lang w:val="en-US" w:eastAsia="zh-CN"/>
        </w:rPr>
        <w:t>5.4.1噪声源强</w:t>
      </w:r>
      <w:bookmarkEnd w:id="881"/>
      <w:bookmarkEnd w:id="882"/>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15"/>
          <w:highlight w:val="none"/>
          <w:lang w:val="zh-CN"/>
        </w:rPr>
      </w:pPr>
      <w:r>
        <w:rPr>
          <w:rFonts w:hint="default" w:ascii="Times New Roman" w:hAnsi="Times New Roman" w:eastAsia="宋体" w:cs="Times New Roman"/>
          <w:color w:val="auto"/>
          <w:spacing w:val="0"/>
          <w:w w:val="100"/>
          <w:kern w:val="0"/>
          <w:position w:val="0"/>
          <w:sz w:val="24"/>
          <w:szCs w:val="22"/>
          <w:highlight w:val="none"/>
        </w:rPr>
        <w:t>本项目噪声主要来自TMR搅拌站内饲料配料混合设备、粉碎机、水泵及牛群活动叫声等。</w:t>
      </w:r>
      <w:r>
        <w:rPr>
          <w:rFonts w:hint="default" w:ascii="Times New Roman" w:hAnsi="Times New Roman" w:eastAsia="宋体" w:cs="Times New Roman"/>
          <w:color w:val="auto"/>
          <w:spacing w:val="0"/>
          <w:w w:val="100"/>
          <w:kern w:val="0"/>
          <w:position w:val="0"/>
          <w:sz w:val="24"/>
          <w:szCs w:val="15"/>
          <w:highlight w:val="none"/>
          <w:lang w:val="zh-CN"/>
        </w:rPr>
        <w:t>各个机械</w:t>
      </w:r>
      <w:r>
        <w:rPr>
          <w:rFonts w:hint="default" w:ascii="Times New Roman" w:hAnsi="Times New Roman" w:eastAsia="宋体" w:cs="Times New Roman"/>
          <w:color w:val="auto"/>
          <w:spacing w:val="0"/>
          <w:w w:val="100"/>
          <w:kern w:val="0"/>
          <w:position w:val="0"/>
          <w:sz w:val="24"/>
          <w:szCs w:val="15"/>
          <w:highlight w:val="none"/>
        </w:rPr>
        <w:t>设备均置于厂房内，并采取基础减振等措施，</w:t>
      </w:r>
      <w:r>
        <w:rPr>
          <w:rFonts w:hint="default" w:ascii="Times New Roman" w:hAnsi="Times New Roman" w:eastAsia="宋体" w:cs="Times New Roman"/>
          <w:color w:val="auto"/>
          <w:spacing w:val="0"/>
          <w:w w:val="100"/>
          <w:kern w:val="0"/>
          <w:position w:val="0"/>
          <w:sz w:val="24"/>
          <w:szCs w:val="15"/>
          <w:highlight w:val="none"/>
          <w:lang w:val="zh-CN"/>
        </w:rPr>
        <w:t>根据类比资料，确定拟建工程主要噪声源强情况见表</w:t>
      </w:r>
      <w:r>
        <w:rPr>
          <w:rFonts w:hint="default" w:ascii="Times New Roman" w:hAnsi="Times New Roman" w:eastAsia="宋体" w:cs="Times New Roman"/>
          <w:color w:val="auto"/>
          <w:spacing w:val="0"/>
          <w:w w:val="100"/>
          <w:kern w:val="0"/>
          <w:position w:val="0"/>
          <w:sz w:val="24"/>
          <w:szCs w:val="15"/>
          <w:highlight w:val="none"/>
        </w:rPr>
        <w:t>5.4-1</w:t>
      </w:r>
      <w:r>
        <w:rPr>
          <w:rFonts w:hint="default" w:ascii="Times New Roman" w:hAnsi="Times New Roman" w:eastAsia="宋体" w:cs="Times New Roman"/>
          <w:color w:val="auto"/>
          <w:spacing w:val="0"/>
          <w:w w:val="100"/>
          <w:kern w:val="0"/>
          <w:position w:val="0"/>
          <w:sz w:val="24"/>
          <w:szCs w:val="15"/>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表5.4-1</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主要噪声设备源强及治理效果一览表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921"/>
        <w:gridCol w:w="1455"/>
        <w:gridCol w:w="1155"/>
        <w:gridCol w:w="1335"/>
        <w:gridCol w:w="1531"/>
        <w:gridCol w:w="13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2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种类</w:t>
            </w:r>
          </w:p>
        </w:tc>
        <w:tc>
          <w:tcPr>
            <w:tcW w:w="1455"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污染物来源</w:t>
            </w:r>
          </w:p>
        </w:tc>
        <w:tc>
          <w:tcPr>
            <w:tcW w:w="1155"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产生方式</w:t>
            </w:r>
          </w:p>
        </w:tc>
        <w:tc>
          <w:tcPr>
            <w:tcW w:w="1335"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源强</w:t>
            </w:r>
          </w:p>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（dB（A））</w:t>
            </w:r>
          </w:p>
        </w:tc>
        <w:tc>
          <w:tcPr>
            <w:tcW w:w="1531" w:type="dxa"/>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治理措施</w:t>
            </w:r>
          </w:p>
        </w:tc>
        <w:tc>
          <w:tcPr>
            <w:tcW w:w="1334" w:type="dxa"/>
            <w:noWrap w:val="0"/>
            <w:vAlign w:val="top"/>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降噪后源强</w:t>
            </w:r>
          </w:p>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2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牛叫</w:t>
            </w:r>
          </w:p>
        </w:tc>
        <w:tc>
          <w:tcPr>
            <w:tcW w:w="14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eastAsia="zh-CN"/>
              </w:rPr>
              <w:t>牛舍</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33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60-70</w:t>
            </w:r>
          </w:p>
        </w:tc>
        <w:tc>
          <w:tcPr>
            <w:tcW w:w="153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33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2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TMR混合搅拌机</w:t>
            </w:r>
          </w:p>
        </w:tc>
        <w:tc>
          <w:tcPr>
            <w:tcW w:w="14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33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531" w:type="dxa"/>
            <w:vMerge w:val="restart"/>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基础减振、墙体隔声等措施</w:t>
            </w:r>
          </w:p>
        </w:tc>
        <w:tc>
          <w:tcPr>
            <w:tcW w:w="133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2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粉碎机</w:t>
            </w:r>
          </w:p>
        </w:tc>
        <w:tc>
          <w:tcPr>
            <w:tcW w:w="14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饲料加工</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间断</w:t>
            </w:r>
          </w:p>
        </w:tc>
        <w:tc>
          <w:tcPr>
            <w:tcW w:w="133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53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33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21"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水泵</w:t>
            </w:r>
          </w:p>
        </w:tc>
        <w:tc>
          <w:tcPr>
            <w:tcW w:w="14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污水处理区</w:t>
            </w:r>
          </w:p>
        </w:tc>
        <w:tc>
          <w:tcPr>
            <w:tcW w:w="115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连续</w:t>
            </w:r>
          </w:p>
        </w:tc>
        <w:tc>
          <w:tcPr>
            <w:tcW w:w="133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1531" w:type="dxa"/>
            <w:vMerge w:val="continue"/>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334"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70</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83" w:name="_Toc16878"/>
      <w:bookmarkStart w:id="884" w:name="_Toc29118"/>
      <w:r>
        <w:rPr>
          <w:rFonts w:hint="default" w:ascii="Times New Roman" w:hAnsi="Times New Roman" w:eastAsia="宋体" w:cs="Times New Roman"/>
          <w:snapToGrid w:val="0"/>
          <w:color w:val="auto"/>
          <w:spacing w:val="0"/>
          <w:w w:val="100"/>
          <w:kern w:val="0"/>
          <w:position w:val="0"/>
          <w:sz w:val="28"/>
          <w:szCs w:val="28"/>
          <w:highlight w:val="none"/>
          <w:lang w:val="en-US" w:eastAsia="zh-CN"/>
        </w:rPr>
        <w:t>5.4.2噪声预测结果与影响分析</w:t>
      </w:r>
      <w:bookmarkEnd w:id="883"/>
      <w:bookmarkEnd w:id="884"/>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根据《环境影响评价技术导则</w:t>
      </w:r>
      <w:r>
        <w:rPr>
          <w:rFonts w:hint="default" w:ascii="Times New Roman" w:hAnsi="Times New Roman" w:cs="Times New Roman"/>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24"/>
          <w:highlight w:val="none"/>
        </w:rPr>
        <w:t>声环境》（HJ 2.4-2009）的技术要求，本次评价采取导则上的推荐模式进行声环境影响预测。</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rPr>
        <w:instrText xml:space="preserve"> = 1 \* GB3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①</w: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szCs w:val="24"/>
          <w:highlight w:val="none"/>
        </w:rPr>
        <w:t>建设项目声源在预测点产生的等效声级贡献值(L</w:t>
      </w:r>
      <w:r>
        <w:rPr>
          <w:rFonts w:hint="default" w:ascii="Times New Roman" w:hAnsi="Times New Roman" w:eastAsia="宋体" w:cs="Times New Roman"/>
          <w:color w:val="auto"/>
          <w:spacing w:val="0"/>
          <w:w w:val="100"/>
          <w:kern w:val="0"/>
          <w:position w:val="0"/>
          <w:sz w:val="24"/>
          <w:szCs w:val="24"/>
          <w:highlight w:val="none"/>
          <w:vertAlign w:val="subscript"/>
        </w:rPr>
        <w:t>eqg</w:t>
      </w:r>
      <w:r>
        <w:rPr>
          <w:rFonts w:hint="default" w:ascii="Times New Roman" w:hAnsi="Times New Roman" w:eastAsia="宋体" w:cs="Times New Roman"/>
          <w:color w:val="auto"/>
          <w:spacing w:val="0"/>
          <w:w w:val="100"/>
          <w:kern w:val="0"/>
          <w:position w:val="0"/>
          <w:sz w:val="24"/>
          <w:szCs w:val="24"/>
          <w:highlight w:val="none"/>
        </w:rPr>
        <w:t>)计算公式：</w:t>
      </w:r>
    </w:p>
    <w:p>
      <w:pPr>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object>
          <v:shape id="_x0000_i1028" o:spt="75" type="#_x0000_t75" style="height:41.55pt;width:165.35pt;" o:ole="t" filled="f" o:preferrelative="t" stroked="f" coordsize="21600,21600">
            <v:path/>
            <v:fill on="f" focussize="0,0"/>
            <v:stroke on="f"/>
            <v:imagedata r:id="rId33" o:title=""/>
            <o:lock v:ext="edit" aspectratio="t"/>
            <w10:wrap type="none"/>
            <w10:anchorlock/>
          </v:shape>
          <o:OLEObject Type="Embed" ProgID="Equation.DSMT4" ShapeID="_x0000_i1028" DrawAspect="Content" ObjectID="_1468075728" r:id="rId32">
            <o:LockedField>false</o:LockedField>
          </o:OLEObject>
        </w:objec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式中：</w:t>
      </w:r>
    </w:p>
    <w:p>
      <w:pPr>
        <w:pageBreakBefore w:val="0"/>
        <w:widowControl w:val="0"/>
        <w:kinsoku/>
        <w:wordWrap/>
        <w:overflowPunct/>
        <w:topLinePunct w:val="0"/>
        <w:autoSpaceDE/>
        <w:autoSpaceDN/>
        <w:bidi w:val="0"/>
        <w:adjustRightInd w:val="0"/>
        <w:snapToGrid w:val="0"/>
        <w:spacing w:line="360" w:lineRule="auto"/>
        <w:ind w:left="0" w:leftChars="0" w:right="0" w:rightChars="0" w:firstLine="720" w:firstLineChars="3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L</w:t>
      </w:r>
      <w:r>
        <w:rPr>
          <w:rFonts w:hint="default" w:ascii="Times New Roman" w:hAnsi="Times New Roman" w:eastAsia="宋体" w:cs="Times New Roman"/>
          <w:color w:val="auto"/>
          <w:spacing w:val="0"/>
          <w:w w:val="100"/>
          <w:kern w:val="0"/>
          <w:position w:val="0"/>
          <w:sz w:val="24"/>
          <w:szCs w:val="24"/>
          <w:highlight w:val="none"/>
          <w:vertAlign w:val="subscript"/>
        </w:rPr>
        <w:t>eqg</w:t>
      </w:r>
      <w:r>
        <w:rPr>
          <w:rFonts w:hint="default" w:ascii="Times New Roman" w:hAnsi="Times New Roman" w:eastAsia="宋体" w:cs="Times New Roman"/>
          <w:color w:val="auto"/>
          <w:spacing w:val="0"/>
          <w:w w:val="100"/>
          <w:kern w:val="0"/>
          <w:position w:val="0"/>
          <w:sz w:val="24"/>
          <w:szCs w:val="24"/>
          <w:highlight w:val="none"/>
        </w:rPr>
        <w:t>—建设项目声源在预测点的等效声级贡献值，dB(A)；</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L</w:t>
      </w:r>
      <w:r>
        <w:rPr>
          <w:rFonts w:hint="default" w:ascii="Times New Roman" w:hAnsi="Times New Roman" w:eastAsia="宋体" w:cs="Times New Roman"/>
          <w:color w:val="auto"/>
          <w:spacing w:val="0"/>
          <w:w w:val="100"/>
          <w:kern w:val="0"/>
          <w:position w:val="0"/>
          <w:sz w:val="24"/>
          <w:szCs w:val="24"/>
          <w:highlight w:val="none"/>
          <w:vertAlign w:val="subscript"/>
        </w:rPr>
        <w:t>Ai</w:t>
      </w:r>
      <w:r>
        <w:rPr>
          <w:rFonts w:hint="default" w:ascii="Times New Roman" w:hAnsi="Times New Roman" w:eastAsia="宋体" w:cs="Times New Roman"/>
          <w:color w:val="auto"/>
          <w:spacing w:val="0"/>
          <w:w w:val="100"/>
          <w:kern w:val="0"/>
          <w:position w:val="0"/>
          <w:sz w:val="24"/>
          <w:szCs w:val="24"/>
          <w:highlight w:val="none"/>
        </w:rPr>
        <w:t xml:space="preserve"> — i声源在预测点产生的A 声级，dB(A)；</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T— 预测计算的时间段，s；</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t</w:t>
      </w:r>
      <w:r>
        <w:rPr>
          <w:rFonts w:hint="default" w:ascii="Times New Roman" w:hAnsi="Times New Roman" w:eastAsia="宋体" w:cs="Times New Roman"/>
          <w:color w:val="auto"/>
          <w:spacing w:val="0"/>
          <w:w w:val="100"/>
          <w:kern w:val="0"/>
          <w:position w:val="0"/>
          <w:sz w:val="24"/>
          <w:szCs w:val="24"/>
          <w:highlight w:val="none"/>
          <w:vertAlign w:val="subscript"/>
        </w:rPr>
        <w:t>i</w:t>
      </w:r>
      <w:r>
        <w:rPr>
          <w:rFonts w:hint="default" w:ascii="Times New Roman" w:hAnsi="Times New Roman" w:eastAsia="宋体" w:cs="Times New Roman"/>
          <w:color w:val="auto"/>
          <w:spacing w:val="0"/>
          <w:w w:val="100"/>
          <w:kern w:val="0"/>
          <w:position w:val="0"/>
          <w:sz w:val="24"/>
          <w:szCs w:val="24"/>
          <w:highlight w:val="none"/>
        </w:rPr>
        <w:t>— i 声源在T 时段内的运行时间，s。</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rPr>
        <w:instrText xml:space="preserve"> = 2 \* GB3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rPr>
        <w:t>②</w: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szCs w:val="24"/>
          <w:highlight w:val="none"/>
        </w:rPr>
        <w:t>预测点的预测等效声级(Leq )计算公式</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object>
          <v:shape id="_x0000_i1029" o:spt="75" type="#_x0000_t75" style="height:22.65pt;width:149.65pt;" o:ole="t" filled="f" o:preferrelative="t" stroked="f" coordsize="21600,21600">
            <v:path/>
            <v:fill on="f" focussize="0,0"/>
            <v:stroke on="f"/>
            <v:imagedata r:id="rId35" o:title=""/>
            <o:lock v:ext="edit" aspectratio="t"/>
            <w10:wrap type="none"/>
            <w10:anchorlock/>
          </v:shape>
          <o:OLEObject Type="Embed" ProgID="Equations" ShapeID="_x0000_i1029" DrawAspect="Content" ObjectID="_1468075729" r:id="rId34">
            <o:LockedField>false</o:LockedField>
          </o:OLEObject>
        </w:objec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式中：</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L</w:t>
      </w:r>
      <w:r>
        <w:rPr>
          <w:rFonts w:hint="default" w:ascii="Times New Roman" w:hAnsi="Times New Roman" w:eastAsia="宋体" w:cs="Times New Roman"/>
          <w:color w:val="auto"/>
          <w:spacing w:val="0"/>
          <w:w w:val="100"/>
          <w:kern w:val="0"/>
          <w:position w:val="0"/>
          <w:sz w:val="24"/>
          <w:szCs w:val="24"/>
          <w:highlight w:val="none"/>
          <w:vertAlign w:val="subscript"/>
        </w:rPr>
        <w:t>eqg</w:t>
      </w:r>
      <w:r>
        <w:rPr>
          <w:rFonts w:hint="default" w:ascii="Times New Roman" w:hAnsi="Times New Roman" w:eastAsia="宋体" w:cs="Times New Roman"/>
          <w:color w:val="auto"/>
          <w:spacing w:val="0"/>
          <w:w w:val="100"/>
          <w:kern w:val="0"/>
          <w:position w:val="0"/>
          <w:sz w:val="24"/>
          <w:szCs w:val="24"/>
          <w:highlight w:val="none"/>
        </w:rPr>
        <w:t>—建设项目声源在预测点的等效声级贡献值，dB(A)；</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L</w:t>
      </w:r>
      <w:r>
        <w:rPr>
          <w:rFonts w:hint="default" w:ascii="Times New Roman" w:hAnsi="Times New Roman" w:eastAsia="宋体" w:cs="Times New Roman"/>
          <w:color w:val="auto"/>
          <w:spacing w:val="0"/>
          <w:w w:val="100"/>
          <w:kern w:val="0"/>
          <w:position w:val="0"/>
          <w:sz w:val="24"/>
          <w:szCs w:val="24"/>
          <w:highlight w:val="none"/>
          <w:vertAlign w:val="subscript"/>
        </w:rPr>
        <w:t>eqb</w:t>
      </w:r>
      <w:r>
        <w:rPr>
          <w:rFonts w:hint="default" w:ascii="Times New Roman" w:hAnsi="Times New Roman" w:eastAsia="宋体" w:cs="Times New Roman"/>
          <w:color w:val="auto"/>
          <w:spacing w:val="0"/>
          <w:w w:val="100"/>
          <w:kern w:val="0"/>
          <w:position w:val="0"/>
          <w:sz w:val="24"/>
          <w:szCs w:val="24"/>
          <w:highlight w:val="none"/>
        </w:rPr>
        <w:t>—预测点的背景值，dB(A)</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rPr>
        <w:instrText xml:space="preserve"> = 3 \* GB3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kern w:val="0"/>
          <w:position w:val="0"/>
          <w:sz w:val="24"/>
          <w:szCs w:val="24"/>
          <w:highlight w:val="none"/>
        </w:rPr>
        <w:t>③</w:t>
      </w:r>
      <w:r>
        <w:rPr>
          <w:rFonts w:hint="default" w:ascii="Times New Roman" w:hAnsi="Times New Roman" w:eastAsia="宋体" w:cs="Times New Roman"/>
          <w:color w:val="auto"/>
          <w:spacing w:val="0"/>
          <w:w w:val="100"/>
          <w:kern w:val="0"/>
          <w:position w:val="0"/>
          <w:sz w:val="24"/>
          <w:szCs w:val="24"/>
          <w:highlight w:val="none"/>
          <w:lang w:val="en-US" w:eastAsia="zh-CN"/>
        </w:rPr>
        <w:fldChar w:fldCharType="end"/>
      </w:r>
      <w:r>
        <w:rPr>
          <w:rFonts w:hint="default" w:ascii="Times New Roman" w:hAnsi="Times New Roman" w:eastAsia="宋体" w:cs="Times New Roman"/>
          <w:color w:val="auto"/>
          <w:spacing w:val="0"/>
          <w:w w:val="100"/>
          <w:kern w:val="0"/>
          <w:position w:val="0"/>
          <w:sz w:val="24"/>
          <w:szCs w:val="24"/>
          <w:highlight w:val="none"/>
        </w:rPr>
        <w:t>户外声传播衰减计算</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户外声传播衰减包括几何发散（A</w:t>
      </w:r>
      <w:r>
        <w:rPr>
          <w:rFonts w:hint="default" w:ascii="Times New Roman" w:hAnsi="Times New Roman" w:eastAsia="宋体" w:cs="Times New Roman"/>
          <w:color w:val="auto"/>
          <w:spacing w:val="0"/>
          <w:w w:val="100"/>
          <w:kern w:val="0"/>
          <w:position w:val="0"/>
          <w:sz w:val="24"/>
          <w:szCs w:val="24"/>
          <w:highlight w:val="none"/>
          <w:vertAlign w:val="subscript"/>
        </w:rPr>
        <w:t>div</w:t>
      </w:r>
      <w:r>
        <w:rPr>
          <w:rFonts w:hint="default" w:ascii="Times New Roman" w:hAnsi="Times New Roman" w:eastAsia="宋体" w:cs="Times New Roman"/>
          <w:color w:val="auto"/>
          <w:spacing w:val="0"/>
          <w:w w:val="100"/>
          <w:kern w:val="0"/>
          <w:position w:val="0"/>
          <w:sz w:val="24"/>
          <w:szCs w:val="24"/>
          <w:highlight w:val="none"/>
        </w:rPr>
        <w:t>）、大气吸收（A</w:t>
      </w:r>
      <w:r>
        <w:rPr>
          <w:rFonts w:hint="default" w:ascii="Times New Roman" w:hAnsi="Times New Roman" w:eastAsia="宋体" w:cs="Times New Roman"/>
          <w:color w:val="auto"/>
          <w:spacing w:val="0"/>
          <w:w w:val="100"/>
          <w:kern w:val="0"/>
          <w:position w:val="0"/>
          <w:sz w:val="24"/>
          <w:szCs w:val="24"/>
          <w:highlight w:val="none"/>
          <w:vertAlign w:val="subscript"/>
        </w:rPr>
        <w:t>atm</w:t>
      </w:r>
      <w:r>
        <w:rPr>
          <w:rFonts w:hint="default" w:ascii="Times New Roman" w:hAnsi="Times New Roman" w:eastAsia="宋体" w:cs="Times New Roman"/>
          <w:color w:val="auto"/>
          <w:spacing w:val="0"/>
          <w:w w:val="100"/>
          <w:kern w:val="0"/>
          <w:position w:val="0"/>
          <w:sz w:val="24"/>
          <w:szCs w:val="24"/>
          <w:highlight w:val="none"/>
        </w:rPr>
        <w:t>）、地面效应（A</w:t>
      </w:r>
      <w:r>
        <w:rPr>
          <w:rFonts w:hint="default" w:ascii="Times New Roman" w:hAnsi="Times New Roman" w:eastAsia="宋体" w:cs="Times New Roman"/>
          <w:color w:val="auto"/>
          <w:spacing w:val="0"/>
          <w:w w:val="100"/>
          <w:kern w:val="0"/>
          <w:position w:val="0"/>
          <w:sz w:val="24"/>
          <w:szCs w:val="24"/>
          <w:highlight w:val="none"/>
          <w:vertAlign w:val="subscript"/>
        </w:rPr>
        <w:t>gr</w:t>
      </w:r>
      <w:r>
        <w:rPr>
          <w:rFonts w:hint="default" w:ascii="Times New Roman" w:hAnsi="Times New Roman" w:eastAsia="宋体" w:cs="Times New Roman"/>
          <w:color w:val="auto"/>
          <w:spacing w:val="0"/>
          <w:w w:val="100"/>
          <w:kern w:val="0"/>
          <w:position w:val="0"/>
          <w:sz w:val="24"/>
          <w:szCs w:val="24"/>
          <w:highlight w:val="none"/>
        </w:rPr>
        <w:t>）、屏障屏蔽（A</w:t>
      </w:r>
      <w:r>
        <w:rPr>
          <w:rFonts w:hint="default" w:ascii="Times New Roman" w:hAnsi="Times New Roman" w:eastAsia="宋体" w:cs="Times New Roman"/>
          <w:color w:val="auto"/>
          <w:spacing w:val="0"/>
          <w:w w:val="100"/>
          <w:kern w:val="0"/>
          <w:position w:val="0"/>
          <w:sz w:val="24"/>
          <w:szCs w:val="24"/>
          <w:highlight w:val="none"/>
          <w:vertAlign w:val="subscript"/>
        </w:rPr>
        <w:t>bar</w:t>
      </w:r>
      <w:r>
        <w:rPr>
          <w:rFonts w:hint="default" w:ascii="Times New Roman" w:hAnsi="Times New Roman" w:eastAsia="宋体" w:cs="Times New Roman"/>
          <w:color w:val="auto"/>
          <w:spacing w:val="0"/>
          <w:w w:val="100"/>
          <w:kern w:val="0"/>
          <w:position w:val="0"/>
          <w:sz w:val="24"/>
          <w:szCs w:val="24"/>
          <w:highlight w:val="none"/>
        </w:rPr>
        <w:t>）、其他多方面效应（A</w:t>
      </w:r>
      <w:r>
        <w:rPr>
          <w:rFonts w:hint="default" w:ascii="Times New Roman" w:hAnsi="Times New Roman" w:eastAsia="宋体" w:cs="Times New Roman"/>
          <w:color w:val="auto"/>
          <w:spacing w:val="0"/>
          <w:w w:val="100"/>
          <w:kern w:val="0"/>
          <w:position w:val="0"/>
          <w:sz w:val="24"/>
          <w:szCs w:val="24"/>
          <w:highlight w:val="none"/>
          <w:vertAlign w:val="subscript"/>
        </w:rPr>
        <w:t>misc</w:t>
      </w:r>
      <w:r>
        <w:rPr>
          <w:rFonts w:hint="default" w:ascii="Times New Roman" w:hAnsi="Times New Roman" w:eastAsia="宋体" w:cs="Times New Roman"/>
          <w:color w:val="auto"/>
          <w:spacing w:val="0"/>
          <w:w w:val="100"/>
          <w:kern w:val="0"/>
          <w:position w:val="0"/>
          <w:sz w:val="24"/>
          <w:szCs w:val="24"/>
          <w:highlight w:val="none"/>
        </w:rPr>
        <w:t>）引起的衰减。</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距声源点r处的A声级按下式计算：</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drawing>
          <wp:inline distT="0" distB="0" distL="114300" distR="114300">
            <wp:extent cx="3422015" cy="358140"/>
            <wp:effectExtent l="0" t="0" r="6985"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36"/>
                    <a:stretch>
                      <a:fillRect/>
                    </a:stretch>
                  </pic:blipFill>
                  <pic:spPr>
                    <a:xfrm>
                      <a:off x="0" y="0"/>
                      <a:ext cx="3422015" cy="35814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在预测中考虑反射引起的修正、屏障引起的衰减、双绕射、室内声源等效室外声源等影响和计算方法。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w:t>
      </w:r>
      <w:r>
        <w:rPr>
          <w:rFonts w:hint="eastAsia" w:ascii="Times New Roman" w:hAnsi="Times New Roman" w:cs="Times New Roman"/>
          <w:b/>
          <w:bCs w:val="0"/>
          <w:color w:val="auto"/>
          <w:spacing w:val="0"/>
          <w:w w:val="100"/>
          <w:kern w:val="0"/>
          <w:position w:val="0"/>
          <w:sz w:val="24"/>
          <w:szCs w:val="24"/>
          <w:highlight w:val="none"/>
          <w:lang w:val="en-US" w:eastAsia="zh-CN" w:bidi="ar-SA"/>
        </w:rPr>
        <w:t>4</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-3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本项目场界噪声预测结果表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单位：dB（A）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2267"/>
        <w:gridCol w:w="1936"/>
        <w:gridCol w:w="1936"/>
        <w:gridCol w:w="1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5" w:type="pct"/>
            <w:vMerge w:val="restar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测点编号</w:t>
            </w:r>
          </w:p>
        </w:tc>
        <w:tc>
          <w:tcPr>
            <w:tcW w:w="1267" w:type="pct"/>
            <w:vMerge w:val="restar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预测测点位置</w:t>
            </w:r>
          </w:p>
        </w:tc>
        <w:tc>
          <w:tcPr>
            <w:tcW w:w="1082" w:type="pct"/>
            <w:vMerge w:val="restart"/>
            <w:noWrap w:val="0"/>
            <w:vAlign w:val="center"/>
          </w:tcPr>
          <w:p>
            <w:pPr>
              <w:pStyle w:val="39"/>
              <w:keepNext w:val="0"/>
              <w:keepLines w:val="0"/>
              <w:pageBreakBefore w:val="0"/>
              <w:widowControl w:val="0"/>
              <w:kinsoku/>
              <w:wordWrap/>
              <w:topLinePunct w:val="0"/>
              <w:bidi w:val="0"/>
              <w:adjustRightInd w:val="0"/>
              <w:snapToGrid w:val="0"/>
              <w:spacing w:before="29" w:line="240" w:lineRule="auto"/>
              <w:ind w:left="113" w:right="82" w:firstLine="0" w:firstLineChars="0"/>
              <w:jc w:val="center"/>
              <w:textAlignment w:val="auto"/>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 w:val="21"/>
              </w:rPr>
              <w:t>与场界距离（m）</w:t>
            </w:r>
          </w:p>
        </w:tc>
        <w:tc>
          <w:tcPr>
            <w:tcW w:w="1082" w:type="pc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昼间</w:t>
            </w:r>
          </w:p>
        </w:tc>
        <w:tc>
          <w:tcPr>
            <w:tcW w:w="1003" w:type="pc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p>
        </w:tc>
        <w:tc>
          <w:tcPr>
            <w:tcW w:w="1267" w:type="pct"/>
            <w:vMerge w:val="continue"/>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p>
        </w:tc>
        <w:tc>
          <w:tcPr>
            <w:tcW w:w="1082" w:type="pct"/>
            <w:vMerge w:val="continue"/>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p>
        </w:tc>
        <w:tc>
          <w:tcPr>
            <w:tcW w:w="1082" w:type="pc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贡献值</w:t>
            </w:r>
          </w:p>
        </w:tc>
        <w:tc>
          <w:tcPr>
            <w:tcW w:w="1003" w:type="pct"/>
            <w:noWrap w:val="0"/>
            <w:vAlign w:val="center"/>
          </w:tcPr>
          <w:p>
            <w:pPr>
              <w:tabs>
                <w:tab w:val="left" w:pos="3600"/>
                <w:tab w:val="left" w:pos="4320"/>
              </w:tabs>
              <w:jc w:val="center"/>
              <w:rPr>
                <w:rFonts w:hint="default" w:ascii="Times New Roman" w:hAnsi="Times New Roman" w:eastAsia="宋体" w:cs="Times New Roman"/>
                <w:b/>
                <w:bCs w:val="0"/>
                <w:color w:val="auto"/>
                <w:spacing w:val="0"/>
                <w:w w:val="100"/>
                <w:kern w:val="0"/>
                <w:position w:val="0"/>
                <w:szCs w:val="21"/>
              </w:rPr>
            </w:pPr>
            <w:r>
              <w:rPr>
                <w:rFonts w:hint="default" w:ascii="Times New Roman" w:hAnsi="Times New Roman" w:eastAsia="宋体" w:cs="Times New Roman"/>
                <w:b/>
                <w:bCs w:val="0"/>
                <w:color w:val="auto"/>
                <w:spacing w:val="0"/>
                <w:w w:val="100"/>
                <w:kern w:val="0"/>
                <w:position w:val="0"/>
                <w:szCs w:val="21"/>
              </w:rPr>
              <w:t>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1</w:t>
            </w:r>
          </w:p>
        </w:tc>
        <w:tc>
          <w:tcPr>
            <w:tcW w:w="1267"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厂界东侧</w:t>
            </w:r>
          </w:p>
        </w:tc>
        <w:tc>
          <w:tcPr>
            <w:tcW w:w="1082" w:type="pct"/>
            <w:noWrap w:val="0"/>
            <w:vAlign w:val="center"/>
          </w:tcPr>
          <w:p>
            <w:pPr>
              <w:pStyle w:val="39"/>
              <w:keepNext w:val="0"/>
              <w:keepLines w:val="0"/>
              <w:pageBreakBefore w:val="0"/>
              <w:widowControl w:val="0"/>
              <w:kinsoku/>
              <w:wordWrap/>
              <w:topLinePunct w:val="0"/>
              <w:bidi w:val="0"/>
              <w:adjustRightInd w:val="0"/>
              <w:snapToGrid w:val="0"/>
              <w:spacing w:before="34" w:line="240" w:lineRule="auto"/>
              <w:ind w:left="112" w:leftChars="0" w:right="82" w:rightChars="0" w:firstLine="0" w:firstLineChars="0"/>
              <w:jc w:val="center"/>
              <w:textAlignment w:val="auto"/>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color w:val="auto"/>
                <w:spacing w:val="0"/>
                <w:w w:val="100"/>
                <w:kern w:val="0"/>
                <w:position w:val="0"/>
                <w:sz w:val="21"/>
                <w:lang w:val="en-US" w:eastAsia="zh-CN"/>
              </w:rPr>
              <w:t>20</w:t>
            </w:r>
          </w:p>
        </w:tc>
        <w:tc>
          <w:tcPr>
            <w:tcW w:w="1082" w:type="pct"/>
            <w:noWrap w:val="0"/>
            <w:vAlign w:val="center"/>
          </w:tcPr>
          <w:p>
            <w:pPr>
              <w:jc w:val="center"/>
              <w:rPr>
                <w:rFonts w:hint="default" w:ascii="Times New Roman" w:hAnsi="Times New Roman" w:eastAsia="宋体" w:cs="Times New Roman"/>
                <w:color w:val="auto"/>
                <w:spacing w:val="0"/>
                <w:w w:val="100"/>
                <w:kern w:val="0"/>
                <w:position w:val="0"/>
                <w:szCs w:val="21"/>
                <w:lang w:val="en-US" w:eastAsia="zh-CN"/>
              </w:rPr>
            </w:pPr>
            <w:r>
              <w:rPr>
                <w:rFonts w:hint="default" w:ascii="Times New Roman" w:hAnsi="Times New Roman" w:eastAsia="宋体" w:cs="Times New Roman"/>
                <w:color w:val="auto"/>
                <w:spacing w:val="0"/>
                <w:w w:val="100"/>
                <w:kern w:val="0"/>
                <w:position w:val="0"/>
                <w:szCs w:val="21"/>
                <w:lang w:val="en-US" w:eastAsia="zh-CN"/>
              </w:rPr>
              <w:t>48.88</w:t>
            </w:r>
          </w:p>
        </w:tc>
        <w:tc>
          <w:tcPr>
            <w:tcW w:w="1003"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33.97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2</w:t>
            </w:r>
          </w:p>
        </w:tc>
        <w:tc>
          <w:tcPr>
            <w:tcW w:w="1267"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厂界南侧</w:t>
            </w:r>
          </w:p>
        </w:tc>
        <w:tc>
          <w:tcPr>
            <w:tcW w:w="1082" w:type="pct"/>
            <w:noWrap w:val="0"/>
            <w:vAlign w:val="center"/>
          </w:tcPr>
          <w:p>
            <w:pPr>
              <w:pStyle w:val="39"/>
              <w:keepNext w:val="0"/>
              <w:keepLines w:val="0"/>
              <w:pageBreakBefore w:val="0"/>
              <w:widowControl w:val="0"/>
              <w:kinsoku/>
              <w:wordWrap/>
              <w:topLinePunct w:val="0"/>
              <w:bidi w:val="0"/>
              <w:adjustRightInd w:val="0"/>
              <w:snapToGrid w:val="0"/>
              <w:spacing w:before="36" w:line="240" w:lineRule="auto"/>
              <w:ind w:left="112" w:leftChars="0" w:right="82" w:rightChars="0" w:firstLine="0" w:firstLineChars="0"/>
              <w:jc w:val="center"/>
              <w:textAlignment w:val="auto"/>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color w:val="auto"/>
                <w:spacing w:val="0"/>
                <w:w w:val="100"/>
                <w:kern w:val="0"/>
                <w:position w:val="0"/>
                <w:sz w:val="21"/>
                <w:lang w:val="en-US" w:eastAsia="zh-CN"/>
              </w:rPr>
              <w:t>30</w:t>
            </w:r>
          </w:p>
        </w:tc>
        <w:tc>
          <w:tcPr>
            <w:tcW w:w="1082"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45.36</w:t>
            </w:r>
          </w:p>
        </w:tc>
        <w:tc>
          <w:tcPr>
            <w:tcW w:w="1003"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30.45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3</w:t>
            </w:r>
          </w:p>
        </w:tc>
        <w:tc>
          <w:tcPr>
            <w:tcW w:w="1267"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厂界西侧</w:t>
            </w:r>
          </w:p>
        </w:tc>
        <w:tc>
          <w:tcPr>
            <w:tcW w:w="1082" w:type="pct"/>
            <w:noWrap w:val="0"/>
            <w:vAlign w:val="center"/>
          </w:tcPr>
          <w:p>
            <w:pPr>
              <w:pStyle w:val="39"/>
              <w:keepNext w:val="0"/>
              <w:keepLines w:val="0"/>
              <w:pageBreakBefore w:val="0"/>
              <w:widowControl w:val="0"/>
              <w:kinsoku/>
              <w:wordWrap/>
              <w:topLinePunct w:val="0"/>
              <w:bidi w:val="0"/>
              <w:adjustRightInd w:val="0"/>
              <w:snapToGrid w:val="0"/>
              <w:spacing w:before="35" w:line="240" w:lineRule="auto"/>
              <w:ind w:left="112" w:leftChars="0" w:right="82" w:rightChars="0" w:firstLine="0" w:firstLineChars="0"/>
              <w:jc w:val="center"/>
              <w:textAlignment w:val="auto"/>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color w:val="auto"/>
                <w:spacing w:val="0"/>
                <w:w w:val="100"/>
                <w:kern w:val="0"/>
                <w:position w:val="0"/>
                <w:sz w:val="21"/>
                <w:lang w:val="en-US" w:eastAsia="zh-CN"/>
              </w:rPr>
              <w:t>25</w:t>
            </w:r>
          </w:p>
        </w:tc>
        <w:tc>
          <w:tcPr>
            <w:tcW w:w="1082"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46.95</w:t>
            </w:r>
          </w:p>
        </w:tc>
        <w:tc>
          <w:tcPr>
            <w:tcW w:w="1003"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32.04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4</w:t>
            </w:r>
          </w:p>
        </w:tc>
        <w:tc>
          <w:tcPr>
            <w:tcW w:w="1267"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厂界北侧</w:t>
            </w:r>
          </w:p>
        </w:tc>
        <w:tc>
          <w:tcPr>
            <w:tcW w:w="1082" w:type="pct"/>
            <w:noWrap w:val="0"/>
            <w:vAlign w:val="center"/>
          </w:tcPr>
          <w:p>
            <w:pPr>
              <w:pStyle w:val="39"/>
              <w:keepNext w:val="0"/>
              <w:keepLines w:val="0"/>
              <w:pageBreakBefore w:val="0"/>
              <w:widowControl w:val="0"/>
              <w:kinsoku/>
              <w:wordWrap/>
              <w:topLinePunct w:val="0"/>
              <w:bidi w:val="0"/>
              <w:adjustRightInd w:val="0"/>
              <w:snapToGrid w:val="0"/>
              <w:spacing w:before="35" w:line="240" w:lineRule="auto"/>
              <w:ind w:left="112" w:leftChars="0" w:right="82" w:rightChars="0" w:firstLine="0" w:firstLineChars="0"/>
              <w:jc w:val="center"/>
              <w:textAlignment w:val="auto"/>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color w:val="auto"/>
                <w:spacing w:val="0"/>
                <w:w w:val="100"/>
                <w:kern w:val="0"/>
                <w:position w:val="0"/>
                <w:sz w:val="21"/>
                <w:lang w:val="en-US" w:eastAsia="zh-CN"/>
              </w:rPr>
              <w:t>35</w:t>
            </w:r>
          </w:p>
        </w:tc>
        <w:tc>
          <w:tcPr>
            <w:tcW w:w="1082"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44.02</w:t>
            </w:r>
          </w:p>
        </w:tc>
        <w:tc>
          <w:tcPr>
            <w:tcW w:w="1003" w:type="pct"/>
            <w:noWrap w:val="0"/>
            <w:vAlign w:val="center"/>
          </w:tcPr>
          <w:p>
            <w:pPr>
              <w:jc w:val="center"/>
              <w:rPr>
                <w:rFonts w:hint="default" w:ascii="Times New Roman" w:hAnsi="Times New Roman" w:eastAsia="宋体" w:cs="Times New Roman"/>
                <w:color w:val="auto"/>
                <w:spacing w:val="0"/>
                <w:w w:val="100"/>
                <w:kern w:val="0"/>
                <w:position w:val="0"/>
                <w:szCs w:val="21"/>
              </w:rPr>
            </w:pPr>
            <w:r>
              <w:rPr>
                <w:rFonts w:hint="default" w:ascii="Times New Roman" w:hAnsi="Times New Roman" w:eastAsia="宋体" w:cs="Times New Roman"/>
                <w:color w:val="auto"/>
                <w:spacing w:val="0"/>
                <w:w w:val="100"/>
                <w:kern w:val="0"/>
                <w:position w:val="0"/>
                <w:szCs w:val="21"/>
              </w:rPr>
              <w:t>29.11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4" w:type="pct"/>
            <w:gridSpan w:val="3"/>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rPr>
            </w:pPr>
            <w:r>
              <w:rPr>
                <w:rFonts w:hint="default" w:ascii="Times New Roman" w:hAnsi="Times New Roman" w:eastAsia="宋体" w:cs="Times New Roman"/>
                <w:bCs/>
                <w:color w:val="auto"/>
                <w:spacing w:val="0"/>
                <w:w w:val="100"/>
                <w:kern w:val="0"/>
                <w:position w:val="0"/>
                <w:szCs w:val="21"/>
              </w:rPr>
              <w:t>《工业企业厂界环境噪声排放标准》（GB12348-2008）</w:t>
            </w:r>
            <w:r>
              <w:rPr>
                <w:rFonts w:hint="default" w:ascii="Times New Roman" w:hAnsi="Times New Roman" w:eastAsia="宋体" w:cs="Times New Roman"/>
                <w:bCs/>
                <w:color w:val="auto"/>
                <w:spacing w:val="0"/>
                <w:w w:val="100"/>
                <w:kern w:val="0"/>
                <w:position w:val="0"/>
                <w:szCs w:val="21"/>
                <w:lang w:val="en-US" w:eastAsia="zh-CN"/>
              </w:rPr>
              <w:t>1</w:t>
            </w:r>
            <w:r>
              <w:rPr>
                <w:rFonts w:hint="default" w:ascii="Times New Roman" w:hAnsi="Times New Roman" w:eastAsia="宋体" w:cs="Times New Roman"/>
                <w:bCs/>
                <w:color w:val="auto"/>
                <w:spacing w:val="0"/>
                <w:w w:val="100"/>
                <w:kern w:val="0"/>
                <w:position w:val="0"/>
                <w:szCs w:val="21"/>
              </w:rPr>
              <w:t>类标准</w:t>
            </w:r>
          </w:p>
        </w:tc>
        <w:tc>
          <w:tcPr>
            <w:tcW w:w="1082"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lang w:val="en-US" w:eastAsia="zh-CN"/>
              </w:rPr>
            </w:pPr>
            <w:r>
              <w:rPr>
                <w:rFonts w:hint="default" w:ascii="Times New Roman" w:hAnsi="Times New Roman" w:eastAsia="宋体" w:cs="Times New Roman"/>
                <w:bCs/>
                <w:color w:val="auto"/>
                <w:spacing w:val="0"/>
                <w:w w:val="100"/>
                <w:kern w:val="0"/>
                <w:position w:val="0"/>
                <w:szCs w:val="21"/>
                <w:lang w:val="en-US" w:eastAsia="zh-CN"/>
              </w:rPr>
              <w:t>55</w:t>
            </w:r>
          </w:p>
        </w:tc>
        <w:tc>
          <w:tcPr>
            <w:tcW w:w="1003" w:type="pct"/>
            <w:noWrap w:val="0"/>
            <w:vAlign w:val="center"/>
          </w:tcPr>
          <w:p>
            <w:pPr>
              <w:tabs>
                <w:tab w:val="left" w:pos="3600"/>
                <w:tab w:val="left" w:pos="4320"/>
              </w:tabs>
              <w:jc w:val="center"/>
              <w:rPr>
                <w:rFonts w:hint="default" w:ascii="Times New Roman" w:hAnsi="Times New Roman" w:eastAsia="宋体" w:cs="Times New Roman"/>
                <w:bCs/>
                <w:color w:val="auto"/>
                <w:spacing w:val="0"/>
                <w:w w:val="100"/>
                <w:kern w:val="0"/>
                <w:position w:val="0"/>
                <w:szCs w:val="21"/>
                <w:lang w:val="en-US" w:eastAsia="zh-CN"/>
              </w:rPr>
            </w:pPr>
            <w:r>
              <w:rPr>
                <w:rFonts w:hint="default" w:ascii="Times New Roman" w:hAnsi="Times New Roman" w:eastAsia="宋体" w:cs="Times New Roman"/>
                <w:bCs/>
                <w:color w:val="auto"/>
                <w:spacing w:val="0"/>
                <w:w w:val="100"/>
                <w:kern w:val="0"/>
                <w:position w:val="0"/>
                <w:szCs w:val="21"/>
                <w:lang w:val="en-US" w:eastAsia="zh-CN"/>
              </w:rPr>
              <w:t>45</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根据分析及预测结果可以看到，项目噪声较大的生产设备采取防振、减振、安装隔声罩、消声器等措施，其设备噪声对场界噪声贡献值满足《工业企业厂界环境噪声排放标准》（GB12348-2008）</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类标准要求，可见本工程的设备噪声对场界声环境的影响较小，不会对场界声环境产生明显影响。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color w:val="auto"/>
          <w:spacing w:val="0"/>
          <w:w w:val="100"/>
          <w:kern w:val="0"/>
          <w:position w:val="0"/>
        </w:rPr>
      </w:pPr>
      <w:r>
        <w:rPr>
          <w:rFonts w:hint="default" w:ascii="Times New Roman" w:hAnsi="Times New Roman" w:eastAsia="宋体" w:cs="Times New Roman"/>
          <w:color w:val="auto"/>
          <w:spacing w:val="0"/>
          <w:w w:val="100"/>
          <w:kern w:val="0"/>
          <w:position w:val="0"/>
          <w:sz w:val="24"/>
          <w:szCs w:val="24"/>
          <w:highlight w:val="none"/>
        </w:rPr>
        <w:t>因此，本项目产生的噪声对周围环境影响较小。</w:t>
      </w:r>
    </w:p>
    <w:p>
      <w:pPr>
        <w:pStyle w:val="4"/>
        <w:keepNext/>
        <w:keepLines/>
        <w:pageBreakBefore w:val="0"/>
        <w:widowControl w:val="0"/>
        <w:kinsoku/>
        <w:wordWrap/>
        <w:overflowPunct/>
        <w:topLinePunct w:val="0"/>
        <w:autoSpaceDE/>
        <w:autoSpaceDN/>
        <w:bidi w:val="0"/>
        <w:adjustRightInd w:val="0"/>
        <w:snapToGrid w:val="0"/>
        <w:spacing w:before="62" w:beforeLines="20" w:line="348" w:lineRule="auto"/>
        <w:textAlignment w:val="auto"/>
        <w:outlineLvl w:val="1"/>
        <w:rPr>
          <w:rFonts w:hint="default" w:ascii="Times New Roman" w:hAnsi="Times New Roman" w:eastAsia="宋体" w:cs="Times New Roman"/>
          <w:color w:val="auto"/>
          <w:spacing w:val="0"/>
          <w:w w:val="100"/>
          <w:kern w:val="0"/>
          <w:position w:val="0"/>
          <w:highlight w:val="none"/>
          <w:lang w:val="en-US" w:eastAsia="zh-CN"/>
        </w:rPr>
      </w:pPr>
      <w:bookmarkStart w:id="885" w:name="_Toc14163"/>
      <w:bookmarkStart w:id="886" w:name="_Toc13046"/>
      <w:bookmarkStart w:id="887" w:name="_Toc14012"/>
      <w:bookmarkStart w:id="888" w:name="_Toc19108"/>
      <w:bookmarkStart w:id="889" w:name="_Toc27337"/>
      <w:bookmarkStart w:id="890" w:name="_Toc1837"/>
      <w:bookmarkStart w:id="891" w:name="_Toc7534"/>
      <w:r>
        <w:rPr>
          <w:rFonts w:hint="default" w:ascii="Times New Roman" w:hAnsi="Times New Roman" w:eastAsia="宋体" w:cs="Times New Roman"/>
          <w:color w:val="auto"/>
          <w:spacing w:val="0"/>
          <w:w w:val="100"/>
          <w:kern w:val="0"/>
          <w:position w:val="0"/>
          <w:highlight w:val="none"/>
          <w:lang w:val="en-US" w:eastAsia="zh-CN"/>
        </w:rPr>
        <w:t>5.5固体废物影响分析</w:t>
      </w:r>
      <w:bookmarkEnd w:id="885"/>
      <w:bookmarkEnd w:id="886"/>
      <w:bookmarkEnd w:id="887"/>
      <w:bookmarkEnd w:id="888"/>
      <w:bookmarkEnd w:id="889"/>
      <w:bookmarkEnd w:id="890"/>
      <w:bookmarkEnd w:id="891"/>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本项目运营后，固体废物主要有牛粪、病死牛尸体及胎盘、</w:t>
      </w:r>
      <w:r>
        <w:rPr>
          <w:rFonts w:hint="default" w:ascii="Times New Roman" w:hAnsi="Times New Roman" w:eastAsia="宋体" w:cs="Times New Roman"/>
          <w:color w:val="auto"/>
          <w:spacing w:val="0"/>
          <w:w w:val="100"/>
          <w:kern w:val="0"/>
          <w:position w:val="0"/>
          <w:sz w:val="24"/>
          <w:szCs w:val="24"/>
          <w:highlight w:val="none"/>
          <w:lang w:eastAsia="zh-CN"/>
        </w:rPr>
        <w:t>污水处理站产生的污泥</w:t>
      </w:r>
      <w:r>
        <w:rPr>
          <w:rFonts w:hint="default" w:ascii="Times New Roman" w:hAnsi="Times New Roman" w:eastAsia="宋体" w:cs="Times New Roman"/>
          <w:color w:val="auto"/>
          <w:spacing w:val="0"/>
          <w:w w:val="100"/>
          <w:kern w:val="0"/>
          <w:position w:val="0"/>
          <w:sz w:val="24"/>
          <w:szCs w:val="24"/>
          <w:highlight w:val="none"/>
        </w:rPr>
        <w:t>、兽医站少量医疗废物、除尘器</w:t>
      </w:r>
      <w:r>
        <w:rPr>
          <w:rFonts w:hint="default" w:ascii="Times New Roman" w:hAnsi="Times New Roman" w:eastAsia="宋体" w:cs="Times New Roman"/>
          <w:color w:val="auto"/>
          <w:spacing w:val="0"/>
          <w:w w:val="100"/>
          <w:kern w:val="0"/>
          <w:position w:val="0"/>
          <w:sz w:val="24"/>
          <w:szCs w:val="24"/>
          <w:highlight w:val="none"/>
          <w:lang w:eastAsia="zh-CN"/>
        </w:rPr>
        <w:t>收尘灰</w:t>
      </w:r>
      <w:r>
        <w:rPr>
          <w:rFonts w:hint="default" w:ascii="Times New Roman" w:hAnsi="Times New Roman" w:eastAsia="宋体" w:cs="Times New Roman"/>
          <w:color w:val="auto"/>
          <w:spacing w:val="0"/>
          <w:w w:val="100"/>
          <w:kern w:val="0"/>
          <w:position w:val="0"/>
          <w:sz w:val="24"/>
          <w:szCs w:val="24"/>
          <w:highlight w:val="none"/>
        </w:rPr>
        <w:t>及生活垃圾。</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牛粪</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rPr>
        <w:t>本项目采取干法清粪工艺，</w:t>
      </w:r>
      <w:r>
        <w:rPr>
          <w:rFonts w:hint="default" w:ascii="Times New Roman" w:hAnsi="Times New Roman" w:eastAsia="宋体" w:cs="Times New Roman"/>
          <w:color w:val="auto"/>
          <w:spacing w:val="0"/>
          <w:w w:val="100"/>
          <w:kern w:val="0"/>
          <w:position w:val="0"/>
          <w:sz w:val="24"/>
          <w:szCs w:val="24"/>
          <w:highlight w:val="none"/>
          <w:lang w:val="zh-CN"/>
        </w:rPr>
        <w:t>根据</w:t>
      </w:r>
      <w:r>
        <w:rPr>
          <w:rFonts w:hint="default" w:ascii="Times New Roman" w:hAnsi="Times New Roman" w:eastAsia="宋体" w:cs="Times New Roman"/>
          <w:color w:val="auto"/>
          <w:spacing w:val="0"/>
          <w:w w:val="100"/>
          <w:kern w:val="0"/>
          <w:position w:val="0"/>
          <w:sz w:val="24"/>
          <w:highlight w:val="none"/>
          <w:lang w:val="zh-CN"/>
        </w:rPr>
        <w:t>《排污许可证申请与核发技术规范 畜禽养殖行业》</w:t>
      </w:r>
      <w:r>
        <w:rPr>
          <w:rFonts w:hint="default" w:ascii="Times New Roman" w:hAnsi="Times New Roman" w:eastAsia="宋体" w:cs="Times New Roman"/>
          <w:color w:val="auto"/>
          <w:spacing w:val="0"/>
          <w:w w:val="100"/>
          <w:kern w:val="0"/>
          <w:position w:val="0"/>
          <w:sz w:val="24"/>
          <w:szCs w:val="24"/>
          <w:highlight w:val="none"/>
          <w:lang w:val="zh-CN"/>
        </w:rPr>
        <w:t>各类污染物产生量中奶牛，牛粪（含尿液）量为</w:t>
      </w:r>
      <w:r>
        <w:rPr>
          <w:rFonts w:hint="default" w:ascii="Times New Roman" w:hAnsi="Times New Roman" w:eastAsia="宋体" w:cs="Times New Roman"/>
          <w:color w:val="auto"/>
          <w:spacing w:val="0"/>
          <w:w w:val="100"/>
          <w:kern w:val="0"/>
          <w:position w:val="0"/>
          <w:sz w:val="24"/>
          <w:szCs w:val="24"/>
          <w:highlight w:val="none"/>
        </w:rPr>
        <w:t>25.71</w:t>
      </w:r>
      <w:r>
        <w:rPr>
          <w:rFonts w:hint="default" w:ascii="Times New Roman" w:hAnsi="Times New Roman" w:eastAsia="宋体" w:cs="Times New Roman"/>
          <w:color w:val="auto"/>
          <w:spacing w:val="0"/>
          <w:w w:val="100"/>
          <w:kern w:val="0"/>
          <w:position w:val="0"/>
          <w:sz w:val="24"/>
          <w:szCs w:val="24"/>
          <w:highlight w:val="none"/>
          <w:lang w:val="zh-CN"/>
        </w:rPr>
        <w:t>kg/头·d（奶牛），本项目养殖奶牛数量</w:t>
      </w:r>
      <w:r>
        <w:rPr>
          <w:rFonts w:hint="default" w:ascii="Times New Roman" w:hAnsi="Times New Roman" w:cs="Times New Roman"/>
          <w:color w:val="auto"/>
          <w:spacing w:val="0"/>
          <w:w w:val="100"/>
          <w:kern w:val="0"/>
          <w:position w:val="0"/>
          <w:sz w:val="24"/>
          <w:szCs w:val="24"/>
          <w:highlight w:val="none"/>
          <w:lang w:val="en-US" w:eastAsia="zh-CN"/>
        </w:rPr>
        <w:t>30</w:t>
      </w:r>
      <w:r>
        <w:rPr>
          <w:rFonts w:hint="default" w:ascii="Times New Roman" w:hAnsi="Times New Roman" w:eastAsia="宋体" w:cs="Times New Roman"/>
          <w:color w:val="auto"/>
          <w:spacing w:val="0"/>
          <w:w w:val="100"/>
          <w:kern w:val="0"/>
          <w:position w:val="0"/>
          <w:sz w:val="24"/>
          <w:szCs w:val="24"/>
          <w:highlight w:val="none"/>
          <w:lang w:val="en-US" w:eastAsia="zh-CN"/>
        </w:rPr>
        <w:t>00头，奶牛</w:t>
      </w:r>
      <w:r>
        <w:rPr>
          <w:rFonts w:hint="default" w:ascii="Times New Roman" w:hAnsi="Times New Roman" w:eastAsia="宋体" w:cs="Times New Roman"/>
          <w:color w:val="auto"/>
          <w:spacing w:val="0"/>
          <w:w w:val="100"/>
          <w:kern w:val="0"/>
          <w:position w:val="0"/>
          <w:sz w:val="24"/>
          <w:szCs w:val="24"/>
          <w:highlight w:val="none"/>
          <w:lang w:val="zh-CN"/>
        </w:rPr>
        <w:t>牛粪（含尿液）产生量约为</w:t>
      </w:r>
      <w:r>
        <w:rPr>
          <w:rFonts w:hint="default" w:ascii="Times New Roman" w:hAnsi="Times New Roman" w:cs="Times New Roman"/>
          <w:color w:val="auto"/>
          <w:spacing w:val="0"/>
          <w:w w:val="100"/>
          <w:kern w:val="0"/>
          <w:position w:val="0"/>
          <w:sz w:val="24"/>
          <w:highlight w:val="none"/>
          <w:lang w:val="en-US" w:eastAsia="zh-CN"/>
        </w:rPr>
        <w:t>46920.75</w:t>
      </w:r>
      <w:r>
        <w:rPr>
          <w:rFonts w:hint="default" w:ascii="Times New Roman" w:hAnsi="Times New Roman" w:eastAsia="宋体" w:cs="Times New Roman"/>
          <w:color w:val="auto"/>
          <w:spacing w:val="0"/>
          <w:w w:val="100"/>
          <w:kern w:val="0"/>
          <w:position w:val="0"/>
          <w:sz w:val="24"/>
          <w:szCs w:val="24"/>
          <w:highlight w:val="none"/>
          <w:lang w:val="zh-CN"/>
        </w:rPr>
        <w:t>t/a</w:t>
      </w:r>
      <w:r>
        <w:rPr>
          <w:rFonts w:hint="default" w:ascii="Times New Roman" w:hAnsi="Times New Roman" w:eastAsia="宋体"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4"/>
          <w:highlight w:val="none"/>
          <w:lang w:val="zh-CN"/>
        </w:rPr>
        <w:t>送到</w:t>
      </w:r>
      <w:r>
        <w:rPr>
          <w:rFonts w:hint="default" w:ascii="Times New Roman" w:hAnsi="Times New Roman" w:cs="Times New Roman"/>
          <w:color w:val="auto"/>
          <w:spacing w:val="0"/>
          <w:w w:val="100"/>
          <w:kern w:val="0"/>
          <w:position w:val="0"/>
          <w:sz w:val="24"/>
          <w:szCs w:val="24"/>
          <w:highlight w:val="none"/>
          <w:lang w:val="zh-CN"/>
        </w:rPr>
        <w:t>堆粪棚</w:t>
      </w:r>
      <w:r>
        <w:rPr>
          <w:rFonts w:hint="default" w:ascii="Times New Roman" w:hAnsi="Times New Roman" w:eastAsia="宋体" w:cs="Times New Roman"/>
          <w:color w:val="auto"/>
          <w:spacing w:val="0"/>
          <w:w w:val="100"/>
          <w:kern w:val="0"/>
          <w:position w:val="0"/>
          <w:sz w:val="24"/>
          <w:szCs w:val="24"/>
          <w:highlight w:val="none"/>
          <w:lang w:val="zh-CN"/>
        </w:rPr>
        <w:t>进行堆存。</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eastAsia="zh-CN"/>
        </w:rPr>
      </w:pPr>
      <w:r>
        <w:rPr>
          <w:rFonts w:hint="default" w:ascii="Times New Roman" w:hAnsi="Times New Roman" w:eastAsia="宋体" w:cs="Times New Roman"/>
          <w:color w:val="auto"/>
          <w:spacing w:val="0"/>
          <w:w w:val="100"/>
          <w:kern w:val="0"/>
          <w:position w:val="0"/>
          <w:sz w:val="24"/>
          <w:szCs w:val="22"/>
          <w:highlight w:val="none"/>
        </w:rPr>
        <w:t>本项目建设1座</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（采取防雨、防漏、防渗措施），牛舍牛粪采取日产日清，清理至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暂存，</w:t>
      </w:r>
      <w:r>
        <w:rPr>
          <w:rFonts w:hint="eastAsia" w:ascii="Times New Roman" w:hAnsi="Times New Roman" w:cs="Times New Roman"/>
          <w:color w:val="auto"/>
          <w:spacing w:val="0"/>
          <w:w w:val="100"/>
          <w:kern w:val="0"/>
          <w:position w:val="0"/>
          <w:sz w:val="24"/>
          <w:szCs w:val="22"/>
          <w:highlight w:val="none"/>
          <w:lang w:eastAsia="zh-CN"/>
        </w:rPr>
        <w:t>出售给周边农户，还田利用</w:t>
      </w:r>
      <w:r>
        <w:rPr>
          <w:rFonts w:hint="default" w:ascii="Times New Roman" w:hAnsi="Times New Roman" w:eastAsia="宋体" w:cs="Times New Roman"/>
          <w:color w:val="auto"/>
          <w:spacing w:val="0"/>
          <w:w w:val="100"/>
          <w:kern w:val="0"/>
          <w:position w:val="0"/>
          <w:sz w:val="24"/>
          <w:szCs w:val="22"/>
          <w:highlight w:val="none"/>
          <w:lang w:eastAsia="zh-CN"/>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病死牛尸体及胎盘</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目前病死尸体的数量是无法计算的，这和养殖场本身的生产管理水平，疫情灾害发生情况以及防疫水平都有直接关联，本项目根据本地区同行业现已运行的奶牛养殖场病死尸产生情况估算病死尸体产生情况，病死牛尸体产生量约为</w:t>
      </w:r>
      <w:r>
        <w:rPr>
          <w:rFonts w:hint="default" w:ascii="Times New Roman" w:hAnsi="Times New Roman" w:cs="Times New Roman"/>
          <w:color w:val="auto"/>
          <w:spacing w:val="0"/>
          <w:w w:val="100"/>
          <w:kern w:val="0"/>
          <w:position w:val="0"/>
          <w:sz w:val="24"/>
          <w:szCs w:val="22"/>
          <w:highlight w:val="none"/>
          <w:lang w:val="en-US" w:eastAsia="zh-CN"/>
        </w:rPr>
        <w:t>3</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t/a，胎盘产生量为</w:t>
      </w:r>
      <w:r>
        <w:rPr>
          <w:rFonts w:hint="default" w:ascii="Times New Roman" w:hAnsi="Times New Roman" w:cs="Times New Roman"/>
          <w:color w:val="auto"/>
          <w:spacing w:val="0"/>
          <w:w w:val="100"/>
          <w:kern w:val="0"/>
          <w:position w:val="0"/>
          <w:sz w:val="24"/>
          <w:szCs w:val="22"/>
          <w:highlight w:val="none"/>
          <w:lang w:val="en-US" w:eastAsia="zh-CN"/>
        </w:rPr>
        <w:t>6.3</w:t>
      </w:r>
      <w:r>
        <w:rPr>
          <w:rFonts w:hint="default" w:ascii="Times New Roman" w:hAnsi="Times New Roman" w:eastAsia="宋体" w:cs="Times New Roman"/>
          <w:color w:val="auto"/>
          <w:spacing w:val="0"/>
          <w:w w:val="100"/>
          <w:kern w:val="0"/>
          <w:position w:val="0"/>
          <w:sz w:val="24"/>
          <w:szCs w:val="22"/>
          <w:highlight w:val="none"/>
        </w:rPr>
        <w:t>t/a。</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按照《国家危险废物名录》（</w:t>
      </w:r>
      <w:r>
        <w:rPr>
          <w:rFonts w:hint="default" w:ascii="Times New Roman" w:hAnsi="Times New Roman" w:eastAsia="宋体" w:cs="Times New Roman"/>
          <w:color w:val="auto"/>
          <w:spacing w:val="0"/>
          <w:w w:val="100"/>
          <w:kern w:val="0"/>
          <w:position w:val="0"/>
          <w:sz w:val="24"/>
          <w:szCs w:val="22"/>
          <w:highlight w:val="none"/>
          <w:lang w:val="en-US" w:eastAsia="zh-CN"/>
        </w:rPr>
        <w:t>2021版</w:t>
      </w:r>
      <w:r>
        <w:rPr>
          <w:rFonts w:hint="default" w:ascii="Times New Roman" w:hAnsi="Times New Roman" w:eastAsia="宋体" w:cs="Times New Roman"/>
          <w:color w:val="auto"/>
          <w:spacing w:val="0"/>
          <w:w w:val="100"/>
          <w:kern w:val="0"/>
          <w:position w:val="0"/>
          <w:sz w:val="24"/>
          <w:szCs w:val="22"/>
          <w:highlight w:val="none"/>
        </w:rPr>
        <w:t>），病死牛尸体属危险废物，危险废物类别为HW01医疗废物，废物代码</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-001-01（为防治动物传染病而需要收集和处置的废物）。本项目将病死牛尸体及胎盘由</w:t>
      </w:r>
      <w:r>
        <w:rPr>
          <w:rFonts w:hint="default" w:ascii="Times New Roman" w:hAnsi="Times New Roman" w:eastAsia="宋体" w:cs="Times New Roman"/>
          <w:color w:val="auto"/>
          <w:spacing w:val="0"/>
          <w:w w:val="100"/>
          <w:kern w:val="0"/>
          <w:position w:val="0"/>
          <w:sz w:val="24"/>
          <w:szCs w:val="22"/>
          <w:highlight w:val="none"/>
          <w:lang w:eastAsia="zh-CN"/>
        </w:rPr>
        <w:t>防疫部门</w:t>
      </w:r>
      <w:r>
        <w:rPr>
          <w:rFonts w:hint="default" w:ascii="Times New Roman" w:hAnsi="Times New Roman" w:eastAsia="宋体" w:cs="Times New Roman"/>
          <w:color w:val="auto"/>
          <w:spacing w:val="0"/>
          <w:w w:val="100"/>
          <w:kern w:val="0"/>
          <w:position w:val="0"/>
          <w:sz w:val="24"/>
          <w:szCs w:val="22"/>
          <w:highlight w:val="none"/>
        </w:rPr>
        <w:t>专用车辆送往无害化处置中心处置。</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污水处理站污泥</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2"/>
          <w:highlight w:val="none"/>
          <w:lang w:val="en-US" w:eastAsia="zh-CN" w:bidi="ar-SA"/>
        </w:rPr>
      </w:pPr>
      <w:r>
        <w:rPr>
          <w:rFonts w:hint="default" w:ascii="Times New Roman" w:hAnsi="Times New Roman" w:eastAsia="宋体" w:cs="Times New Roman"/>
          <w:color w:val="auto"/>
          <w:spacing w:val="0"/>
          <w:w w:val="100"/>
          <w:kern w:val="0"/>
          <w:position w:val="0"/>
          <w:sz w:val="24"/>
          <w:szCs w:val="22"/>
          <w:highlight w:val="none"/>
        </w:rPr>
        <w:t>污水处理站污泥的主要成分为粪渣，产生量约为</w:t>
      </w:r>
      <w:r>
        <w:rPr>
          <w:rFonts w:hint="default" w:ascii="Times New Roman" w:hAnsi="Times New Roman" w:cs="Times New Roman"/>
          <w:color w:val="auto"/>
          <w:spacing w:val="0"/>
          <w:w w:val="100"/>
          <w:kern w:val="0"/>
          <w:position w:val="0"/>
          <w:sz w:val="24"/>
          <w:szCs w:val="22"/>
          <w:highlight w:val="none"/>
          <w:lang w:val="en-US" w:eastAsia="zh-CN"/>
        </w:rPr>
        <w:t>43.46</w:t>
      </w:r>
      <w:r>
        <w:rPr>
          <w:rFonts w:hint="default" w:ascii="Times New Roman" w:hAnsi="Times New Roman" w:eastAsia="宋体" w:cs="Times New Roman"/>
          <w:color w:val="auto"/>
          <w:spacing w:val="0"/>
          <w:w w:val="100"/>
          <w:kern w:val="0"/>
          <w:position w:val="0"/>
          <w:sz w:val="24"/>
          <w:szCs w:val="22"/>
          <w:highlight w:val="none"/>
          <w:lang w:eastAsia="zh-CN"/>
        </w:rPr>
        <w:t>t/a</w:t>
      </w:r>
      <w:r>
        <w:rPr>
          <w:rFonts w:hint="default" w:ascii="Times New Roman" w:hAnsi="Times New Roman" w:eastAsia="宋体" w:cs="Times New Roman"/>
          <w:color w:val="auto"/>
          <w:spacing w:val="0"/>
          <w:w w:val="100"/>
          <w:kern w:val="0"/>
          <w:position w:val="0"/>
          <w:sz w:val="24"/>
          <w:szCs w:val="22"/>
          <w:highlight w:val="none"/>
        </w:rPr>
        <w:t>，定期清运，将其进行脱水处理后，运至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储存，</w:t>
      </w:r>
      <w:r>
        <w:rPr>
          <w:rFonts w:hint="default" w:ascii="Times New Roman" w:hAnsi="Times New Roman" w:eastAsia="宋体" w:cs="Times New Roman"/>
          <w:color w:val="auto"/>
          <w:spacing w:val="0"/>
          <w:w w:val="100"/>
          <w:kern w:val="0"/>
          <w:position w:val="0"/>
          <w:sz w:val="24"/>
          <w:szCs w:val="22"/>
          <w:highlight w:val="none"/>
          <w:lang w:val="en-US" w:eastAsia="zh-CN" w:bidi="ar-SA"/>
        </w:rPr>
        <w:t>与牛粪一同临时堆存后</w:t>
      </w:r>
      <w:r>
        <w:rPr>
          <w:rFonts w:hint="eastAsia" w:ascii="Times New Roman" w:hAnsi="Times New Roman" w:cs="Times New Roman"/>
          <w:color w:val="auto"/>
          <w:spacing w:val="0"/>
          <w:w w:val="100"/>
          <w:kern w:val="0"/>
          <w:position w:val="0"/>
          <w:sz w:val="24"/>
          <w:szCs w:val="22"/>
          <w:highlight w:val="none"/>
          <w:lang w:eastAsia="zh-CN"/>
        </w:rPr>
        <w:t>出售给周边农户，还田利用</w:t>
      </w:r>
      <w:r>
        <w:rPr>
          <w:rFonts w:hint="default" w:ascii="Times New Roman" w:hAnsi="Times New Roman" w:eastAsia="宋体" w:cs="Times New Roman"/>
          <w:color w:val="auto"/>
          <w:spacing w:val="0"/>
          <w:w w:val="100"/>
          <w:kern w:val="0"/>
          <w:position w:val="0"/>
          <w:sz w:val="24"/>
          <w:szCs w:val="24"/>
          <w:highlight w:val="none"/>
          <w:lang w:eastAsia="zh-CN"/>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lang w:eastAsia="zh-CN"/>
        </w:rPr>
        <w:t>收尘灰</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本项目玉米秸秆、苜蓿、稻草等饲草料在加工过程会产生一定量的粉尘，本项目采用半封闭日粮混合搅拌设备，设备自带收尘设施</w:t>
      </w:r>
      <w:r>
        <w:rPr>
          <w:rFonts w:hint="default" w:ascii="Times New Roman" w:hAnsi="Times New Roman"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除尘效率为9</w:t>
      </w:r>
      <w:r>
        <w:rPr>
          <w:rFonts w:hint="default" w:ascii="Times New Roman" w:hAnsi="Times New Roman" w:cs="Times New Roman"/>
          <w:color w:val="auto"/>
          <w:spacing w:val="0"/>
          <w:w w:val="100"/>
          <w:kern w:val="0"/>
          <w:position w:val="0"/>
          <w:sz w:val="24"/>
          <w:szCs w:val="22"/>
          <w:highlight w:val="none"/>
          <w:lang w:val="en-US" w:eastAsia="zh-CN"/>
        </w:rPr>
        <w:t>9</w:t>
      </w:r>
      <w:r>
        <w:rPr>
          <w:rFonts w:hint="default" w:ascii="Times New Roman" w:hAnsi="Times New Roman" w:eastAsia="宋体" w:cs="Times New Roman"/>
          <w:color w:val="auto"/>
          <w:spacing w:val="0"/>
          <w:w w:val="100"/>
          <w:kern w:val="0"/>
          <w:position w:val="0"/>
          <w:sz w:val="24"/>
          <w:szCs w:val="22"/>
          <w:highlight w:val="none"/>
        </w:rPr>
        <w:t>%，则粉尘的</w:t>
      </w:r>
      <w:r>
        <w:rPr>
          <w:rFonts w:hint="default" w:ascii="Times New Roman" w:hAnsi="Times New Roman" w:eastAsia="宋体" w:cs="Times New Roman"/>
          <w:color w:val="auto"/>
          <w:spacing w:val="0"/>
          <w:w w:val="100"/>
          <w:kern w:val="0"/>
          <w:position w:val="0"/>
          <w:sz w:val="24"/>
          <w:szCs w:val="22"/>
          <w:highlight w:val="none"/>
          <w:lang w:eastAsia="zh-CN"/>
        </w:rPr>
        <w:t>收集</w:t>
      </w:r>
      <w:r>
        <w:rPr>
          <w:rFonts w:hint="default" w:ascii="Times New Roman" w:hAnsi="Times New Roman" w:eastAsia="宋体" w:cs="Times New Roman"/>
          <w:color w:val="auto"/>
          <w:spacing w:val="0"/>
          <w:w w:val="100"/>
          <w:kern w:val="0"/>
          <w:position w:val="0"/>
          <w:sz w:val="24"/>
          <w:szCs w:val="22"/>
          <w:highlight w:val="none"/>
        </w:rPr>
        <w:t>量为</w:t>
      </w:r>
      <w:r>
        <w:rPr>
          <w:rFonts w:hint="default" w:ascii="Times New Roman" w:hAnsi="Times New Roman" w:cs="Times New Roman"/>
          <w:color w:val="auto"/>
          <w:spacing w:val="0"/>
          <w:w w:val="100"/>
          <w:kern w:val="0"/>
          <w:position w:val="0"/>
          <w:sz w:val="24"/>
          <w:szCs w:val="22"/>
          <w:highlight w:val="none"/>
          <w:lang w:val="en-US" w:eastAsia="zh-CN"/>
        </w:rPr>
        <w:t>1.085</w:t>
      </w:r>
      <w:r>
        <w:rPr>
          <w:rFonts w:hint="default" w:ascii="Times New Roman" w:hAnsi="Times New Roman" w:eastAsia="宋体" w:cs="Times New Roman"/>
          <w:color w:val="auto"/>
          <w:spacing w:val="0"/>
          <w:w w:val="100"/>
          <w:kern w:val="0"/>
          <w:position w:val="0"/>
          <w:sz w:val="24"/>
          <w:szCs w:val="22"/>
          <w:highlight w:val="none"/>
        </w:rPr>
        <w:t>t/a，可全部重新混入原料中加工成饲料，回收利用。</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5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⑸</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医疗废物</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项目产生的医疗废物主要为废一次性注射器以及废弃的药品等。根据建设单位提供，类比同类养殖场就诊规模，项目建成后，在防治牛传染病医治过程中产生的医疗废物约为</w:t>
      </w:r>
      <w:r>
        <w:rPr>
          <w:rFonts w:hint="default" w:ascii="Times New Roman" w:hAnsi="Times New Roman" w:cs="Times New Roman"/>
          <w:color w:val="auto"/>
          <w:spacing w:val="0"/>
          <w:w w:val="100"/>
          <w:kern w:val="0"/>
          <w:position w:val="0"/>
          <w:sz w:val="24"/>
          <w:szCs w:val="22"/>
          <w:highlight w:val="none"/>
          <w:lang w:val="en-US" w:eastAsia="zh-CN"/>
        </w:rPr>
        <w:t>1.67t</w:t>
      </w:r>
      <w:r>
        <w:rPr>
          <w:rFonts w:hint="default" w:ascii="Times New Roman" w:hAnsi="Times New Roman" w:eastAsia="宋体" w:cs="Times New Roman"/>
          <w:color w:val="auto"/>
          <w:spacing w:val="0"/>
          <w:w w:val="100"/>
          <w:kern w:val="0"/>
          <w:position w:val="0"/>
          <w:sz w:val="24"/>
          <w:szCs w:val="22"/>
          <w:highlight w:val="none"/>
        </w:rPr>
        <w:t>/a。这部分医疗废物属于《国家危险废物名录》（</w:t>
      </w:r>
      <w:r>
        <w:rPr>
          <w:rFonts w:hint="default" w:ascii="Times New Roman" w:hAnsi="Times New Roman" w:eastAsia="宋体" w:cs="Times New Roman"/>
          <w:color w:val="auto"/>
          <w:spacing w:val="0"/>
          <w:w w:val="100"/>
          <w:kern w:val="0"/>
          <w:position w:val="0"/>
          <w:sz w:val="24"/>
          <w:szCs w:val="22"/>
          <w:highlight w:val="none"/>
          <w:lang w:val="en-US" w:eastAsia="zh-CN"/>
        </w:rPr>
        <w:t>2021版</w:t>
      </w:r>
      <w:r>
        <w:rPr>
          <w:rFonts w:hint="default" w:ascii="Times New Roman" w:hAnsi="Times New Roman" w:eastAsia="宋体" w:cs="Times New Roman"/>
          <w:color w:val="auto"/>
          <w:spacing w:val="0"/>
          <w:w w:val="100"/>
          <w:kern w:val="0"/>
          <w:position w:val="0"/>
          <w:sz w:val="24"/>
          <w:szCs w:val="22"/>
          <w:highlight w:val="none"/>
        </w:rPr>
        <w:t>），废物类别为HW01，废物代码为</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-001-01）所规定的危险废物。医疗废物集中收集后委托有危废处理资质的单位集中处理。</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6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⑹</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生活垃圾</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2"/>
          <w:highlight w:val="none"/>
        </w:rPr>
        <w:t>本项目劳动定员</w:t>
      </w:r>
      <w:r>
        <w:rPr>
          <w:rFonts w:hint="default" w:ascii="Times New Roman" w:hAnsi="Times New Roman"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人，人均生活垃圾产生量按照0.5kg/d计算，则生活垃圾的产生量为</w:t>
      </w:r>
      <w:r>
        <w:rPr>
          <w:rFonts w:hint="default" w:ascii="Times New Roman" w:hAnsi="Times New Roman" w:cs="Times New Roman"/>
          <w:color w:val="auto"/>
          <w:spacing w:val="0"/>
          <w:w w:val="100"/>
          <w:kern w:val="0"/>
          <w:position w:val="0"/>
          <w:sz w:val="24"/>
          <w:szCs w:val="22"/>
          <w:highlight w:val="none"/>
          <w:lang w:val="en-US" w:eastAsia="zh-CN"/>
        </w:rPr>
        <w:t>3.65t/a</w:t>
      </w:r>
      <w:r>
        <w:rPr>
          <w:rFonts w:hint="default" w:ascii="Times New Roman" w:hAnsi="Times New Roman" w:eastAsia="宋体" w:cs="Times New Roman"/>
          <w:color w:val="auto"/>
          <w:spacing w:val="0"/>
          <w:w w:val="100"/>
          <w:kern w:val="0"/>
          <w:position w:val="0"/>
          <w:sz w:val="24"/>
          <w:szCs w:val="22"/>
          <w:highlight w:val="none"/>
        </w:rPr>
        <w:t>，设垃圾收集设施，收集后送至</w:t>
      </w:r>
      <w:r>
        <w:rPr>
          <w:rFonts w:hint="default" w:ascii="Times New Roman" w:hAnsi="Times New Roman" w:eastAsia="宋体" w:cs="Times New Roman"/>
          <w:color w:val="auto"/>
          <w:spacing w:val="0"/>
          <w:w w:val="100"/>
          <w:kern w:val="0"/>
          <w:position w:val="0"/>
          <w:sz w:val="24"/>
          <w:szCs w:val="22"/>
          <w:highlight w:val="none"/>
          <w:lang w:eastAsia="zh-CN"/>
        </w:rPr>
        <w:t>附近</w:t>
      </w:r>
      <w:r>
        <w:rPr>
          <w:rFonts w:hint="default" w:ascii="Times New Roman" w:hAnsi="Times New Roman" w:eastAsia="宋体" w:cs="Times New Roman"/>
          <w:color w:val="auto"/>
          <w:spacing w:val="0"/>
          <w:w w:val="100"/>
          <w:kern w:val="0"/>
          <w:position w:val="0"/>
          <w:sz w:val="24"/>
          <w:szCs w:val="22"/>
          <w:highlight w:val="none"/>
        </w:rPr>
        <w:t>生活垃圾填埋场处理</w:t>
      </w:r>
      <w:r>
        <w:rPr>
          <w:rFonts w:hint="default" w:ascii="Times New Roman" w:hAnsi="Times New Roman" w:eastAsia="宋体" w:cs="Times New Roman"/>
          <w:color w:val="auto"/>
          <w:spacing w:val="0"/>
          <w:w w:val="100"/>
          <w:kern w:val="0"/>
          <w:position w:val="0"/>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项目产生的危险废物必须按照《危险废物转移联单管理办法》的要求，定期送有资质的单位统一处理；所有纳入危险废物范畴的固体废物，均暂时贮存在企业</w:t>
      </w:r>
      <w:r>
        <w:rPr>
          <w:rFonts w:hint="default" w:ascii="Times New Roman" w:hAnsi="Times New Roman" w:eastAsia="宋体" w:cs="Times New Roman"/>
          <w:color w:val="auto"/>
          <w:spacing w:val="0"/>
          <w:w w:val="100"/>
          <w:kern w:val="0"/>
          <w:position w:val="0"/>
          <w:sz w:val="24"/>
          <w:highlight w:val="none"/>
          <w:lang w:eastAsia="zh-CN"/>
        </w:rPr>
        <w:t>场</w:t>
      </w:r>
      <w:r>
        <w:rPr>
          <w:rFonts w:hint="default" w:ascii="Times New Roman" w:hAnsi="Times New Roman" w:eastAsia="宋体" w:cs="Times New Roman"/>
          <w:color w:val="auto"/>
          <w:spacing w:val="0"/>
          <w:w w:val="100"/>
          <w:kern w:val="0"/>
          <w:position w:val="0"/>
          <w:sz w:val="24"/>
          <w:highlight w:val="none"/>
        </w:rPr>
        <w:t>区建设的危废暂存间内，危废暂存间严格按照《危险废物贮存污染控制标准》(GB18597-2001)及2013年修改单中相关要求设置，具体如下：</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①在</w:t>
      </w:r>
      <w:r>
        <w:rPr>
          <w:rFonts w:hint="default" w:ascii="Times New Roman" w:hAnsi="Times New Roman" w:eastAsia="宋体" w:cs="Times New Roman"/>
          <w:color w:val="auto"/>
          <w:spacing w:val="0"/>
          <w:w w:val="100"/>
          <w:kern w:val="0"/>
          <w:position w:val="0"/>
          <w:sz w:val="24"/>
          <w:highlight w:val="none"/>
          <w:lang w:eastAsia="zh-CN"/>
        </w:rPr>
        <w:t>场</w:t>
      </w:r>
      <w:r>
        <w:rPr>
          <w:rFonts w:hint="default" w:ascii="Times New Roman" w:hAnsi="Times New Roman" w:eastAsia="宋体" w:cs="Times New Roman"/>
          <w:color w:val="auto"/>
          <w:spacing w:val="0"/>
          <w:w w:val="100"/>
          <w:kern w:val="0"/>
          <w:position w:val="0"/>
          <w:sz w:val="24"/>
          <w:highlight w:val="none"/>
        </w:rPr>
        <w:t>区内分离出独立的贮存空间，设置危废暂存间，并对不同种类的危废之间建设隔离墙；拟建设1座</w:t>
      </w:r>
      <w:r>
        <w:rPr>
          <w:rFonts w:hint="default" w:ascii="Times New Roman" w:hAnsi="Times New Roman" w:eastAsia="宋体" w:cs="Times New Roman"/>
          <w:color w:val="auto"/>
          <w:spacing w:val="0"/>
          <w:w w:val="100"/>
          <w:kern w:val="0"/>
          <w:position w:val="0"/>
          <w:sz w:val="24"/>
          <w:highlight w:val="none"/>
          <w:lang w:val="en-US" w:eastAsia="zh-CN"/>
        </w:rPr>
        <w:t>10</w:t>
      </w:r>
      <w:r>
        <w:rPr>
          <w:rFonts w:hint="default" w:ascii="Times New Roman" w:hAnsi="Times New Roman" w:eastAsia="宋体" w:cs="Times New Roman"/>
          <w:color w:val="auto"/>
          <w:spacing w:val="0"/>
          <w:w w:val="100"/>
          <w:kern w:val="0"/>
          <w:position w:val="0"/>
          <w:sz w:val="24"/>
          <w:highlight w:val="none"/>
        </w:rPr>
        <w:t>m</w:t>
      </w:r>
      <w:r>
        <w:rPr>
          <w:rFonts w:hint="default" w:ascii="Times New Roman" w:hAnsi="Times New Roman" w:eastAsia="宋体" w:cs="Times New Roman"/>
          <w:color w:val="auto"/>
          <w:spacing w:val="0"/>
          <w:w w:val="100"/>
          <w:kern w:val="0"/>
          <w:position w:val="0"/>
          <w:sz w:val="24"/>
          <w:highlight w:val="none"/>
          <w:vertAlign w:val="superscript"/>
        </w:rPr>
        <w:t>2</w:t>
      </w:r>
      <w:r>
        <w:rPr>
          <w:rFonts w:hint="default" w:ascii="Times New Roman" w:hAnsi="Times New Roman" w:eastAsia="宋体" w:cs="Times New Roman"/>
          <w:color w:val="auto"/>
          <w:spacing w:val="0"/>
          <w:w w:val="100"/>
          <w:kern w:val="0"/>
          <w:position w:val="0"/>
          <w:sz w:val="24"/>
          <w:highlight w:val="none"/>
        </w:rPr>
        <w:t>大小的危险废物暂存间；</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②建设单位应将各种危险废物分类存放，并制作标记，用以区分。</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③各危险废物存放周期不得超过</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年。</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④本项目产生的废物若有其他利用途径，收购废物的公司必须拥有处理处置相关废物的营运资质。</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⑤除基础相关防渗工作外，地面加铺防渗层，防渗层为2mm厚高密度聚乙烯，或至少2mm厚的其它人工材料，渗透系数≤10</w:t>
      </w:r>
      <w:r>
        <w:rPr>
          <w:rFonts w:hint="default" w:ascii="Times New Roman" w:hAnsi="Times New Roman" w:eastAsia="宋体" w:cs="Times New Roman"/>
          <w:color w:val="auto"/>
          <w:spacing w:val="0"/>
          <w:w w:val="100"/>
          <w:kern w:val="0"/>
          <w:position w:val="0"/>
          <w:sz w:val="24"/>
          <w:highlight w:val="none"/>
          <w:vertAlign w:val="superscript"/>
        </w:rPr>
        <w:t>-10</w:t>
      </w:r>
      <w:r>
        <w:rPr>
          <w:rFonts w:hint="default" w:ascii="Times New Roman" w:hAnsi="Times New Roman" w:eastAsia="宋体" w:cs="Times New Roman"/>
          <w:color w:val="auto"/>
          <w:spacing w:val="0"/>
          <w:w w:val="100"/>
          <w:kern w:val="0"/>
          <w:position w:val="0"/>
          <w:sz w:val="24"/>
          <w:highlight w:val="none"/>
        </w:rPr>
        <w:t>cm/s。</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采取上述措施后，危险废物收集、储存及处理方式符合危险废物管理要求，对环境影响较小。</w:t>
      </w:r>
    </w:p>
    <w:p>
      <w:pPr>
        <w:adjustRightInd w:val="0"/>
        <w:snapToGrid w:val="0"/>
        <w:spacing w:line="360" w:lineRule="auto"/>
        <w:ind w:firstLine="482" w:firstLineChars="200"/>
        <w:rPr>
          <w:rFonts w:hint="default" w:ascii="Times New Roman" w:hAnsi="Times New Roman" w:eastAsia="宋体" w:cs="Times New Roman"/>
          <w:b/>
          <w:color w:val="auto"/>
          <w:spacing w:val="0"/>
          <w:w w:val="100"/>
          <w:kern w:val="0"/>
          <w:position w:val="0"/>
          <w:sz w:val="24"/>
          <w:highlight w:val="none"/>
        </w:rPr>
      </w:pPr>
      <w:r>
        <w:rPr>
          <w:rFonts w:hint="default" w:ascii="Times New Roman" w:hAnsi="Times New Roman" w:eastAsia="宋体" w:cs="Times New Roman"/>
          <w:b/>
          <w:color w:val="auto"/>
          <w:spacing w:val="0"/>
          <w:w w:val="100"/>
          <w:kern w:val="0"/>
          <w:position w:val="0"/>
          <w:sz w:val="24"/>
          <w:highlight w:val="none"/>
        </w:rPr>
        <w:t>(7)小结</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根据《中华人民共和国固体废物污染环境防治法》规定，项目产生的固体废物，在其收集、储存、运输、处置各个环节中，按规定需要采取相应防治措施：</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highlight w:val="none"/>
        </w:rPr>
        <w:t>①</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生活垃圾及其他工业固体废弃物分别设置专门的存储设施和场所，存储场所要做好防渗、溢流措施，并应采取设置顶盖等防止降雨（水）的进入；</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highlight w:val="none"/>
        </w:rPr>
        <w:t>②</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收集、储存、运输、利用、处置固体废物的场所必须采取防扬散、防流失、防渗漏或者其他防治污染环境的措施；</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highlight w:val="none"/>
        </w:rPr>
        <w:t>③</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不得在运输过程中沿途丢弃、遗撒固体废物，避免沿途遗洒和飘散造成环境污染；</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4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highlight w:val="none"/>
        </w:rPr>
        <w:t>④</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禁止将危险固废与生活垃圾混合贮存。</w:t>
      </w:r>
    </w:p>
    <w:p>
      <w:pPr>
        <w:adjustRightInd w:val="0"/>
        <w:snapToGrid w:val="0"/>
        <w:spacing w:line="360" w:lineRule="auto"/>
        <w:ind w:firstLine="480" w:firstLineChars="200"/>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 w:val="24"/>
          <w:highlight w:val="none"/>
        </w:rPr>
        <w:t>本项目产生的固体废物包括：</w:t>
      </w:r>
      <w:r>
        <w:rPr>
          <w:rFonts w:hint="default" w:ascii="Times New Roman" w:hAnsi="Times New Roman" w:eastAsia="宋体" w:cs="Times New Roman"/>
          <w:color w:val="auto"/>
          <w:spacing w:val="0"/>
          <w:w w:val="100"/>
          <w:kern w:val="0"/>
          <w:position w:val="0"/>
          <w:sz w:val="24"/>
          <w:szCs w:val="22"/>
          <w:highlight w:val="none"/>
        </w:rPr>
        <w:t>牛粪、病死牛尸体及胎盘、除尘器</w:t>
      </w:r>
      <w:r>
        <w:rPr>
          <w:rFonts w:hint="default" w:ascii="Times New Roman" w:hAnsi="Times New Roman" w:eastAsia="宋体" w:cs="Times New Roman"/>
          <w:color w:val="auto"/>
          <w:spacing w:val="0"/>
          <w:w w:val="100"/>
          <w:kern w:val="0"/>
          <w:position w:val="0"/>
          <w:sz w:val="24"/>
          <w:szCs w:val="22"/>
          <w:highlight w:val="none"/>
          <w:lang w:eastAsia="zh-CN"/>
        </w:rPr>
        <w:t>收尘灰</w:t>
      </w:r>
      <w:r>
        <w:rPr>
          <w:rFonts w:hint="default" w:ascii="Times New Roman" w:hAnsi="Times New Roman" w:eastAsia="宋体" w:cs="Times New Roman"/>
          <w:color w:val="auto"/>
          <w:spacing w:val="0"/>
          <w:w w:val="100"/>
          <w:kern w:val="0"/>
          <w:position w:val="0"/>
          <w:sz w:val="24"/>
          <w:szCs w:val="22"/>
          <w:highlight w:val="none"/>
        </w:rPr>
        <w:t>、兽医站少量医疗废物</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除尘器收尘</w:t>
      </w:r>
      <w:r>
        <w:rPr>
          <w:rFonts w:hint="default" w:ascii="Times New Roman" w:hAnsi="Times New Roman" w:eastAsia="宋体" w:cs="Times New Roman"/>
          <w:color w:val="auto"/>
          <w:spacing w:val="0"/>
          <w:w w:val="100"/>
          <w:kern w:val="0"/>
          <w:position w:val="0"/>
          <w:sz w:val="24"/>
          <w:szCs w:val="24"/>
          <w:highlight w:val="none"/>
          <w:lang w:eastAsia="zh-CN"/>
        </w:rPr>
        <w:t>灰</w:t>
      </w:r>
      <w:r>
        <w:rPr>
          <w:rFonts w:hint="default" w:ascii="Times New Roman" w:hAnsi="Times New Roman" w:eastAsia="宋体" w:cs="Times New Roman"/>
          <w:color w:val="auto"/>
          <w:spacing w:val="0"/>
          <w:w w:val="100"/>
          <w:kern w:val="0"/>
          <w:position w:val="0"/>
          <w:sz w:val="24"/>
          <w:szCs w:val="22"/>
          <w:highlight w:val="none"/>
        </w:rPr>
        <w:t>及生活垃圾</w:t>
      </w:r>
      <w:r>
        <w:rPr>
          <w:rFonts w:hint="default" w:ascii="Times New Roman" w:hAnsi="Times New Roman" w:eastAsia="宋体" w:cs="Times New Roman"/>
          <w:color w:val="auto"/>
          <w:spacing w:val="0"/>
          <w:w w:val="100"/>
          <w:kern w:val="0"/>
          <w:position w:val="0"/>
          <w:sz w:val="24"/>
          <w:highlight w:val="none"/>
        </w:rPr>
        <w:t>等。固体废物防治措施见表5.</w:t>
      </w:r>
      <w:r>
        <w:rPr>
          <w:rFonts w:hint="default" w:ascii="Times New Roman" w:hAnsi="Times New Roman" w:eastAsia="宋体" w:cs="Times New Roman"/>
          <w:color w:val="auto"/>
          <w:spacing w:val="0"/>
          <w:w w:val="100"/>
          <w:kern w:val="0"/>
          <w:position w:val="0"/>
          <w:sz w:val="24"/>
          <w:highlight w:val="none"/>
          <w:lang w:val="en-US" w:eastAsia="zh-CN"/>
        </w:rPr>
        <w:t>5-1</w:t>
      </w:r>
      <w:r>
        <w:rPr>
          <w:rFonts w:hint="default" w:ascii="Times New Roman" w:hAnsi="Times New Roman" w:eastAsia="宋体" w:cs="Times New Roman"/>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表5.5-1   固体废物处置情况</w:t>
      </w:r>
    </w:p>
    <w:tbl>
      <w:tblPr>
        <w:tblStyle w:val="25"/>
        <w:tblW w:w="90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72"/>
        <w:gridCol w:w="1256"/>
        <w:gridCol w:w="1173"/>
        <w:gridCol w:w="1770"/>
        <w:gridCol w:w="3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序号</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排放源</w:t>
            </w:r>
          </w:p>
        </w:tc>
        <w:tc>
          <w:tcPr>
            <w:tcW w:w="1256"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固废名称</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产生量</w:t>
            </w:r>
          </w:p>
          <w:p>
            <w:pPr>
              <w:pStyle w:val="36"/>
              <w:ind w:left="0" w:leftChars="0" w:firstLine="0" w:firstLineChars="0"/>
              <w:jc w:val="center"/>
              <w:rPr>
                <w:rFonts w:hint="default" w:ascii="Times New Roman" w:hAnsi="Times New Roman" w:eastAsia="宋体" w:cs="Times New Roman"/>
                <w:b/>
                <w:bCs/>
                <w:color w:val="auto"/>
                <w:spacing w:val="0"/>
                <w:w w:val="100"/>
                <w:kern w:val="0"/>
                <w:position w:val="0"/>
                <w:highlight w:val="none"/>
              </w:rPr>
            </w:pPr>
            <w:r>
              <w:rPr>
                <w:rFonts w:hint="default" w:ascii="Times New Roman" w:hAnsi="Times New Roman" w:eastAsia="宋体" w:cs="Times New Roman"/>
                <w:b/>
                <w:bCs/>
                <w:color w:val="auto"/>
                <w:spacing w:val="0"/>
                <w:w w:val="100"/>
                <w:kern w:val="0"/>
                <w:position w:val="0"/>
                <w:highlight w:val="none"/>
              </w:rPr>
              <w:t>（t/a）</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污染物组成及性质</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排放规律及去向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1</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牛舍</w:t>
            </w:r>
          </w:p>
        </w:tc>
        <w:tc>
          <w:tcPr>
            <w:tcW w:w="12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牛粪</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46920.75</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一般固废</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运至</w:t>
            </w:r>
            <w:r>
              <w:rPr>
                <w:rFonts w:hint="default" w:ascii="Times New Roman" w:hAnsi="Times New Roman" w:cs="Times New Roman"/>
                <w:bCs/>
                <w:color w:val="auto"/>
                <w:spacing w:val="0"/>
                <w:w w:val="100"/>
                <w:kern w:val="0"/>
                <w:position w:val="0"/>
                <w:szCs w:val="21"/>
                <w:highlight w:val="none"/>
                <w:lang w:eastAsia="zh-CN"/>
              </w:rPr>
              <w:t>堆粪棚</w:t>
            </w:r>
            <w:r>
              <w:rPr>
                <w:rFonts w:hint="default" w:ascii="Times New Roman" w:hAnsi="Times New Roman" w:eastAsia="宋体" w:cs="Times New Roman"/>
                <w:bCs/>
                <w:color w:val="auto"/>
                <w:spacing w:val="0"/>
                <w:w w:val="100"/>
                <w:kern w:val="0"/>
                <w:position w:val="0"/>
                <w:szCs w:val="21"/>
                <w:highlight w:val="none"/>
              </w:rPr>
              <w:t>储存，出售给周边农户，还田利用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63" w:type="dxa"/>
            <w:vMerge w:val="restart"/>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2</w:t>
            </w:r>
          </w:p>
        </w:tc>
        <w:tc>
          <w:tcPr>
            <w:tcW w:w="972" w:type="dxa"/>
            <w:vMerge w:val="restart"/>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牛舍</w:t>
            </w:r>
          </w:p>
        </w:tc>
        <w:tc>
          <w:tcPr>
            <w:tcW w:w="12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病死牛尸体</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3</w:t>
            </w:r>
            <w:r>
              <w:rPr>
                <w:rFonts w:hint="default" w:ascii="Times New Roman" w:hAnsi="Times New Roman" w:eastAsia="宋体" w:cs="Times New Roman"/>
                <w:bCs/>
                <w:color w:val="auto"/>
                <w:spacing w:val="0"/>
                <w:w w:val="100"/>
                <w:kern w:val="0"/>
                <w:position w:val="0"/>
                <w:szCs w:val="21"/>
                <w:highlight w:val="none"/>
                <w:lang w:val="en-US" w:eastAsia="zh-CN"/>
              </w:rPr>
              <w:t>0</w:t>
            </w:r>
          </w:p>
        </w:tc>
        <w:tc>
          <w:tcPr>
            <w:tcW w:w="1770" w:type="dxa"/>
            <w:vMerge w:val="restart"/>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危险废物（HW01）</w:t>
            </w:r>
          </w:p>
        </w:tc>
        <w:tc>
          <w:tcPr>
            <w:tcW w:w="3303" w:type="dxa"/>
            <w:vMerge w:val="restart"/>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病死牛尸体及胎盘</w:t>
            </w:r>
            <w:r>
              <w:rPr>
                <w:rFonts w:hint="default" w:ascii="Times New Roman" w:hAnsi="Times New Roman" w:eastAsia="宋体" w:cs="Times New Roman"/>
                <w:bCs/>
                <w:color w:val="auto"/>
                <w:spacing w:val="0"/>
                <w:w w:val="100"/>
                <w:kern w:val="0"/>
                <w:position w:val="0"/>
                <w:szCs w:val="21"/>
                <w:highlight w:val="none"/>
                <w:lang w:eastAsia="zh-CN"/>
              </w:rPr>
              <w:t>由防疫部门专车拉运至</w:t>
            </w:r>
            <w:r>
              <w:rPr>
                <w:rFonts w:hint="default" w:ascii="Times New Roman" w:hAnsi="Times New Roman" w:eastAsia="宋体" w:cs="Times New Roman"/>
                <w:bCs/>
                <w:color w:val="auto"/>
                <w:spacing w:val="0"/>
                <w:w w:val="100"/>
                <w:kern w:val="0"/>
                <w:position w:val="0"/>
                <w:szCs w:val="21"/>
                <w:highlight w:val="none"/>
              </w:rPr>
              <w:t>无害化填埋</w:t>
            </w:r>
            <w:r>
              <w:rPr>
                <w:rFonts w:hint="default" w:ascii="Times New Roman" w:hAnsi="Times New Roman" w:eastAsia="宋体" w:cs="Times New Roman"/>
                <w:bCs/>
                <w:color w:val="auto"/>
                <w:spacing w:val="0"/>
                <w:w w:val="100"/>
                <w:kern w:val="0"/>
                <w:position w:val="0"/>
                <w:szCs w:val="21"/>
                <w:highlight w:val="none"/>
                <w:lang w:eastAsia="zh-CN"/>
              </w:rPr>
              <w:t>中心</w:t>
            </w:r>
            <w:r>
              <w:rPr>
                <w:rFonts w:hint="default" w:ascii="Times New Roman" w:hAnsi="Times New Roman" w:eastAsia="宋体" w:cs="Times New Roman"/>
                <w:bCs/>
                <w:color w:val="auto"/>
                <w:spacing w:val="0"/>
                <w:w w:val="100"/>
                <w:kern w:val="0"/>
                <w:position w:val="0"/>
                <w:szCs w:val="21"/>
                <w:highlight w:val="none"/>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3" w:type="dxa"/>
            <w:vMerge w:val="continue"/>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972" w:type="dxa"/>
            <w:vMerge w:val="continue"/>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256"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胎盘</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6.3</w:t>
            </w:r>
          </w:p>
        </w:tc>
        <w:tc>
          <w:tcPr>
            <w:tcW w:w="1770" w:type="dxa"/>
            <w:vMerge w:val="continue"/>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3303" w:type="dxa"/>
            <w:vMerge w:val="continue"/>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3</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污水处理站</w:t>
            </w:r>
          </w:p>
        </w:tc>
        <w:tc>
          <w:tcPr>
            <w:tcW w:w="12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污泥</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43.46</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一般固废</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运至</w:t>
            </w:r>
            <w:r>
              <w:rPr>
                <w:rFonts w:hint="default" w:ascii="Times New Roman" w:hAnsi="Times New Roman" w:cs="Times New Roman"/>
                <w:bCs/>
                <w:color w:val="auto"/>
                <w:spacing w:val="0"/>
                <w:w w:val="100"/>
                <w:kern w:val="0"/>
                <w:position w:val="0"/>
                <w:szCs w:val="21"/>
                <w:highlight w:val="none"/>
                <w:lang w:eastAsia="zh-CN"/>
              </w:rPr>
              <w:t>堆粪棚</w:t>
            </w:r>
            <w:r>
              <w:rPr>
                <w:rFonts w:hint="default" w:ascii="Times New Roman" w:hAnsi="Times New Roman" w:eastAsia="宋体" w:cs="Times New Roman"/>
                <w:bCs/>
                <w:color w:val="auto"/>
                <w:spacing w:val="0"/>
                <w:w w:val="100"/>
                <w:kern w:val="0"/>
                <w:position w:val="0"/>
                <w:szCs w:val="21"/>
                <w:highlight w:val="none"/>
              </w:rPr>
              <w:t>储存，</w:t>
            </w:r>
            <w:r>
              <w:rPr>
                <w:rFonts w:hint="default" w:ascii="Times New Roman" w:hAnsi="Times New Roman" w:eastAsia="宋体" w:cs="Times New Roman"/>
                <w:bCs/>
                <w:color w:val="auto"/>
                <w:spacing w:val="0"/>
                <w:w w:val="100"/>
                <w:kern w:val="0"/>
                <w:position w:val="0"/>
                <w:szCs w:val="21"/>
                <w:highlight w:val="none"/>
                <w:lang w:eastAsia="zh-CN"/>
              </w:rPr>
              <w:t>与牛粪一起出售给周边农户，还田利用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4</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兽医站</w:t>
            </w:r>
          </w:p>
        </w:tc>
        <w:tc>
          <w:tcPr>
            <w:tcW w:w="12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医疗垃圾</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1.67</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危险废物（HW01）</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交有危废处理资质的单位集中处理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5</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饲料粉碎机</w:t>
            </w:r>
          </w:p>
        </w:tc>
        <w:tc>
          <w:tcPr>
            <w:tcW w:w="12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收尘灰</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1</w:t>
            </w:r>
            <w:r>
              <w:rPr>
                <w:rFonts w:hint="default" w:ascii="Times New Roman" w:hAnsi="Times New Roman" w:cs="Times New Roman"/>
                <w:bCs/>
                <w:color w:val="auto"/>
                <w:spacing w:val="0"/>
                <w:w w:val="100"/>
                <w:kern w:val="0"/>
                <w:position w:val="0"/>
                <w:szCs w:val="21"/>
                <w:highlight w:val="none"/>
                <w:lang w:val="en-US" w:eastAsia="zh-CN"/>
              </w:rPr>
              <w:t>.085</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一般固废</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集中收集，作为饲料利用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6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6</w:t>
            </w:r>
          </w:p>
        </w:tc>
        <w:tc>
          <w:tcPr>
            <w:tcW w:w="972"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办公生活区</w:t>
            </w:r>
          </w:p>
        </w:tc>
        <w:tc>
          <w:tcPr>
            <w:tcW w:w="1256" w:type="dxa"/>
            <w:tcBorders>
              <w:tl2br w:val="nil"/>
              <w:tr2bl w:val="nil"/>
            </w:tcBorders>
            <w:noWrap w:val="0"/>
            <w:vAlign w:val="center"/>
          </w:tcPr>
          <w:p>
            <w:pPr>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生活垃圾</w:t>
            </w:r>
          </w:p>
        </w:tc>
        <w:tc>
          <w:tcPr>
            <w:tcW w:w="117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cs="Times New Roman"/>
                <w:bCs/>
                <w:color w:val="auto"/>
                <w:spacing w:val="0"/>
                <w:w w:val="100"/>
                <w:kern w:val="0"/>
                <w:position w:val="0"/>
                <w:szCs w:val="21"/>
                <w:highlight w:val="none"/>
                <w:lang w:val="en-US" w:eastAsia="zh-CN"/>
              </w:rPr>
              <w:t>3.65</w:t>
            </w:r>
          </w:p>
        </w:tc>
        <w:tc>
          <w:tcPr>
            <w:tcW w:w="1770"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一般固废</w:t>
            </w:r>
          </w:p>
        </w:tc>
        <w:tc>
          <w:tcPr>
            <w:tcW w:w="3303" w:type="dxa"/>
            <w:tcBorders>
              <w:tl2br w:val="nil"/>
              <w:tr2bl w:val="nil"/>
            </w:tcBorders>
            <w:noWrap w:val="0"/>
            <w:vAlign w:val="center"/>
          </w:tcPr>
          <w:p>
            <w:pPr>
              <w:tabs>
                <w:tab w:val="left" w:pos="7020"/>
              </w:tabs>
              <w:autoSpaceDE w:val="0"/>
              <w:autoSpaceDN w:val="0"/>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交由环卫部门集中处置</w:t>
            </w:r>
          </w:p>
        </w:tc>
      </w:tr>
    </w:tbl>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由表5.</w:t>
      </w:r>
      <w:r>
        <w:rPr>
          <w:rFonts w:hint="default" w:ascii="Times New Roman" w:hAnsi="Times New Roman" w:eastAsia="宋体" w:cs="Times New Roman"/>
          <w:color w:val="auto"/>
          <w:spacing w:val="0"/>
          <w:w w:val="100"/>
          <w:kern w:val="0"/>
          <w:position w:val="0"/>
          <w:sz w:val="24"/>
          <w:highlight w:val="none"/>
          <w:lang w:val="en-US" w:eastAsia="zh-CN"/>
        </w:rPr>
        <w:t>5-1</w:t>
      </w:r>
      <w:r>
        <w:rPr>
          <w:rFonts w:hint="default" w:ascii="Times New Roman" w:hAnsi="Times New Roman" w:eastAsia="宋体" w:cs="Times New Roman"/>
          <w:color w:val="auto"/>
          <w:spacing w:val="0"/>
          <w:w w:val="100"/>
          <w:kern w:val="0"/>
          <w:position w:val="0"/>
          <w:sz w:val="24"/>
          <w:highlight w:val="none"/>
        </w:rPr>
        <w:t>可知，本项目产生的固体废物，遵循</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资源化、减量化、无害化</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的处理原则，均采取了切实有效的处理处置措施，确保本项目各类固体废物妥善、安全处置，对环境影响较小。</w:t>
      </w:r>
    </w:p>
    <w:p>
      <w:pPr>
        <w:pStyle w:val="4"/>
        <w:keepNext/>
        <w:keepLines/>
        <w:pageBreakBefore w:val="0"/>
        <w:widowControl w:val="0"/>
        <w:kinsoku/>
        <w:wordWrap/>
        <w:overflowPunct/>
        <w:topLinePunct w:val="0"/>
        <w:autoSpaceDE/>
        <w:autoSpaceDN/>
        <w:bidi w:val="0"/>
        <w:adjustRightInd w:val="0"/>
        <w:snapToGrid w:val="0"/>
        <w:spacing w:before="62" w:beforeLines="20" w:line="348" w:lineRule="auto"/>
        <w:textAlignment w:val="auto"/>
        <w:outlineLvl w:val="1"/>
        <w:rPr>
          <w:rFonts w:hint="default" w:ascii="Times New Roman" w:hAnsi="Times New Roman" w:eastAsia="宋体" w:cs="Times New Roman"/>
          <w:color w:val="auto"/>
          <w:spacing w:val="0"/>
          <w:w w:val="100"/>
          <w:kern w:val="0"/>
          <w:position w:val="0"/>
          <w:highlight w:val="none"/>
        </w:rPr>
      </w:pPr>
      <w:bookmarkStart w:id="892" w:name="_Toc2425"/>
      <w:bookmarkStart w:id="893" w:name="_Toc6392"/>
      <w:bookmarkStart w:id="894" w:name="_Toc28782"/>
      <w:bookmarkStart w:id="895" w:name="_Toc24248"/>
      <w:bookmarkStart w:id="896" w:name="_Toc17786"/>
      <w:bookmarkStart w:id="897" w:name="_Toc32000"/>
      <w:bookmarkStart w:id="898" w:name="_Toc19543"/>
      <w:r>
        <w:rPr>
          <w:rFonts w:hint="default" w:ascii="Times New Roman" w:hAnsi="Times New Roman" w:eastAsia="宋体" w:cs="Times New Roman"/>
          <w:color w:val="auto"/>
          <w:spacing w:val="0"/>
          <w:w w:val="100"/>
          <w:kern w:val="0"/>
          <w:position w:val="0"/>
          <w:highlight w:val="none"/>
        </w:rPr>
        <w:t>5.6土壤环境影响分析</w:t>
      </w:r>
      <w:bookmarkEnd w:id="892"/>
      <w:bookmarkEnd w:id="893"/>
      <w:bookmarkEnd w:id="894"/>
      <w:bookmarkEnd w:id="895"/>
      <w:bookmarkEnd w:id="896"/>
      <w:bookmarkEnd w:id="897"/>
      <w:bookmarkEnd w:id="898"/>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899" w:name="_Toc15666"/>
      <w:bookmarkStart w:id="900" w:name="_Toc15254"/>
      <w:r>
        <w:rPr>
          <w:rFonts w:hint="default" w:ascii="Times New Roman" w:hAnsi="Times New Roman" w:eastAsia="宋体" w:cs="Times New Roman"/>
          <w:snapToGrid w:val="0"/>
          <w:color w:val="auto"/>
          <w:spacing w:val="0"/>
          <w:w w:val="100"/>
          <w:kern w:val="0"/>
          <w:position w:val="0"/>
          <w:sz w:val="28"/>
          <w:szCs w:val="28"/>
          <w:highlight w:val="none"/>
          <w:lang w:val="en-US" w:eastAsia="zh-CN"/>
        </w:rPr>
        <w:t>5.6.1土壤环境影响识别</w:t>
      </w:r>
      <w:bookmarkEnd w:id="899"/>
      <w:bookmarkEnd w:id="900"/>
    </w:p>
    <w:p>
      <w:pPr>
        <w:adjustRightInd w:val="0"/>
        <w:snapToGri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本项目属于新建项目，根据工程组成，可分为建设期、运营期两个阶段对土壤的环境影响。施工期环境影响识别主要针对施工过程中施工机械在使用过程中，施工人员在施工生活过程中，固体废物在临时储存过程中对土壤产生的影响等。</w:t>
      </w:r>
    </w:p>
    <w:p>
      <w:pPr>
        <w:adjustRightInd w:val="0"/>
        <w:snapToGri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highlight w:val="none"/>
          <w:lang w:val="en-US" w:eastAsia="zh-CN"/>
        </w:rPr>
      </w:pPr>
      <w:r>
        <w:rPr>
          <w:rFonts w:hint="default" w:ascii="Times New Roman" w:hAnsi="Times New Roman" w:eastAsia="宋体" w:cs="Times New Roman"/>
          <w:snapToGrid w:val="0"/>
          <w:color w:val="auto"/>
          <w:spacing w:val="0"/>
          <w:w w:val="100"/>
          <w:kern w:val="0"/>
          <w:position w:val="0"/>
          <w:sz w:val="24"/>
          <w:highlight w:val="none"/>
        </w:rPr>
        <w:t>运营期环境影响识别主要针对排放的大气污染物、废水污染物、固体废物等，本项目主要养殖区牛舍牛尿下渗污染土壤、污水沉淀池废水下渗污染土壤。饲料加工、</w:t>
      </w:r>
      <w:r>
        <w:rPr>
          <w:rFonts w:hint="default" w:ascii="Times New Roman" w:hAnsi="Times New Roman" w:cs="Times New Roman"/>
          <w:snapToGrid w:val="0"/>
          <w:color w:val="auto"/>
          <w:spacing w:val="0"/>
          <w:w w:val="100"/>
          <w:kern w:val="0"/>
          <w:position w:val="0"/>
          <w:sz w:val="24"/>
          <w:highlight w:val="none"/>
          <w:lang w:eastAsia="zh-CN"/>
        </w:rPr>
        <w:t>堆粪棚</w:t>
      </w:r>
      <w:r>
        <w:rPr>
          <w:rFonts w:hint="default" w:ascii="Times New Roman" w:hAnsi="Times New Roman" w:eastAsia="宋体" w:cs="Times New Roman"/>
          <w:snapToGrid w:val="0"/>
          <w:color w:val="auto"/>
          <w:spacing w:val="0"/>
          <w:w w:val="100"/>
          <w:kern w:val="0"/>
          <w:position w:val="0"/>
          <w:sz w:val="24"/>
          <w:highlight w:val="none"/>
        </w:rPr>
        <w:t>及牛舍废气污染物无组织排放后，硫化氢、氨、颗粒物落至土壤会随时间累计，造成大气沉降影响；污水沉淀池如事故防范措施不到位，会发生地面漫流影响，同时也会发生泄露导致垂直入渗影响。</w:t>
      </w:r>
    </w:p>
    <w:p>
      <w:pPr>
        <w:adjustRightInd w:val="0"/>
        <w:snapToGri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本项目对土壤的影响类型和途径见表</w:t>
      </w:r>
      <w:r>
        <w:rPr>
          <w:rFonts w:hint="default" w:ascii="Times New Roman" w:hAnsi="Times New Roman" w:eastAsia="宋体" w:cs="Times New Roman"/>
          <w:snapToGrid w:val="0"/>
          <w:color w:val="auto"/>
          <w:spacing w:val="0"/>
          <w:w w:val="100"/>
          <w:kern w:val="0"/>
          <w:position w:val="0"/>
          <w:sz w:val="24"/>
          <w:highlight w:val="none"/>
          <w:lang w:val="en-US" w:eastAsia="zh-CN"/>
        </w:rPr>
        <w:t>5.6-1</w:t>
      </w:r>
      <w:r>
        <w:rPr>
          <w:rFonts w:hint="default" w:ascii="Times New Roman" w:hAnsi="Times New Roman" w:eastAsia="宋体" w:cs="Times New Roman"/>
          <w:snapToGrid w:val="0"/>
          <w:color w:val="auto"/>
          <w:spacing w:val="0"/>
          <w:w w:val="100"/>
          <w:kern w:val="0"/>
          <w:position w:val="0"/>
          <w:sz w:val="24"/>
          <w:highlight w:val="none"/>
        </w:rPr>
        <w:t>。本项目土壤环境影响识别见表</w:t>
      </w:r>
      <w:r>
        <w:rPr>
          <w:rFonts w:hint="default" w:ascii="Times New Roman" w:hAnsi="Times New Roman" w:eastAsia="宋体" w:cs="Times New Roman"/>
          <w:snapToGrid w:val="0"/>
          <w:color w:val="auto"/>
          <w:spacing w:val="0"/>
          <w:w w:val="100"/>
          <w:kern w:val="0"/>
          <w:position w:val="0"/>
          <w:sz w:val="24"/>
          <w:highlight w:val="none"/>
          <w:lang w:val="en-US" w:eastAsia="zh-CN"/>
        </w:rPr>
        <w:t>5.6-2</w:t>
      </w:r>
      <w:r>
        <w:rPr>
          <w:rFonts w:hint="default" w:ascii="Times New Roman" w:hAnsi="Times New Roman" w:eastAsia="宋体" w:cs="Times New Roman"/>
          <w:snapToGrid w:val="0"/>
          <w:color w:val="auto"/>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表5.6-1   本项目土壤影响类型与途径表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458"/>
        <w:gridCol w:w="2169"/>
        <w:gridCol w:w="2154"/>
        <w:gridCol w:w="223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58" w:type="dxa"/>
            <w:vMerge w:val="restart"/>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不同时段</w:t>
            </w:r>
          </w:p>
        </w:tc>
        <w:tc>
          <w:tcPr>
            <w:tcW w:w="6556" w:type="dxa"/>
            <w:gridSpan w:val="3"/>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污染影响型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58" w:type="dxa"/>
            <w:vMerge w:val="continue"/>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p>
        </w:tc>
        <w:tc>
          <w:tcPr>
            <w:tcW w:w="2169"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大气沉降</w:t>
            </w:r>
          </w:p>
        </w:tc>
        <w:tc>
          <w:tcPr>
            <w:tcW w:w="2154"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地面漫流</w:t>
            </w:r>
          </w:p>
        </w:tc>
        <w:tc>
          <w:tcPr>
            <w:tcW w:w="2233"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垂直入渗</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58"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建设期</w:t>
            </w:r>
          </w:p>
        </w:tc>
        <w:tc>
          <w:tcPr>
            <w:tcW w:w="216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15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23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58"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运营期</w:t>
            </w:r>
          </w:p>
        </w:tc>
        <w:tc>
          <w:tcPr>
            <w:tcW w:w="216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15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23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58"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服务期满后</w:t>
            </w:r>
          </w:p>
        </w:tc>
        <w:tc>
          <w:tcPr>
            <w:tcW w:w="216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154"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223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表5.6-2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 本项目土壤影响类型与途径表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43"/>
        <w:gridCol w:w="1513"/>
        <w:gridCol w:w="1239"/>
        <w:gridCol w:w="2201"/>
        <w:gridCol w:w="1926"/>
        <w:gridCol w:w="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43"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污染源</w:t>
            </w:r>
          </w:p>
        </w:tc>
        <w:tc>
          <w:tcPr>
            <w:tcW w:w="1513"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工艺流程/节点</w:t>
            </w:r>
          </w:p>
        </w:tc>
        <w:tc>
          <w:tcPr>
            <w:tcW w:w="1239"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污染途径</w:t>
            </w:r>
          </w:p>
        </w:tc>
        <w:tc>
          <w:tcPr>
            <w:tcW w:w="2201"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全部污染物指标</w:t>
            </w:r>
          </w:p>
        </w:tc>
        <w:tc>
          <w:tcPr>
            <w:tcW w:w="1926"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土壤污染因子</w:t>
            </w:r>
          </w:p>
        </w:tc>
        <w:tc>
          <w:tcPr>
            <w:tcW w:w="792"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养殖区</w:t>
            </w:r>
          </w:p>
        </w:tc>
        <w:tc>
          <w:tcPr>
            <w:tcW w:w="15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牛舍</w:t>
            </w:r>
          </w:p>
        </w:tc>
        <w:tc>
          <w:tcPr>
            <w:tcW w:w="123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垂直入渗</w:t>
            </w:r>
          </w:p>
        </w:tc>
        <w:tc>
          <w:tcPr>
            <w:tcW w:w="2201"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牛尿积粪便</w:t>
            </w:r>
          </w:p>
        </w:tc>
        <w:tc>
          <w:tcPr>
            <w:tcW w:w="1926"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w:t>
            </w:r>
          </w:p>
        </w:tc>
        <w:tc>
          <w:tcPr>
            <w:tcW w:w="792"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对标</w:t>
            </w:r>
          </w:p>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筛选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cs="Times New Roman"/>
                <w:color w:val="auto"/>
                <w:spacing w:val="0"/>
                <w:w w:val="100"/>
                <w:kern w:val="0"/>
                <w:position w:val="0"/>
                <w:szCs w:val="21"/>
                <w:highlight w:val="none"/>
                <w:lang w:eastAsia="zh-CN"/>
              </w:rPr>
              <w:t>堆粪棚</w:t>
            </w:r>
          </w:p>
        </w:tc>
        <w:tc>
          <w:tcPr>
            <w:tcW w:w="15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污染物排放</w:t>
            </w:r>
          </w:p>
        </w:tc>
        <w:tc>
          <w:tcPr>
            <w:tcW w:w="123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大气沉降</w:t>
            </w:r>
          </w:p>
        </w:tc>
        <w:tc>
          <w:tcPr>
            <w:tcW w:w="2201"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硫化氢、氨、TSP</w:t>
            </w:r>
          </w:p>
        </w:tc>
        <w:tc>
          <w:tcPr>
            <w:tcW w:w="1926"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792"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bl>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结合项目主要原辅料、污染物等分析，对照</w:t>
      </w:r>
      <w:r>
        <w:rPr>
          <w:rFonts w:hint="default" w:ascii="Times New Roman" w:hAnsi="Times New Roman" w:eastAsia="宋体" w:cs="Times New Roman"/>
          <w:color w:val="auto"/>
          <w:spacing w:val="0"/>
          <w:w w:val="100"/>
          <w:kern w:val="0"/>
          <w:position w:val="0"/>
          <w:sz w:val="24"/>
          <w:highlight w:val="none"/>
        </w:rPr>
        <w:t>《土壤环境质量 农用地土壤污染风险管控标准》（试行）（GB15618-2018）</w:t>
      </w:r>
      <w:r>
        <w:rPr>
          <w:rFonts w:hint="default" w:ascii="Times New Roman" w:hAnsi="Times New Roman" w:eastAsia="宋体" w:cs="Times New Roman"/>
          <w:snapToGrid w:val="0"/>
          <w:color w:val="auto"/>
          <w:spacing w:val="0"/>
          <w:w w:val="100"/>
          <w:kern w:val="0"/>
          <w:position w:val="0"/>
          <w:sz w:val="24"/>
          <w:highlight w:val="none"/>
        </w:rPr>
        <w:t>，本项目无土壤污染</w:t>
      </w:r>
      <w:r>
        <w:rPr>
          <w:rFonts w:hint="default" w:ascii="Times New Roman" w:hAnsi="Times New Roman" w:eastAsia="宋体" w:cs="Times New Roman"/>
          <w:snapToGrid w:val="0"/>
          <w:color w:val="auto"/>
          <w:spacing w:val="0"/>
          <w:w w:val="100"/>
          <w:kern w:val="0"/>
          <w:position w:val="0"/>
          <w:sz w:val="24"/>
          <w:highlight w:val="none"/>
          <w:lang w:eastAsia="zh-CN"/>
        </w:rPr>
        <w:t>特征</w:t>
      </w:r>
      <w:r>
        <w:rPr>
          <w:rFonts w:hint="default" w:ascii="Times New Roman" w:hAnsi="Times New Roman" w:eastAsia="宋体" w:cs="Times New Roman"/>
          <w:snapToGrid w:val="0"/>
          <w:color w:val="auto"/>
          <w:spacing w:val="0"/>
          <w:w w:val="100"/>
          <w:kern w:val="0"/>
          <w:position w:val="0"/>
          <w:sz w:val="24"/>
          <w:highlight w:val="none"/>
        </w:rPr>
        <w:t>因子，因此，本次不进行大气沉降和垂直入渗的土壤环境影响预测。</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01" w:name="_Toc28684"/>
      <w:bookmarkStart w:id="902" w:name="_Toc16482"/>
      <w:r>
        <w:rPr>
          <w:rFonts w:hint="default" w:ascii="Times New Roman" w:hAnsi="Times New Roman" w:eastAsia="宋体" w:cs="Times New Roman"/>
          <w:snapToGrid w:val="0"/>
          <w:color w:val="auto"/>
          <w:spacing w:val="0"/>
          <w:w w:val="100"/>
          <w:kern w:val="0"/>
          <w:position w:val="0"/>
          <w:sz w:val="28"/>
          <w:szCs w:val="28"/>
          <w:highlight w:val="none"/>
          <w:lang w:val="en-US" w:eastAsia="zh-CN"/>
        </w:rPr>
        <w:t>5.6.2土壤环境影响分析</w:t>
      </w:r>
      <w:bookmarkEnd w:id="901"/>
      <w:bookmarkEnd w:id="902"/>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w:t>
      </w:r>
      <w:r>
        <w:rPr>
          <w:rFonts w:hint="default" w:ascii="Times New Roman" w:hAnsi="Times New Roman" w:eastAsia="宋体" w:cs="Times New Roman"/>
          <w:color w:val="auto"/>
          <w:spacing w:val="0"/>
          <w:w w:val="100"/>
          <w:kern w:val="0"/>
          <w:position w:val="0"/>
          <w:sz w:val="24"/>
          <w:highlight w:val="none"/>
          <w:lang w:eastAsia="zh-CN"/>
        </w:rPr>
        <w:t>位于</w:t>
      </w:r>
      <w:r>
        <w:rPr>
          <w:rFonts w:hint="default" w:ascii="Times New Roman" w:hAnsi="Times New Roman" w:eastAsia="宋体" w:cs="Times New Roman"/>
          <w:b w:val="0"/>
          <w:bCs w:val="0"/>
          <w:color w:val="auto"/>
          <w:spacing w:val="0"/>
          <w:w w:val="100"/>
          <w:kern w:val="0"/>
          <w:position w:val="0"/>
          <w:sz w:val="24"/>
          <w:szCs w:val="24"/>
          <w:lang w:val="en-US" w:eastAsia="zh-CN"/>
        </w:rPr>
        <w:t>同心县下马关镇上垣村</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eastAsia="zh-CN"/>
        </w:rPr>
        <w:t>项目厂址周围</w:t>
      </w:r>
      <w:r>
        <w:rPr>
          <w:rFonts w:hint="default" w:ascii="Times New Roman" w:hAnsi="Times New Roman" w:eastAsia="宋体" w:cs="Times New Roman"/>
          <w:color w:val="auto"/>
          <w:spacing w:val="0"/>
          <w:w w:val="100"/>
          <w:kern w:val="0"/>
          <w:position w:val="0"/>
          <w:sz w:val="24"/>
          <w:highlight w:val="none"/>
        </w:rPr>
        <w:t>用地</w:t>
      </w:r>
      <w:r>
        <w:rPr>
          <w:rFonts w:hint="default" w:ascii="Times New Roman" w:hAnsi="Times New Roman" w:eastAsia="宋体" w:cs="Times New Roman"/>
          <w:color w:val="auto"/>
          <w:spacing w:val="0"/>
          <w:w w:val="100"/>
          <w:kern w:val="0"/>
          <w:position w:val="0"/>
          <w:sz w:val="24"/>
          <w:highlight w:val="none"/>
          <w:lang w:eastAsia="zh-CN"/>
        </w:rPr>
        <w:t>现状为农田，用地</w:t>
      </w:r>
      <w:r>
        <w:rPr>
          <w:rFonts w:hint="default" w:ascii="Times New Roman" w:hAnsi="Times New Roman" w:eastAsia="宋体" w:cs="Times New Roman"/>
          <w:color w:val="auto"/>
          <w:spacing w:val="0"/>
          <w:w w:val="100"/>
          <w:kern w:val="0"/>
          <w:position w:val="0"/>
          <w:sz w:val="24"/>
          <w:highlight w:val="none"/>
        </w:rPr>
        <w:t>类型属于设施农用地，项目土壤环境评价工作等级为</w:t>
      </w:r>
      <w:r>
        <w:rPr>
          <w:rFonts w:hint="default" w:ascii="Times New Roman" w:hAnsi="Times New Roman" w:eastAsia="宋体" w:cs="Times New Roman"/>
          <w:b w:val="0"/>
          <w:bCs w:val="0"/>
          <w:color w:val="auto"/>
          <w:spacing w:val="0"/>
          <w:w w:val="100"/>
          <w:kern w:val="0"/>
          <w:position w:val="0"/>
          <w:sz w:val="24"/>
          <w:highlight w:val="none"/>
        </w:rPr>
        <w:t>三级</w:t>
      </w:r>
      <w:r>
        <w:rPr>
          <w:rFonts w:hint="default" w:ascii="Times New Roman" w:hAnsi="Times New Roman" w:eastAsia="宋体" w:cs="Times New Roman"/>
          <w:color w:val="auto"/>
          <w:spacing w:val="0"/>
          <w:w w:val="100"/>
          <w:kern w:val="0"/>
          <w:position w:val="0"/>
          <w:sz w:val="24"/>
          <w:highlight w:val="none"/>
        </w:rPr>
        <w:t>，为污染影响型建设项目。</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本项目运营</w:t>
      </w:r>
      <w:r>
        <w:rPr>
          <w:rFonts w:hint="default" w:ascii="Times New Roman" w:hAnsi="Times New Roman" w:eastAsia="宋体" w:cs="Times New Roman"/>
          <w:color w:val="auto"/>
          <w:spacing w:val="0"/>
          <w:w w:val="100"/>
          <w:kern w:val="0"/>
          <w:position w:val="0"/>
          <w:sz w:val="24"/>
          <w:szCs w:val="24"/>
          <w:highlight w:val="none"/>
        </w:rPr>
        <w:t>期虽无土壤污染因子产生，</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采取硬化防渗处理，</w:t>
      </w:r>
      <w:r>
        <w:rPr>
          <w:rFonts w:hint="default" w:ascii="Times New Roman" w:hAnsi="Times New Roman" w:cs="Times New Roman"/>
          <w:color w:val="auto"/>
          <w:spacing w:val="2"/>
          <w:sz w:val="24"/>
          <w:szCs w:val="24"/>
        </w:rPr>
        <w:t>防渗层的性</w:t>
      </w:r>
      <w:r>
        <w:rPr>
          <w:rFonts w:hint="default" w:ascii="Times New Roman" w:hAnsi="Times New Roman" w:cs="Times New Roman"/>
          <w:color w:val="auto"/>
          <w:sz w:val="24"/>
          <w:szCs w:val="24"/>
        </w:rPr>
        <w:t>能不低于</w:t>
      </w:r>
      <w:r>
        <w:rPr>
          <w:rFonts w:hint="default" w:ascii="Times New Roman" w:hAnsi="Times New Roman" w:cs="Times New Roman"/>
          <w:color w:val="auto"/>
          <w:spacing w:val="-61"/>
          <w:sz w:val="24"/>
          <w:szCs w:val="24"/>
        </w:rPr>
        <w:t xml:space="preserve"> </w:t>
      </w:r>
      <w:r>
        <w:rPr>
          <w:rFonts w:hint="default" w:ascii="Times New Roman" w:hAnsi="Times New Roman" w:eastAsia="Times New Roman" w:cs="Times New Roman"/>
          <w:color w:val="auto"/>
          <w:sz w:val="24"/>
          <w:szCs w:val="24"/>
        </w:rPr>
        <w:t>6.0m</w:t>
      </w:r>
      <w:r>
        <w:rPr>
          <w:rFonts w:hint="default" w:ascii="Times New Roman" w:hAnsi="Times New Roman" w:cs="Times New Roman"/>
          <w:color w:val="auto"/>
          <w:sz w:val="24"/>
          <w:szCs w:val="24"/>
        </w:rPr>
        <w:t>厚渗透系数为</w:t>
      </w:r>
      <w:r>
        <w:rPr>
          <w:rFonts w:hint="default" w:ascii="Times New Roman" w:hAnsi="Times New Roman" w:cs="Times New Roman"/>
          <w:color w:val="auto"/>
          <w:spacing w:val="-58"/>
          <w:sz w:val="24"/>
          <w:szCs w:val="24"/>
        </w:rPr>
        <w:t xml:space="preserve"> </w:t>
      </w:r>
      <w:r>
        <w:rPr>
          <w:rFonts w:hint="default" w:ascii="Times New Roman" w:hAnsi="Times New Roman" w:eastAsia="Times New Roman" w:cs="Times New Roman"/>
          <w:color w:val="auto"/>
          <w:sz w:val="24"/>
          <w:szCs w:val="24"/>
        </w:rPr>
        <w:t>1.0</w:t>
      </w:r>
      <w:r>
        <w:rPr>
          <w:rFonts w:hint="default" w:ascii="Times New Roman" w:hAnsi="Times New Roman" w:eastAsia="Times New Roman" w:cs="Times New Roman"/>
          <w:color w:val="auto"/>
          <w:spacing w:val="-1"/>
          <w:sz w:val="24"/>
          <w:szCs w:val="24"/>
        </w:rPr>
        <w:t>×</w:t>
      </w:r>
      <w:r>
        <w:rPr>
          <w:rFonts w:hint="default" w:ascii="Times New Roman" w:hAnsi="Times New Roman" w:eastAsia="Times New Roman" w:cs="Times New Roman"/>
          <w:color w:val="auto"/>
          <w:sz w:val="24"/>
          <w:szCs w:val="24"/>
        </w:rPr>
        <w:t>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Times New Roman" w:cs="Times New Roman"/>
          <w:color w:val="auto"/>
          <w:spacing w:val="-1"/>
          <w:sz w:val="24"/>
          <w:szCs w:val="24"/>
        </w:rPr>
        <w:t>c</w:t>
      </w:r>
      <w:r>
        <w:rPr>
          <w:rFonts w:hint="default" w:ascii="Times New Roman" w:hAnsi="Times New Roman" w:eastAsia="Times New Roman" w:cs="Times New Roman"/>
          <w:color w:val="auto"/>
          <w:sz w:val="24"/>
          <w:szCs w:val="24"/>
        </w:rPr>
        <w:t>m/s</w:t>
      </w:r>
      <w:r>
        <w:rPr>
          <w:rFonts w:hint="default" w:ascii="Times New Roman" w:hAnsi="Times New Roman" w:cs="Times New Roman"/>
          <w:color w:val="auto"/>
          <w:sz w:val="24"/>
          <w:szCs w:val="24"/>
        </w:rPr>
        <w:t>的黏土层</w:t>
      </w:r>
      <w:r>
        <w:rPr>
          <w:rFonts w:hint="default" w:ascii="Times New Roman" w:hAnsi="Times New Roman" w:cs="Times New Roman"/>
          <w:color w:val="auto"/>
          <w:spacing w:val="-106"/>
          <w:sz w:val="24"/>
          <w:szCs w:val="24"/>
        </w:rPr>
        <w:t>；</w:t>
      </w:r>
      <w:r>
        <w:rPr>
          <w:rFonts w:hint="default" w:ascii="Times New Roman" w:hAnsi="Times New Roman" w:cs="Times New Roman"/>
          <w:color w:val="auto"/>
          <w:sz w:val="24"/>
          <w:szCs w:val="24"/>
        </w:rPr>
        <w:t>危险废物暂存</w:t>
      </w:r>
      <w:r>
        <w:rPr>
          <w:rFonts w:hint="default" w:ascii="Times New Roman" w:hAnsi="Times New Roman" w:cs="Times New Roman"/>
          <w:color w:val="auto"/>
          <w:spacing w:val="2"/>
          <w:sz w:val="24"/>
          <w:szCs w:val="24"/>
        </w:rPr>
        <w:t>间</w:t>
      </w:r>
      <w:r>
        <w:rPr>
          <w:rFonts w:hint="default" w:ascii="Times New Roman" w:hAnsi="Times New Roman" w:cs="Times New Roman"/>
          <w:color w:val="auto"/>
          <w:sz w:val="24"/>
          <w:szCs w:val="24"/>
        </w:rPr>
        <w:t>地面和墙</w:t>
      </w:r>
      <w:r>
        <w:rPr>
          <w:rFonts w:hint="default" w:ascii="Times New Roman" w:hAnsi="Times New Roman" w:cs="Times New Roman"/>
          <w:color w:val="auto"/>
          <w:spacing w:val="-106"/>
          <w:sz w:val="24"/>
          <w:szCs w:val="24"/>
        </w:rPr>
        <w:t>裙</w:t>
      </w:r>
      <w:r>
        <w:rPr>
          <w:rFonts w:hint="default" w:ascii="Times New Roman" w:hAnsi="Times New Roman" w:cs="Times New Roman"/>
          <w:color w:val="auto"/>
          <w:sz w:val="24"/>
          <w:szCs w:val="24"/>
        </w:rPr>
        <w:t>（不低于</w:t>
      </w:r>
      <w:r>
        <w:rPr>
          <w:rFonts w:hint="default" w:ascii="Times New Roman" w:hAnsi="Times New Roman" w:cs="Times New Roman"/>
          <w:color w:val="auto"/>
          <w:spacing w:val="-59"/>
          <w:sz w:val="24"/>
          <w:szCs w:val="24"/>
        </w:rPr>
        <w:t xml:space="preserve"> </w:t>
      </w:r>
      <w:r>
        <w:rPr>
          <w:rFonts w:hint="default" w:ascii="Times New Roman" w:hAnsi="Times New Roman" w:eastAsia="Times New Roman" w:cs="Times New Roman"/>
          <w:color w:val="auto"/>
          <w:sz w:val="24"/>
          <w:szCs w:val="24"/>
        </w:rPr>
        <w:t>1.0m</w:t>
      </w:r>
      <w:r>
        <w:rPr>
          <w:rFonts w:hint="default" w:ascii="Times New Roman" w:hAnsi="Times New Roman" w:cs="Times New Roman"/>
          <w:color w:val="auto"/>
          <w:sz w:val="24"/>
          <w:szCs w:val="24"/>
        </w:rPr>
        <w:t>高）硬化防渗处理，基础必须防渗，防渗层为至少</w:t>
      </w:r>
      <w:r>
        <w:rPr>
          <w:rFonts w:hint="default" w:ascii="Times New Roman" w:hAnsi="Times New Roman" w:cs="Times New Roman"/>
          <w:color w:val="auto"/>
          <w:spacing w:val="-61"/>
          <w:sz w:val="24"/>
          <w:szCs w:val="24"/>
        </w:rPr>
        <w:t xml:space="preserve"> </w:t>
      </w:r>
      <w:r>
        <w:rPr>
          <w:rFonts w:hint="default" w:ascii="Times New Roman" w:hAnsi="Times New Roman" w:eastAsia="Times New Roman" w:cs="Times New Roman"/>
          <w:color w:val="auto"/>
          <w:sz w:val="24"/>
          <w:szCs w:val="24"/>
        </w:rPr>
        <w:t>1m</w:t>
      </w:r>
      <w:r>
        <w:rPr>
          <w:rFonts w:hint="eastAsia" w:ascii="Times New Roman" w:hAnsi="Times New Roman" w:eastAsia="宋体" w:cs="Times New Roman"/>
          <w:color w:val="auto"/>
          <w:spacing w:val="-1"/>
          <w:sz w:val="24"/>
          <w:szCs w:val="24"/>
          <w:lang w:eastAsia="zh-CN"/>
        </w:rPr>
        <w:t>厚</w:t>
      </w:r>
      <w:r>
        <w:rPr>
          <w:rFonts w:hint="default" w:ascii="Times New Roman" w:hAnsi="Times New Roman" w:cs="Times New Roman"/>
          <w:color w:val="auto"/>
          <w:sz w:val="24"/>
          <w:szCs w:val="24"/>
        </w:rPr>
        <w:t>黏土层（渗透系数</w:t>
      </w:r>
      <w:r>
        <w:rPr>
          <w:rFonts w:hint="default" w:ascii="Times New Roman" w:hAnsi="Times New Roman" w:eastAsia="Times New Roman" w:cs="Times New Roman"/>
          <w:color w:val="auto"/>
          <w:sz w:val="24"/>
          <w:szCs w:val="24"/>
        </w:rPr>
        <w:t>≤1.0×10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Times New Roman" w:cs="Times New Roman"/>
          <w:color w:val="auto"/>
          <w:sz w:val="24"/>
          <w:szCs w:val="24"/>
        </w:rPr>
        <w:t>cm/s</w:t>
      </w:r>
      <w:r>
        <w:rPr>
          <w:rFonts w:hint="default" w:ascii="Times New Roman" w:hAnsi="Times New Roman" w:cs="Times New Roman"/>
          <w:color w:val="auto"/>
          <w:sz w:val="24"/>
          <w:szCs w:val="24"/>
        </w:rPr>
        <w:t>），或</w:t>
      </w:r>
      <w:r>
        <w:rPr>
          <w:rFonts w:hint="default" w:ascii="Times New Roman" w:hAnsi="Times New Roman" w:cs="Times New Roman"/>
          <w:color w:val="auto"/>
          <w:spacing w:val="-59"/>
          <w:sz w:val="24"/>
          <w:szCs w:val="24"/>
        </w:rPr>
        <w:t xml:space="preserve"> </w:t>
      </w:r>
      <w:r>
        <w:rPr>
          <w:rFonts w:hint="default" w:ascii="Times New Roman" w:hAnsi="Times New Roman" w:eastAsia="Times New Roman" w:cs="Times New Roman"/>
          <w:color w:val="auto"/>
          <w:sz w:val="24"/>
          <w:szCs w:val="24"/>
        </w:rPr>
        <w:t>2mm</w:t>
      </w:r>
      <w:r>
        <w:rPr>
          <w:rFonts w:hint="default" w:ascii="Times New Roman" w:hAnsi="Times New Roman" w:eastAsia="Times New Roman" w:cs="Times New Roman"/>
          <w:color w:val="auto"/>
          <w:spacing w:val="1"/>
          <w:sz w:val="24"/>
          <w:szCs w:val="24"/>
        </w:rPr>
        <w:t xml:space="preserve"> </w:t>
      </w:r>
      <w:r>
        <w:rPr>
          <w:rFonts w:hint="default" w:ascii="Times New Roman" w:hAnsi="Times New Roman" w:cs="Times New Roman"/>
          <w:color w:val="auto"/>
          <w:spacing w:val="3"/>
          <w:sz w:val="24"/>
          <w:szCs w:val="24"/>
        </w:rPr>
        <w:t>厚高密度聚乙烯，或至少</w:t>
      </w:r>
      <w:r>
        <w:rPr>
          <w:rFonts w:hint="default" w:ascii="Times New Roman" w:hAnsi="Times New Roman" w:cs="Times New Roman"/>
          <w:color w:val="auto"/>
          <w:spacing w:val="-58"/>
          <w:sz w:val="24"/>
          <w:szCs w:val="24"/>
        </w:rPr>
        <w:t xml:space="preserve"> </w:t>
      </w:r>
      <w:r>
        <w:rPr>
          <w:rFonts w:hint="default" w:ascii="Times New Roman" w:hAnsi="Times New Roman" w:eastAsia="Times New Roman" w:cs="Times New Roman"/>
          <w:color w:val="auto"/>
          <w:sz w:val="24"/>
          <w:szCs w:val="24"/>
        </w:rPr>
        <w:t>2mm</w:t>
      </w:r>
      <w:r>
        <w:rPr>
          <w:rFonts w:hint="default" w:ascii="Times New Roman" w:hAnsi="Times New Roman" w:cs="Times New Roman"/>
          <w:color w:val="auto"/>
          <w:spacing w:val="3"/>
          <w:sz w:val="24"/>
          <w:szCs w:val="24"/>
        </w:rPr>
        <w:t>厚的其它人工材料，渗</w:t>
      </w:r>
      <w:r>
        <w:rPr>
          <w:rFonts w:hint="default" w:ascii="Times New Roman" w:hAnsi="Times New Roman" w:cs="Times New Roman"/>
          <w:color w:val="auto"/>
          <w:spacing w:val="2"/>
          <w:sz w:val="24"/>
          <w:szCs w:val="24"/>
        </w:rPr>
        <w:t>透系数</w:t>
      </w:r>
      <w:r>
        <w:rPr>
          <w:rFonts w:hint="default" w:ascii="Times New Roman" w:hAnsi="Times New Roman" w:cs="Times New Roman"/>
          <w:color w:val="auto"/>
          <w:spacing w:val="-53"/>
          <w:sz w:val="24"/>
          <w:szCs w:val="24"/>
        </w:rPr>
        <w:t xml:space="preserve"> </w:t>
      </w:r>
      <w:r>
        <w:rPr>
          <w:rFonts w:hint="default" w:ascii="Times New Roman" w:hAnsi="Times New Roman" w:eastAsia="Times New Roman" w:cs="Times New Roman"/>
          <w:color w:val="auto"/>
          <w:spacing w:val="2"/>
          <w:sz w:val="24"/>
          <w:szCs w:val="24"/>
        </w:rPr>
        <w:t>1.0×10</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Times New Roman" w:cs="Times New Roman"/>
          <w:color w:val="auto"/>
          <w:spacing w:val="2"/>
          <w:sz w:val="24"/>
          <w:szCs w:val="24"/>
        </w:rPr>
        <w:t>cm/s</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0"/>
          <w:w w:val="100"/>
          <w:kern w:val="0"/>
          <w:position w:val="0"/>
          <w:sz w:val="24"/>
          <w:highlight w:val="none"/>
        </w:rPr>
        <w:t>运营期正常情况下不会通过垂直入渗的方式进入周边土壤环境，对土壤环境影响较小。</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另外，本项目为</w:t>
      </w:r>
      <w:r>
        <w:rPr>
          <w:rFonts w:hint="default" w:ascii="Times New Roman" w:hAnsi="Times New Roman" w:eastAsia="宋体" w:cs="Times New Roman"/>
          <w:color w:val="auto"/>
          <w:spacing w:val="0"/>
          <w:w w:val="100"/>
          <w:kern w:val="0"/>
          <w:position w:val="0"/>
          <w:sz w:val="24"/>
          <w:highlight w:val="none"/>
          <w:lang w:eastAsia="zh-CN"/>
        </w:rPr>
        <w:t>奶</w:t>
      </w:r>
      <w:r>
        <w:rPr>
          <w:rFonts w:hint="default" w:ascii="Times New Roman" w:hAnsi="Times New Roman" w:eastAsia="宋体" w:cs="Times New Roman"/>
          <w:color w:val="auto"/>
          <w:spacing w:val="0"/>
          <w:w w:val="100"/>
          <w:kern w:val="0"/>
          <w:position w:val="0"/>
          <w:sz w:val="24"/>
          <w:highlight w:val="none"/>
        </w:rPr>
        <w:t>牛养殖项目，牛粪经收集后送至</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储存，避免了牛粪乱堆污染土壤。干牛粪中含有粗蛋白10%</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20%，粗脂肪1%</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3%，无氮浸出物20%</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30%，粗纤维15%</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30%，因此具有很高的养分。牛粪能蓬松土壤，改善土地板结情况，螯合土地里的微量元素，提升土壤肥力等。</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因此，采取合理措施后本项目牛粪不会对土壤造成不利影响</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根据本项目的特性分析，本项目可能对土壤造成污染的途径主要有：</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大气污染型</w:t>
      </w:r>
      <w:r>
        <w:rPr>
          <w:rFonts w:hint="eastAsia" w:ascii="Times New Roman" w:hAnsi="Times New Roman"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污染物质来源于被污染的大气，它们降落到地表可破坏土壤肥力与生态系统的平衡，各种大气飘尘等降落地面，会造成土壤的污染。</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固体废物污染型</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项目生活垃圾、生产残渣以及医疗垃圾等在运输、贮存过程中通过扩散、降水淋洗等直接或间接地影响土壤。</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⑶</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针对以上土壤污染途径，建设单位应采取以下污染防治措施：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①</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加强环保管理，确保废气污染物达标排放。全场固废分类收集，储存期间严格按照相应储存要求，设置专用的储存场所，在固废的收集运输等过程，注意防止洒落并及时清扫。</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②</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好对设备的维护、检修，切实杜绝</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跑、冒、滴、漏"现象发生，同时，应加强关键部位的安全防护、报警措施，以便及时发现事故隐患，采取有效的应对措施以防事故的发生。</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GB3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③</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项目</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、固废储存场所等均应做好防渗措施，场区主要地面采取硬化等措施，控制污水下渗，减少土壤污染。</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highlight w:val="none"/>
        </w:rPr>
        <w:t>⑷</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做好生产区，粪污堆放及防渗措施。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eastAsia="宋体" w:cs="Times New Roman"/>
          <w:color w:val="auto"/>
          <w:spacing w:val="0"/>
          <w:w w:val="100"/>
          <w:kern w:val="0"/>
          <w:position w:val="0"/>
          <w:sz w:val="24"/>
          <w:highlight w:val="none"/>
        </w:rPr>
        <w:t>另外，本项目为奶</w:t>
      </w:r>
      <w:r>
        <w:rPr>
          <w:rFonts w:hint="default" w:ascii="Times New Roman" w:hAnsi="Times New Roman" w:eastAsia="宋体" w:cs="Times New Roman"/>
          <w:color w:val="auto"/>
          <w:spacing w:val="0"/>
          <w:w w:val="100"/>
          <w:kern w:val="0"/>
          <w:position w:val="0"/>
          <w:sz w:val="24"/>
          <w:highlight w:val="none"/>
          <w:lang w:eastAsia="zh-CN"/>
        </w:rPr>
        <w:t>肉</w:t>
      </w:r>
      <w:r>
        <w:rPr>
          <w:rFonts w:hint="default" w:ascii="Times New Roman" w:hAnsi="Times New Roman" w:eastAsia="宋体" w:cs="Times New Roman"/>
          <w:color w:val="auto"/>
          <w:spacing w:val="0"/>
          <w:w w:val="100"/>
          <w:kern w:val="0"/>
          <w:position w:val="0"/>
          <w:sz w:val="24"/>
          <w:highlight w:val="none"/>
        </w:rPr>
        <w:t>养殖项目，牛粪经收集后送至</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储存，避免了牛粪乱堆污染土壤。干牛粪中含有粗蛋白</w:t>
      </w:r>
      <w:r>
        <w:rPr>
          <w:rFonts w:hint="default" w:ascii="Times New Roman" w:hAnsi="Times New Roman" w:eastAsia="宋体" w:cs="Times New Roman"/>
          <w:color w:val="auto"/>
          <w:spacing w:val="0"/>
          <w:w w:val="100"/>
          <w:kern w:val="0"/>
          <w:position w:val="0"/>
          <w:sz w:val="24"/>
          <w:highlight w:val="none"/>
          <w:lang w:val="en-US" w:eastAsia="zh-CN"/>
        </w:rPr>
        <w:t>10</w:t>
      </w:r>
      <w:r>
        <w:rPr>
          <w:rFonts w:hint="default" w:ascii="Times New Roman" w:hAnsi="Times New Roman" w:eastAsia="宋体" w:cs="Times New Roman"/>
          <w:color w:val="auto"/>
          <w:spacing w:val="0"/>
          <w:w w:val="100"/>
          <w:kern w:val="0"/>
          <w:position w:val="0"/>
          <w:sz w:val="24"/>
          <w:highlight w:val="none"/>
        </w:rPr>
        <w:t>%</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lang w:val="en-US" w:eastAsia="zh-CN"/>
        </w:rPr>
        <w:t>20</w:t>
      </w:r>
      <w:r>
        <w:rPr>
          <w:rFonts w:hint="default" w:ascii="Times New Roman" w:hAnsi="Times New Roman" w:eastAsia="宋体" w:cs="Times New Roman"/>
          <w:color w:val="auto"/>
          <w:spacing w:val="0"/>
          <w:w w:val="100"/>
          <w:kern w:val="0"/>
          <w:position w:val="0"/>
          <w:sz w:val="24"/>
          <w:highlight w:val="none"/>
        </w:rPr>
        <w:t>%，粗脂肪</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3%，无氮浸出物20%</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30%，粗纤维15%</w:t>
      </w:r>
      <w:r>
        <w:rPr>
          <w:rFonts w:hint="eastAsia" w:ascii="Times New Roman" w:hAnsi="Times New Roman" w:cs="Times New Roman"/>
          <w:color w:val="auto"/>
          <w:spacing w:val="0"/>
          <w:w w:val="100"/>
          <w:kern w:val="0"/>
          <w:position w:val="0"/>
          <w:sz w:val="24"/>
          <w:highlight w:val="none"/>
          <w:lang w:val="en-US" w:eastAsia="zh-CN"/>
        </w:rPr>
        <w:t>~</w:t>
      </w:r>
      <w:r>
        <w:rPr>
          <w:rFonts w:hint="default" w:ascii="Times New Roman" w:hAnsi="Times New Roman" w:eastAsia="宋体" w:cs="Times New Roman"/>
          <w:color w:val="auto"/>
          <w:spacing w:val="0"/>
          <w:w w:val="100"/>
          <w:kern w:val="0"/>
          <w:position w:val="0"/>
          <w:sz w:val="24"/>
          <w:highlight w:val="none"/>
        </w:rPr>
        <w:t>30%，因此具有很高的养分。牛粪能蓬松土壤，改善土地板结情况，螯合土地里的微量元素，提升土壤肥力等</w:t>
      </w:r>
      <w:r>
        <w:rPr>
          <w:rFonts w:hint="default" w:ascii="Times New Roman" w:hAnsi="Times New Roman" w:eastAsia="宋体" w:cs="Times New Roman"/>
          <w:color w:val="auto"/>
          <w:spacing w:val="0"/>
          <w:w w:val="100"/>
          <w:kern w:val="0"/>
          <w:position w:val="0"/>
          <w:sz w:val="24"/>
          <w:highlight w:val="none"/>
          <w:lang w:eastAsia="zh-CN"/>
        </w:rPr>
        <w:t>。</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因此，采取合理措施后本项目牛粪不会对土壤造成不利影响。</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根据本项目的特性分析，本项目可能对土壤造成污染的途径主要有：固废、污水泄漏在地面，对土壤造成的污染。</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针对以上土壤污染途径，建设单位应采取以下污染防治措施：</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⑴加强环保管理，确保废气污染物达标排放。全厂固废分类收集，储存期间严格按照相应储存要求，设置专用的储存场所，在固废的收集运输等过程，注意防止洒落并及时清扫。固废储存期间，尽可能采用内衬型编织袋装存，防止渗漏。</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⑵项目废水收集设施、固废储存场所等均应做好防渗措施，厂区主要地面采取硬化等措施，控制污水泄漏，减少土壤污染。</w:t>
      </w:r>
    </w:p>
    <w:p>
      <w:pPr>
        <w:pStyle w:val="3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pacing w:val="0"/>
          <w:w w:val="100"/>
          <w:kern w:val="0"/>
          <w:position w:val="0"/>
          <w:szCs w:val="20"/>
          <w:highlight w:val="none"/>
        </w:rPr>
      </w:pPr>
      <w:r>
        <w:rPr>
          <w:rFonts w:hint="default" w:ascii="Times New Roman" w:hAnsi="Times New Roman" w:eastAsia="宋体" w:cs="Times New Roman"/>
          <w:color w:val="auto"/>
          <w:spacing w:val="0"/>
          <w:w w:val="100"/>
          <w:kern w:val="0"/>
          <w:position w:val="0"/>
          <w:szCs w:val="20"/>
          <w:highlight w:val="none"/>
        </w:rPr>
        <w:t>建设项目土壤环境影响评价自查表详见表</w:t>
      </w:r>
      <w:r>
        <w:rPr>
          <w:rFonts w:hint="default" w:ascii="Times New Roman" w:hAnsi="Times New Roman" w:eastAsia="宋体" w:cs="Times New Roman"/>
          <w:color w:val="auto"/>
          <w:spacing w:val="0"/>
          <w:w w:val="100"/>
          <w:kern w:val="0"/>
          <w:position w:val="0"/>
          <w:szCs w:val="20"/>
          <w:highlight w:val="none"/>
          <w:lang w:val="en-US" w:eastAsia="zh-CN"/>
        </w:rPr>
        <w:t>5.6-3</w:t>
      </w:r>
      <w:r>
        <w:rPr>
          <w:rFonts w:hint="default" w:ascii="Times New Roman" w:hAnsi="Times New Roman" w:eastAsia="宋体" w:cs="Times New Roman"/>
          <w:color w:val="auto"/>
          <w:spacing w:val="0"/>
          <w:w w:val="100"/>
          <w:kern w:val="0"/>
          <w:position w:val="0"/>
          <w:szCs w:val="2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 xml:space="preserve">表5.6-3  </w:t>
      </w:r>
      <w:r>
        <w:rPr>
          <w:rFonts w:hint="eastAsia" w:ascii="Times New Roman" w:hAnsi="Times New Roman" w:cs="Times New Roman"/>
          <w:b/>
          <w:bCs w:val="0"/>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土壤环境影响评价自查表</w:t>
      </w:r>
    </w:p>
    <w:tbl>
      <w:tblPr>
        <w:tblStyle w:val="25"/>
        <w:tblW w:w="90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647"/>
        <w:gridCol w:w="1157"/>
        <w:gridCol w:w="1487"/>
        <w:gridCol w:w="1575"/>
        <w:gridCol w:w="1413"/>
        <w:gridCol w:w="11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263" w:type="dxa"/>
            <w:gridSpan w:val="2"/>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工作内容</w:t>
            </w:r>
          </w:p>
        </w:tc>
        <w:tc>
          <w:tcPr>
            <w:tcW w:w="5632" w:type="dxa"/>
            <w:gridSpan w:val="4"/>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完成情况</w:t>
            </w:r>
          </w:p>
        </w:tc>
        <w:tc>
          <w:tcPr>
            <w:tcW w:w="1119" w:type="dxa"/>
            <w:noWrap w:val="0"/>
            <w:vAlign w:val="center"/>
          </w:tcPr>
          <w:p>
            <w:pPr>
              <w:snapToGrid w:val="0"/>
              <w:jc w:val="center"/>
              <w:rPr>
                <w:rFonts w:hint="default" w:ascii="Times New Roman" w:hAnsi="Times New Roman" w:eastAsia="宋体" w:cs="Times New Roman"/>
                <w:b/>
                <w:bCs/>
                <w:color w:val="auto"/>
                <w:spacing w:val="0"/>
                <w:w w:val="100"/>
                <w:kern w:val="0"/>
                <w:position w:val="0"/>
                <w:szCs w:val="21"/>
                <w:highlight w:val="none"/>
                <w:lang w:eastAsia="en-US"/>
              </w:rPr>
            </w:pPr>
            <w:r>
              <w:rPr>
                <w:rFonts w:hint="default" w:ascii="Times New Roman" w:hAnsi="Times New Roman" w:eastAsia="宋体" w:cs="Times New Roman"/>
                <w:b/>
                <w:bCs/>
                <w:color w:val="auto"/>
                <w:spacing w:val="0"/>
                <w:w w:val="100"/>
                <w:kern w:val="0"/>
                <w:position w:val="0"/>
                <w:szCs w:val="21"/>
                <w:highlight w:val="none"/>
                <w:lang w:eastAsia="en-US"/>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6"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影响识别</w:t>
            </w: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影响类型</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污染影响型</w:t>
            </w:r>
            <w:r>
              <w:rPr>
                <w:rFonts w:hint="default" w:ascii="Times New Roman" w:hAnsi="Times New Roman" w:eastAsia="宋体"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；生态影响型□；两种兼有□</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土地利用类型</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建设用地□；农用地</w:t>
            </w:r>
            <w:r>
              <w:rPr>
                <w:rFonts w:hint="default" w:ascii="Times New Roman" w:hAnsi="Times New Roman" w:eastAsia="宋体"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；未利用地□</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土地利用类</w:t>
            </w:r>
          </w:p>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型图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占地规模</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eastAsia="en-US"/>
              </w:rPr>
              <w:t>（22.13798）hm</w:t>
            </w:r>
            <w:r>
              <w:rPr>
                <w:rFonts w:hint="default" w:ascii="Times New Roman" w:hAnsi="Times New Roman" w:eastAsia="宋体" w:cs="Times New Roman"/>
                <w:color w:val="auto"/>
                <w:spacing w:val="0"/>
                <w:w w:val="100"/>
                <w:kern w:val="0"/>
                <w:position w:val="0"/>
                <w:szCs w:val="21"/>
                <w:highlight w:val="none"/>
                <w:vertAlign w:val="superscript"/>
              </w:rPr>
              <w:t>2</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敏感目标信息</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敏感目标（无）、方位（ 无 ）、距离（ 无 ）</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影响途径</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大气沉降</w:t>
            </w:r>
            <w:r>
              <w:rPr>
                <w:rFonts w:hint="default" w:ascii="Times New Roman" w:hAnsi="Times New Roman" w:eastAsia="宋体" w:cs="Times New Roman"/>
                <w:color w:val="auto"/>
                <w:spacing w:val="0"/>
                <w:w w:val="100"/>
                <w:kern w:val="0"/>
                <w:position w:val="0"/>
                <w:szCs w:val="21"/>
                <w:highlight w:val="none"/>
                <w:lang w:eastAsia="zh-CN"/>
              </w:rPr>
              <w:sym w:font="Wingdings 2" w:char="00A3"/>
            </w:r>
            <w:r>
              <w:rPr>
                <w:rFonts w:hint="default" w:ascii="Times New Roman" w:hAnsi="Times New Roman" w:eastAsia="宋体" w:cs="Times New Roman"/>
                <w:color w:val="auto"/>
                <w:spacing w:val="0"/>
                <w:w w:val="100"/>
                <w:kern w:val="0"/>
                <w:position w:val="0"/>
                <w:szCs w:val="21"/>
                <w:highlight w:val="none"/>
              </w:rPr>
              <w:t>；地面漫流</w:t>
            </w:r>
            <w:r>
              <w:rPr>
                <w:rFonts w:hint="default" w:ascii="Times New Roman" w:hAnsi="Times New Roman" w:eastAsia="宋体" w:cs="Times New Roman"/>
                <w:color w:val="auto"/>
                <w:spacing w:val="0"/>
                <w:w w:val="100"/>
                <w:kern w:val="0"/>
                <w:position w:val="0"/>
                <w:szCs w:val="21"/>
                <w:highlight w:val="none"/>
              </w:rPr>
              <w:sym w:font="Wingdings 2" w:char="0052"/>
            </w:r>
            <w:r>
              <w:rPr>
                <w:rFonts w:hint="default" w:ascii="Times New Roman" w:hAnsi="Times New Roman" w:eastAsia="宋体" w:cs="Times New Roman"/>
                <w:color w:val="auto"/>
                <w:spacing w:val="0"/>
                <w:w w:val="100"/>
                <w:kern w:val="0"/>
                <w:position w:val="0"/>
                <w:szCs w:val="21"/>
                <w:highlight w:val="none"/>
              </w:rPr>
              <w:t>；垂直入渗</w:t>
            </w:r>
            <w:r>
              <w:rPr>
                <w:rFonts w:hint="default" w:ascii="Times New Roman" w:hAnsi="Times New Roman" w:eastAsia="宋体"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；地下水位□；其他（）</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全部污染物</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特征因子</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所属土壤环境影响评价项目类别</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Ⅰ类□；Ⅱ类□；Ⅲ类</w:t>
            </w:r>
            <w:r>
              <w:rPr>
                <w:rFonts w:hint="default" w:ascii="Times New Roman" w:hAnsi="Times New Roman" w:eastAsia="宋体" w:cs="Times New Roman"/>
                <w:color w:val="auto"/>
                <w:spacing w:val="0"/>
                <w:w w:val="100"/>
                <w:kern w:val="0"/>
                <w:position w:val="0"/>
                <w:szCs w:val="21"/>
                <w:highlight w:val="none"/>
              </w:rPr>
              <w:sym w:font="Wingdings 2" w:char="0052"/>
            </w:r>
            <w:r>
              <w:rPr>
                <w:rFonts w:hint="default" w:ascii="Times New Roman" w:hAnsi="Times New Roman" w:eastAsia="宋体" w:cs="Times New Roman"/>
                <w:color w:val="auto"/>
                <w:spacing w:val="0"/>
                <w:w w:val="100"/>
                <w:kern w:val="0"/>
                <w:position w:val="0"/>
                <w:szCs w:val="21"/>
                <w:highlight w:val="none"/>
              </w:rPr>
              <w:t>；Ⅳ类□</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敏感程度</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敏感</w:t>
            </w:r>
            <w:r>
              <w:rPr>
                <w:rFonts w:hint="default" w:ascii="Times New Roman" w:hAnsi="Times New Roman" w:eastAsia="宋体" w:cs="Times New Roman"/>
                <w:color w:val="auto"/>
                <w:spacing w:val="0"/>
                <w:w w:val="100"/>
                <w:kern w:val="0"/>
                <w:position w:val="0"/>
                <w:szCs w:val="21"/>
                <w:highlight w:val="none"/>
              </w:rPr>
              <w:sym w:font="Wingdings 2" w:char="0052"/>
            </w:r>
            <w:r>
              <w:rPr>
                <w:rFonts w:hint="default" w:ascii="Times New Roman" w:hAnsi="Times New Roman" w:eastAsia="宋体" w:cs="Times New Roman"/>
                <w:color w:val="auto"/>
                <w:spacing w:val="0"/>
                <w:w w:val="100"/>
                <w:kern w:val="0"/>
                <w:position w:val="0"/>
                <w:szCs w:val="21"/>
                <w:highlight w:val="none"/>
              </w:rPr>
              <w:t>；较敏感□；不敏感□</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263" w:type="dxa"/>
            <w:gridSpan w:val="2"/>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评价工作等级</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一级□；二级□；三级</w:t>
            </w:r>
            <w:r>
              <w:rPr>
                <w:rFonts w:hint="default" w:ascii="Times New Roman" w:hAnsi="Times New Roman" w:eastAsia="宋体" w:cs="Times New Roman"/>
                <w:color w:val="auto"/>
                <w:spacing w:val="0"/>
                <w:w w:val="100"/>
                <w:kern w:val="0"/>
                <w:position w:val="0"/>
                <w:szCs w:val="21"/>
                <w:highlight w:val="none"/>
              </w:rPr>
              <w:sym w:font="Wingdings 2" w:char="0052"/>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现状调查内容</w:t>
            </w: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资料收集</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a）</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en-US"/>
              </w:rPr>
              <w:t>；b）</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en-US"/>
              </w:rPr>
              <w:t>；c）</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en-US"/>
              </w:rPr>
              <w:t>；d）</w:t>
            </w: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理化特性</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c1</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同附录 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现状监测点位</w:t>
            </w:r>
          </w:p>
        </w:tc>
        <w:tc>
          <w:tcPr>
            <w:tcW w:w="115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48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占地范围内</w:t>
            </w:r>
          </w:p>
        </w:tc>
        <w:tc>
          <w:tcPr>
            <w:tcW w:w="1575"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占地范围外</w:t>
            </w:r>
          </w:p>
        </w:tc>
        <w:tc>
          <w:tcPr>
            <w:tcW w:w="14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深度</w:t>
            </w:r>
          </w:p>
        </w:tc>
        <w:tc>
          <w:tcPr>
            <w:tcW w:w="1119"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点位布置图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15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表层样点数</w:t>
            </w:r>
          </w:p>
        </w:tc>
        <w:tc>
          <w:tcPr>
            <w:tcW w:w="148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w:t>
            </w:r>
          </w:p>
        </w:tc>
        <w:tc>
          <w:tcPr>
            <w:tcW w:w="1575"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4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0~20cm</w:t>
            </w:r>
          </w:p>
        </w:tc>
        <w:tc>
          <w:tcPr>
            <w:tcW w:w="111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15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柱状样点数</w:t>
            </w:r>
          </w:p>
        </w:tc>
        <w:tc>
          <w:tcPr>
            <w:tcW w:w="148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575"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4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11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现状监测因子</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8项基本因子、pH</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现状评</w:t>
            </w:r>
          </w:p>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价</w:t>
            </w: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评价因子</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8项基本因子</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评价标准</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GB 15618</w:t>
            </w:r>
            <w:r>
              <w:rPr>
                <w:rFonts w:hint="default" w:ascii="Times New Roman" w:hAnsi="Times New Roman"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lang w:eastAsia="en-US"/>
              </w:rPr>
              <w:t>；GB 36600</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en-US"/>
              </w:rPr>
              <w:t>；表D.1□；表 D.2□；其他（）</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现状评价结论</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各污染物浓度低于《土壤环境质量 农用地土壤污染风险管控标准》（试行）（GB15618-2018）</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影响预测</w:t>
            </w: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预测因子</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预测方法</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附录 E□；附录 F□；其他（</w:t>
            </w:r>
            <w:r>
              <w:rPr>
                <w:rFonts w:hint="default" w:ascii="Times New Roman" w:hAnsi="Times New Roman" w:eastAsia="宋体" w:cs="Times New Roman"/>
                <w:color w:val="auto"/>
                <w:spacing w:val="0"/>
                <w:w w:val="100"/>
                <w:kern w:val="0"/>
                <w:position w:val="0"/>
                <w:szCs w:val="21"/>
                <w:highlight w:val="none"/>
              </w:rPr>
              <w:tab/>
            </w: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预测分析内容</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影响范围（</w:t>
            </w:r>
            <w:r>
              <w:rPr>
                <w:rFonts w:hint="default" w:ascii="Times New Roman" w:hAnsi="Times New Roman" w:eastAsia="宋体" w:cs="Times New Roman"/>
                <w:color w:val="auto"/>
                <w:spacing w:val="0"/>
                <w:w w:val="100"/>
                <w:kern w:val="0"/>
                <w:position w:val="0"/>
                <w:szCs w:val="21"/>
                <w:highlight w:val="none"/>
              </w:rPr>
              <w:tab/>
            </w:r>
            <w:r>
              <w:rPr>
                <w:rFonts w:hint="default" w:ascii="Times New Roman" w:hAnsi="Times New Roman" w:eastAsia="宋体" w:cs="Times New Roman"/>
                <w:color w:val="auto"/>
                <w:spacing w:val="0"/>
                <w:w w:val="100"/>
                <w:kern w:val="0"/>
                <w:position w:val="0"/>
                <w:szCs w:val="21"/>
                <w:highlight w:val="none"/>
              </w:rPr>
              <w:t>）</w:t>
            </w:r>
          </w:p>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影响程度（</w:t>
            </w:r>
            <w:r>
              <w:rPr>
                <w:rFonts w:hint="default" w:ascii="Times New Roman" w:hAnsi="Times New Roman" w:eastAsia="宋体" w:cs="Times New Roman"/>
                <w:color w:val="auto"/>
                <w:spacing w:val="0"/>
                <w:w w:val="100"/>
                <w:kern w:val="0"/>
                <w:position w:val="0"/>
                <w:szCs w:val="21"/>
                <w:highlight w:val="none"/>
              </w:rPr>
              <w:tab/>
            </w:r>
            <w:r>
              <w:rPr>
                <w:rFonts w:hint="default" w:ascii="Times New Roman" w:hAnsi="Times New Roman" w:eastAsia="宋体" w:cs="Times New Roman"/>
                <w:color w:val="auto"/>
                <w:spacing w:val="0"/>
                <w:w w:val="100"/>
                <w:kern w:val="0"/>
                <w:position w:val="0"/>
                <w:szCs w:val="21"/>
                <w:highlight w:val="none"/>
              </w:rPr>
              <w:t>）</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预测结论</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达标结论：a）□；b）□；c）□</w:t>
            </w:r>
          </w:p>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不达标结论：a）□；b）□</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防治措</w:t>
            </w:r>
          </w:p>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施</w:t>
            </w: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防控措施</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土壤环境质量现状保障</w:t>
            </w:r>
            <w:r>
              <w:rPr>
                <w:rFonts w:hint="default" w:ascii="Times New Roman" w:hAnsi="Times New Roman"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；源头控制</w:t>
            </w:r>
            <w:r>
              <w:rPr>
                <w:rFonts w:hint="default" w:ascii="Times New Roman" w:hAnsi="Times New Roman"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；过程防控</w:t>
            </w:r>
            <w:r>
              <w:rPr>
                <w:rFonts w:hint="default" w:ascii="Times New Roman" w:hAnsi="Times New Roman" w:cs="Times New Roman"/>
                <w:color w:val="auto"/>
                <w:spacing w:val="0"/>
                <w:w w:val="100"/>
                <w:kern w:val="0"/>
                <w:position w:val="0"/>
                <w:szCs w:val="21"/>
                <w:highlight w:val="none"/>
                <w:lang w:eastAsia="zh-CN"/>
              </w:rPr>
              <w:sym w:font="Wingdings 2" w:char="0052"/>
            </w:r>
            <w:r>
              <w:rPr>
                <w:rFonts w:hint="default" w:ascii="Times New Roman" w:hAnsi="Times New Roman" w:eastAsia="宋体" w:cs="Times New Roman"/>
                <w:color w:val="auto"/>
                <w:spacing w:val="0"/>
                <w:w w:val="100"/>
                <w:kern w:val="0"/>
                <w:position w:val="0"/>
                <w:szCs w:val="21"/>
                <w:highlight w:val="none"/>
              </w:rPr>
              <w:t>；其他（）</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p>
        </w:tc>
        <w:tc>
          <w:tcPr>
            <w:tcW w:w="1647"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跟踪监测</w:t>
            </w:r>
          </w:p>
        </w:tc>
        <w:tc>
          <w:tcPr>
            <w:tcW w:w="2644" w:type="dxa"/>
            <w:gridSpan w:val="2"/>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监测点数</w:t>
            </w:r>
          </w:p>
        </w:tc>
        <w:tc>
          <w:tcPr>
            <w:tcW w:w="1575"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监测指标</w:t>
            </w:r>
          </w:p>
        </w:tc>
        <w:tc>
          <w:tcPr>
            <w:tcW w:w="14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监测频次</w:t>
            </w:r>
          </w:p>
        </w:tc>
        <w:tc>
          <w:tcPr>
            <w:tcW w:w="1119" w:type="dxa"/>
            <w:vMerge w:val="restart"/>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2644" w:type="dxa"/>
            <w:gridSpan w:val="2"/>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575" w:type="dxa"/>
            <w:noWrap w:val="0"/>
            <w:vAlign w:val="center"/>
          </w:tcPr>
          <w:p>
            <w:pPr>
              <w:snapToGrid w:val="0"/>
              <w:jc w:val="center"/>
              <w:rPr>
                <w:rFonts w:hint="eastAsia"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val="en-US" w:eastAsia="zh-CN"/>
              </w:rPr>
              <w:t>/</w:t>
            </w:r>
          </w:p>
        </w:tc>
        <w:tc>
          <w:tcPr>
            <w:tcW w:w="1413"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1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16"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647"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信息公开指标</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c>
          <w:tcPr>
            <w:tcW w:w="1119" w:type="dxa"/>
            <w:vMerge w:val="continue"/>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263" w:type="dxa"/>
            <w:gridSpan w:val="2"/>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r>
              <w:rPr>
                <w:rFonts w:hint="default" w:ascii="Times New Roman" w:hAnsi="Times New Roman" w:eastAsia="宋体" w:cs="Times New Roman"/>
                <w:color w:val="auto"/>
                <w:spacing w:val="0"/>
                <w:w w:val="100"/>
                <w:kern w:val="0"/>
                <w:position w:val="0"/>
                <w:szCs w:val="21"/>
                <w:highlight w:val="none"/>
                <w:lang w:eastAsia="en-US"/>
              </w:rPr>
              <w:t>评价结论</w:t>
            </w:r>
          </w:p>
        </w:tc>
        <w:tc>
          <w:tcPr>
            <w:tcW w:w="5632" w:type="dxa"/>
            <w:gridSpan w:val="4"/>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可行</w:t>
            </w:r>
          </w:p>
        </w:tc>
        <w:tc>
          <w:tcPr>
            <w:tcW w:w="1119" w:type="dxa"/>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9014" w:type="dxa"/>
            <w:gridSpan w:val="7"/>
            <w:noWrap w:val="0"/>
            <w:vAlign w:val="center"/>
          </w:tcPr>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注 1：</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为勾选项，可√；</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 ）</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为内容填写项；</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备注</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rPr>
              <w:t>为其他补充内容。</w:t>
            </w:r>
          </w:p>
          <w:p>
            <w:pPr>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注 2：需要分别开展土壤环境影响评级工作的，分别填写自查表。</w:t>
            </w:r>
          </w:p>
        </w:tc>
      </w:tr>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903" w:name="_Toc8572"/>
      <w:bookmarkStart w:id="904" w:name="_Toc5947"/>
      <w:bookmarkStart w:id="905" w:name="_Toc14771"/>
      <w:bookmarkStart w:id="906" w:name="_Toc30553"/>
      <w:bookmarkStart w:id="907" w:name="_Toc12580"/>
      <w:r>
        <w:rPr>
          <w:rFonts w:hint="default" w:ascii="Times New Roman" w:hAnsi="Times New Roman" w:eastAsia="宋体" w:cs="Times New Roman"/>
          <w:snapToGrid w:val="0"/>
          <w:color w:val="auto"/>
          <w:spacing w:val="0"/>
          <w:w w:val="100"/>
          <w:kern w:val="0"/>
          <w:position w:val="0"/>
          <w:highlight w:val="none"/>
          <w:lang w:val="en-US" w:eastAsia="zh-CN"/>
        </w:rPr>
        <w:t>5.7生态环境影响分析</w:t>
      </w:r>
      <w:bookmarkEnd w:id="903"/>
      <w:bookmarkEnd w:id="904"/>
      <w:bookmarkEnd w:id="905"/>
      <w:bookmarkEnd w:id="906"/>
      <w:bookmarkEnd w:id="907"/>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bookmarkStart w:id="908" w:name="_Toc314047674"/>
      <w:r>
        <w:rPr>
          <w:rFonts w:hint="default" w:ascii="Times New Roman" w:hAnsi="Times New Roman" w:eastAsia="宋体" w:cs="Times New Roman"/>
          <w:color w:val="auto"/>
          <w:spacing w:val="0"/>
          <w:w w:val="100"/>
          <w:kern w:val="0"/>
          <w:position w:val="0"/>
          <w:sz w:val="24"/>
          <w:highlight w:val="none"/>
        </w:rPr>
        <w:t>本项目用地类型数属于设施农用地，该地区土壤有机质低，需增加土壤肥力，进行土壤改良。项目区域植被主要以人工植被和农作物为主</w:t>
      </w:r>
      <w:r>
        <w:rPr>
          <w:rFonts w:hint="eastAsia" w:ascii="Times New Roman" w:hAnsi="Times New Roman" w:cs="Times New Roman"/>
          <w:color w:val="auto"/>
          <w:spacing w:val="0"/>
          <w:w w:val="100"/>
          <w:kern w:val="0"/>
          <w:position w:val="0"/>
          <w:sz w:val="24"/>
          <w:highlight w:val="none"/>
          <w:lang w:eastAsia="zh-CN"/>
        </w:rPr>
        <w:t>，主要种植冬小麦</w:t>
      </w:r>
      <w:r>
        <w:rPr>
          <w:rFonts w:hint="default" w:ascii="Times New Roman" w:hAnsi="Times New Roman" w:eastAsia="宋体" w:cs="Times New Roman"/>
          <w:color w:val="auto"/>
          <w:spacing w:val="0"/>
          <w:w w:val="100"/>
          <w:kern w:val="0"/>
          <w:position w:val="0"/>
          <w:sz w:val="24"/>
          <w:highlight w:val="none"/>
        </w:rPr>
        <w:t>。</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在场界四周增加绿化隔离带，厂区内进行了绿化，绿化用水由项目新鲜水提供，同时能够增加植物的存活率，增加土壤肥力，改善该区域土地现状，增加植被覆盖率，将有效改善该区域生态环境，项目的建设对该区域生态环境的改善具有正效应</w:t>
      </w:r>
      <w:r>
        <w:rPr>
          <w:rFonts w:hint="default" w:ascii="Times New Roman" w:hAnsi="Times New Roman" w:eastAsia="宋体" w:cs="Times New Roman"/>
          <w:bCs/>
          <w:color w:val="auto"/>
          <w:spacing w:val="0"/>
          <w:w w:val="100"/>
          <w:kern w:val="0"/>
          <w:position w:val="0"/>
          <w:sz w:val="24"/>
          <w:highlight w:val="none"/>
        </w:rPr>
        <w:t>。</w:t>
      </w:r>
    </w:p>
    <w:bookmarkEnd w:id="908"/>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在选择绿化树木时，应考虑绿化植物的多样性和适宜性，平面绿化与立体绿化相结合，尽可能增加绿化密度，提高生态效益，并保持其自然性，注意绿化的美化作用。将绿化与景观建设相结合，发挥绿化带隔离作用，实行近污染源绿化，形成绿色包被，行道树木绿化考虑防减噪声、净化有害气体。项目建成运营后，进行场内绿化，绿化面积为</w:t>
      </w:r>
      <w:r>
        <w:rPr>
          <w:rFonts w:hint="eastAsia" w:ascii="Times New Roman" w:hAnsi="Times New Roman" w:cs="Times New Roman"/>
          <w:color w:val="auto"/>
          <w:spacing w:val="0"/>
          <w:w w:val="100"/>
          <w:kern w:val="0"/>
          <w:position w:val="0"/>
          <w:sz w:val="24"/>
          <w:highlight w:val="none"/>
          <w:lang w:val="en-US" w:eastAsia="zh-CN"/>
        </w:rPr>
        <w:t>200</w:t>
      </w:r>
      <w:r>
        <w:rPr>
          <w:rFonts w:hint="default" w:ascii="Times New Roman" w:hAnsi="Times New Roman" w:cs="Times New Roman"/>
          <w:color w:val="auto"/>
          <w:spacing w:val="0"/>
          <w:w w:val="100"/>
          <w:kern w:val="0"/>
          <w:position w:val="0"/>
          <w:sz w:val="24"/>
          <w:highlight w:val="none"/>
          <w:lang w:val="en-US" w:eastAsia="zh-CN"/>
        </w:rPr>
        <w:t>0</w:t>
      </w:r>
      <w:r>
        <w:rPr>
          <w:rFonts w:hint="default" w:ascii="Times New Roman" w:hAnsi="Times New Roman" w:eastAsia="宋体" w:cs="Times New Roman"/>
          <w:color w:val="auto"/>
          <w:spacing w:val="0"/>
          <w:w w:val="100"/>
          <w:kern w:val="0"/>
          <w:position w:val="0"/>
          <w:sz w:val="24"/>
          <w:highlight w:val="none"/>
        </w:rPr>
        <w:t>m</w:t>
      </w:r>
      <w:r>
        <w:rPr>
          <w:rFonts w:hint="default" w:ascii="Times New Roman" w:hAnsi="Times New Roman" w:eastAsia="宋体" w:cs="Times New Roman"/>
          <w:color w:val="auto"/>
          <w:spacing w:val="0"/>
          <w:w w:val="100"/>
          <w:kern w:val="0"/>
          <w:position w:val="0"/>
          <w:sz w:val="24"/>
          <w:highlight w:val="none"/>
          <w:vertAlign w:val="superscript"/>
        </w:rPr>
        <w:t>2</w:t>
      </w:r>
      <w:r>
        <w:rPr>
          <w:rFonts w:hint="default" w:ascii="Times New Roman" w:hAnsi="Times New Roman" w:eastAsia="宋体" w:cs="Times New Roman"/>
          <w:color w:val="auto"/>
          <w:spacing w:val="0"/>
          <w:w w:val="100"/>
          <w:kern w:val="0"/>
          <w:position w:val="0"/>
          <w:sz w:val="24"/>
          <w:highlight w:val="none"/>
        </w:rPr>
        <w:t>，大大提高项目区域的植被覆盖水平，有效改善项目所在地及周边的气候，项目区域内的水土流失将明显减少。项目运营期对项目所在地的生态环境有明显的改善作用。</w:t>
      </w:r>
    </w:p>
    <w:p>
      <w:pPr>
        <w:pStyle w:val="32"/>
        <w:widowControl w:val="0"/>
        <w:ind w:firstLine="480"/>
        <w:jc w:val="both"/>
        <w:rPr>
          <w:rFonts w:hint="default" w:ascii="Times New Roman" w:hAnsi="Times New Roman" w:eastAsia="宋体" w:cs="Times New Roman"/>
          <w:color w:val="auto"/>
          <w:spacing w:val="0"/>
          <w:w w:val="100"/>
          <w:kern w:val="0"/>
          <w:position w:val="0"/>
          <w:szCs w:val="20"/>
          <w:highlight w:val="none"/>
        </w:rPr>
      </w:pPr>
      <w:r>
        <w:rPr>
          <w:rFonts w:hint="eastAsia" w:cs="Times New Roman"/>
          <w:color w:val="auto"/>
          <w:spacing w:val="0"/>
          <w:w w:val="100"/>
          <w:kern w:val="0"/>
          <w:position w:val="0"/>
          <w:highlight w:val="none"/>
          <w:lang w:eastAsia="zh-CN"/>
        </w:rPr>
        <w:t>由于项目周边均为农田，野生动物较少，</w:t>
      </w:r>
      <w:r>
        <w:rPr>
          <w:rFonts w:hint="default" w:ascii="Times New Roman" w:hAnsi="Times New Roman" w:eastAsia="宋体" w:cs="Times New Roman"/>
          <w:color w:val="auto"/>
          <w:spacing w:val="0"/>
          <w:w w:val="100"/>
          <w:kern w:val="0"/>
          <w:position w:val="0"/>
          <w:highlight w:val="none"/>
        </w:rPr>
        <w:t>本项目建成运营后，</w:t>
      </w:r>
      <w:r>
        <w:rPr>
          <w:rFonts w:hint="eastAsia" w:cs="Times New Roman"/>
          <w:color w:val="auto"/>
          <w:spacing w:val="0"/>
          <w:w w:val="100"/>
          <w:kern w:val="0"/>
          <w:position w:val="0"/>
          <w:highlight w:val="none"/>
          <w:lang w:eastAsia="zh-CN"/>
        </w:rPr>
        <w:t>对周边动物影响较小</w:t>
      </w:r>
      <w:r>
        <w:rPr>
          <w:rFonts w:hint="default" w:ascii="Times New Roman" w:hAnsi="Times New Roman" w:eastAsia="宋体" w:cs="Times New Roman"/>
          <w:color w:val="auto"/>
          <w:spacing w:val="0"/>
          <w:w w:val="100"/>
          <w:kern w:val="0"/>
          <w:position w:val="0"/>
          <w:highlight w:val="none"/>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color w:val="auto"/>
          <w:spacing w:val="0"/>
          <w:w w:val="100"/>
          <w:kern w:val="0"/>
          <w:position w:val="0"/>
          <w:highlight w:val="none"/>
          <w:lang w:eastAsia="zh-CN"/>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909" w:name="_Toc342"/>
      <w:bookmarkStart w:id="910" w:name="_Toc12960"/>
      <w:bookmarkStart w:id="911" w:name="_Toc30045"/>
      <w:bookmarkStart w:id="912" w:name="_Toc14747"/>
      <w:bookmarkStart w:id="913" w:name="_Toc32591"/>
      <w:bookmarkStart w:id="914" w:name="_Toc25755"/>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6环境保护措施及其技术经济论证</w:t>
      </w:r>
      <w:bookmarkEnd w:id="909"/>
      <w:bookmarkEnd w:id="910"/>
      <w:bookmarkEnd w:id="911"/>
      <w:bookmarkEnd w:id="912"/>
      <w:bookmarkEnd w:id="913"/>
      <w:bookmarkEnd w:id="914"/>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32"/>
          <w:highlight w:val="none"/>
        </w:rPr>
      </w:pPr>
      <w:r>
        <w:rPr>
          <w:rFonts w:hint="default" w:ascii="Times New Roman" w:hAnsi="Times New Roman" w:eastAsia="宋体" w:cs="Times New Roman"/>
          <w:color w:val="auto"/>
          <w:spacing w:val="0"/>
          <w:w w:val="100"/>
          <w:kern w:val="0"/>
          <w:position w:val="0"/>
          <w:szCs w:val="32"/>
          <w:highlight w:val="none"/>
        </w:rPr>
        <w:t>依照</w:t>
      </w:r>
      <w:r>
        <w:rPr>
          <w:rFonts w:hint="default" w:ascii="Times New Roman" w:hAnsi="Times New Roman" w:eastAsia="宋体" w:cs="Times New Roman"/>
          <w:color w:val="auto"/>
          <w:spacing w:val="0"/>
          <w:w w:val="100"/>
          <w:kern w:val="0"/>
          <w:position w:val="0"/>
          <w:szCs w:val="32"/>
          <w:highlight w:val="none"/>
          <w:lang w:eastAsia="zh-CN"/>
        </w:rPr>
        <w:t>“</w:t>
      </w:r>
      <w:r>
        <w:rPr>
          <w:rFonts w:hint="default" w:ascii="Times New Roman" w:hAnsi="Times New Roman" w:eastAsia="宋体" w:cs="Times New Roman"/>
          <w:color w:val="auto"/>
          <w:spacing w:val="0"/>
          <w:w w:val="100"/>
          <w:kern w:val="0"/>
          <w:position w:val="0"/>
          <w:szCs w:val="32"/>
          <w:highlight w:val="none"/>
        </w:rPr>
        <w:t>达标排放</w:t>
      </w:r>
      <w:r>
        <w:rPr>
          <w:rFonts w:hint="default" w:ascii="Times New Roman" w:hAnsi="Times New Roman" w:eastAsia="宋体" w:cs="Times New Roman"/>
          <w:color w:val="auto"/>
          <w:spacing w:val="0"/>
          <w:w w:val="100"/>
          <w:kern w:val="0"/>
          <w:position w:val="0"/>
          <w:szCs w:val="32"/>
          <w:highlight w:val="none"/>
          <w:lang w:eastAsia="zh-CN"/>
        </w:rPr>
        <w:t>”</w:t>
      </w:r>
      <w:r>
        <w:rPr>
          <w:rFonts w:hint="default" w:ascii="Times New Roman" w:hAnsi="Times New Roman" w:eastAsia="宋体" w:cs="Times New Roman"/>
          <w:color w:val="auto"/>
          <w:spacing w:val="0"/>
          <w:w w:val="100"/>
          <w:kern w:val="0"/>
          <w:position w:val="0"/>
          <w:szCs w:val="32"/>
          <w:highlight w:val="none"/>
        </w:rPr>
        <w:t>、</w:t>
      </w:r>
      <w:r>
        <w:rPr>
          <w:rFonts w:hint="default" w:ascii="Times New Roman" w:hAnsi="Times New Roman" w:eastAsia="宋体" w:cs="Times New Roman"/>
          <w:color w:val="auto"/>
          <w:spacing w:val="0"/>
          <w:w w:val="100"/>
          <w:kern w:val="0"/>
          <w:position w:val="0"/>
          <w:szCs w:val="32"/>
          <w:highlight w:val="none"/>
          <w:lang w:eastAsia="zh-CN"/>
        </w:rPr>
        <w:t>“</w:t>
      </w:r>
      <w:r>
        <w:rPr>
          <w:rFonts w:hint="default" w:ascii="Times New Roman" w:hAnsi="Times New Roman" w:eastAsia="宋体" w:cs="Times New Roman"/>
          <w:color w:val="auto"/>
          <w:spacing w:val="0"/>
          <w:w w:val="100"/>
          <w:kern w:val="0"/>
          <w:position w:val="0"/>
          <w:szCs w:val="32"/>
          <w:highlight w:val="none"/>
        </w:rPr>
        <w:t>节能减排</w:t>
      </w:r>
      <w:r>
        <w:rPr>
          <w:rFonts w:hint="default" w:ascii="Times New Roman" w:hAnsi="Times New Roman" w:eastAsia="宋体" w:cs="Times New Roman"/>
          <w:color w:val="auto"/>
          <w:spacing w:val="0"/>
          <w:w w:val="100"/>
          <w:kern w:val="0"/>
          <w:position w:val="0"/>
          <w:szCs w:val="32"/>
          <w:highlight w:val="none"/>
          <w:lang w:eastAsia="zh-CN"/>
        </w:rPr>
        <w:t>”</w:t>
      </w:r>
      <w:r>
        <w:rPr>
          <w:rFonts w:hint="default" w:ascii="Times New Roman" w:hAnsi="Times New Roman" w:eastAsia="宋体" w:cs="Times New Roman"/>
          <w:color w:val="auto"/>
          <w:spacing w:val="0"/>
          <w:w w:val="100"/>
          <w:kern w:val="0"/>
          <w:position w:val="0"/>
          <w:szCs w:val="32"/>
          <w:highlight w:val="none"/>
        </w:rPr>
        <w:t>、环境功能区划等要求，对本项目采取的环境保护措施，从经济与技术的可行性角度进行论证，并对可能出现的环境问题提出进一步改进建议。</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915" w:name="_Toc299369006"/>
      <w:bookmarkEnd w:id="915"/>
      <w:bookmarkStart w:id="916" w:name="_Toc387745702"/>
      <w:bookmarkEnd w:id="916"/>
      <w:bookmarkStart w:id="917" w:name="_Toc335824696"/>
      <w:bookmarkEnd w:id="917"/>
      <w:bookmarkStart w:id="918" w:name="_Toc332203358"/>
      <w:bookmarkEnd w:id="918"/>
      <w:bookmarkStart w:id="919" w:name="_Toc5450"/>
      <w:bookmarkStart w:id="920" w:name="_Toc25008"/>
      <w:bookmarkStart w:id="921" w:name="_Toc6361"/>
      <w:bookmarkStart w:id="922" w:name="_Toc10009"/>
      <w:bookmarkStart w:id="923" w:name="_Toc10187"/>
      <w:bookmarkStart w:id="924" w:name="_Toc19884"/>
      <w:bookmarkStart w:id="925" w:name="_Toc491610116"/>
      <w:bookmarkStart w:id="926" w:name="_Toc7379"/>
      <w:bookmarkStart w:id="927" w:name="_Toc1983"/>
      <w:bookmarkStart w:id="928" w:name="_Toc32462"/>
      <w:bookmarkStart w:id="929" w:name="_Toc13422"/>
      <w:bookmarkStart w:id="930" w:name="_Toc21033"/>
      <w:bookmarkStart w:id="931" w:name="_Toc4573"/>
      <w:bookmarkStart w:id="932" w:name="_Toc29298"/>
      <w:r>
        <w:rPr>
          <w:rFonts w:hint="default" w:ascii="Times New Roman" w:hAnsi="Times New Roman" w:eastAsia="宋体" w:cs="Times New Roman"/>
          <w:snapToGrid w:val="0"/>
          <w:color w:val="auto"/>
          <w:spacing w:val="0"/>
          <w:w w:val="100"/>
          <w:kern w:val="0"/>
          <w:position w:val="0"/>
          <w:highlight w:val="none"/>
          <w:lang w:val="en-US" w:eastAsia="zh-CN"/>
        </w:rPr>
        <w:t>6.1施工期环境保护措施</w:t>
      </w:r>
      <w:bookmarkEnd w:id="919"/>
      <w:r>
        <w:rPr>
          <w:rFonts w:hint="default" w:ascii="Times New Roman" w:hAnsi="Times New Roman" w:eastAsia="宋体" w:cs="Times New Roman"/>
          <w:snapToGrid w:val="0"/>
          <w:color w:val="auto"/>
          <w:spacing w:val="0"/>
          <w:w w:val="100"/>
          <w:kern w:val="0"/>
          <w:position w:val="0"/>
          <w:highlight w:val="none"/>
          <w:lang w:val="en-US" w:eastAsia="zh-CN"/>
        </w:rPr>
        <w:t>及其技术经济论证</w:t>
      </w:r>
      <w:bookmarkEnd w:id="920"/>
      <w:bookmarkEnd w:id="921"/>
      <w:bookmarkEnd w:id="922"/>
      <w:bookmarkEnd w:id="923"/>
      <w:bookmarkEnd w:id="924"/>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33" w:name="_Toc16573"/>
      <w:bookmarkStart w:id="934" w:name="_Toc17341"/>
      <w:bookmarkStart w:id="935" w:name="_Toc484463530"/>
      <w:bookmarkStart w:id="936" w:name="_Toc491610117"/>
      <w:bookmarkStart w:id="937" w:name="_Toc26929"/>
      <w:bookmarkStart w:id="938" w:name="_Toc27691"/>
      <w:bookmarkStart w:id="939" w:name="_Toc21587"/>
      <w:bookmarkStart w:id="940" w:name="_Toc12582"/>
      <w:bookmarkStart w:id="941" w:name="_Toc11229"/>
      <w:r>
        <w:rPr>
          <w:rFonts w:hint="default" w:ascii="Times New Roman" w:hAnsi="Times New Roman" w:eastAsia="宋体" w:cs="Times New Roman"/>
          <w:snapToGrid w:val="0"/>
          <w:color w:val="auto"/>
          <w:spacing w:val="0"/>
          <w:w w:val="100"/>
          <w:kern w:val="0"/>
          <w:position w:val="0"/>
          <w:sz w:val="28"/>
          <w:szCs w:val="28"/>
          <w:highlight w:val="none"/>
          <w:lang w:val="en-US" w:eastAsia="zh-CN"/>
        </w:rPr>
        <w:t>6.1.1扬尘污染防治对策</w:t>
      </w:r>
      <w:bookmarkEnd w:id="933"/>
      <w:bookmarkEnd w:id="934"/>
      <w:bookmarkEnd w:id="935"/>
      <w:bookmarkEnd w:id="936"/>
      <w:bookmarkEnd w:id="937"/>
      <w:bookmarkEnd w:id="938"/>
      <w:bookmarkEnd w:id="939"/>
      <w:bookmarkEnd w:id="940"/>
    </w:p>
    <w:p>
      <w:pPr>
        <w:spacing w:line="360" w:lineRule="auto"/>
        <w:ind w:firstLine="480"/>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本项目施工期对大气环境产生的影响主要来自土方挖掘、堆积清运和建筑材料（如水泥、石灰、砂子）等装卸、堆放的扬尘；交通运输、搅拌机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根据国务院发布的《打赢蓝天保卫战三年行动计划》相关要求，本项目施工期应落实如下施工扬尘污染防治措施：</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①施工单位应建立健全施工扬尘治理责任制，制定具体的施工扬尘治理实施方案并报建设、监理单位审批，开工前应将扬尘治理实施方案及时报送主管部门。要严格执行施工工地扬尘治理实施方案，设专职管理人员负责落实扬尘治理措施。将项目扬尘防控经费纳入项目预算。</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②对施工现场和建筑体分别采取围栏、设置工棚、覆盖遮蔽等措施，阻隔施工扬尘污染；施工围挡(墙)要规范封闭、连续设置，材质、高度符合标准，做到坚固、整齐、洁净、美观，鼓励使用定型化设施围挡。</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③土方开挖、运输和填筑、易产生扬尘工序等施工时，必须进行湿法作业，应配备足量除尘雾炮、喷淋设施。气象预报5级以上大风或重度污染天气时，严禁土方开挖、回填、转运以及其他可能产生扬尘污染的施工，并做好作业面覆盖工作。</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④施工现场内存放的土堆、砂石、等易产生扬尘的材料和裸露土地面要使用密目式防尘网等材料进行覆盖或进行绿化，覆盖要封闭严密，破损的要及时修复。</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⑤施工场地出入口，配备专门的清洗设备和人员，负责对出入工地的运输车辆及时冲洗，不得携带泥土驶出施工工地；车辆冲洗设施要完好、有效，正常使用。</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⑥禁止现场配制、搅拌砂浆和混凝土。</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⑦工程完工后应及时清理和平整场地，按要求对地面绿化，当年不能绿化的，在主体工程完工后一个月内对裸露地面采取有效措施，防止扬尘污染。</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⑵施工机械及运输车辆尾气</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施工期间，使用液体燃料的施工机械及运输车辆的发动机排放的尾气中含有NO</w:t>
      </w:r>
      <w:r>
        <w:rPr>
          <w:rFonts w:hint="default" w:ascii="Times New Roman" w:hAnsi="Times New Roman" w:eastAsia="宋体" w:cs="Times New Roman"/>
          <w:color w:val="auto"/>
          <w:spacing w:val="0"/>
          <w:w w:val="100"/>
          <w:kern w:val="0"/>
          <w:position w:val="0"/>
          <w:sz w:val="24"/>
          <w:szCs w:val="24"/>
          <w:vertAlign w:val="subscript"/>
        </w:rPr>
        <w:t>x</w:t>
      </w:r>
      <w:r>
        <w:rPr>
          <w:rFonts w:hint="default" w:ascii="Times New Roman" w:hAnsi="Times New Roman" w:eastAsia="宋体" w:cs="Times New Roman"/>
          <w:color w:val="auto"/>
          <w:spacing w:val="0"/>
          <w:w w:val="100"/>
          <w:kern w:val="0"/>
          <w:position w:val="0"/>
          <w:sz w:val="24"/>
          <w:szCs w:val="24"/>
        </w:rPr>
        <w:t>、CO等污染物。一般情况下，各种污染物的排放量不大，且属间断性无组织排放，在保证施工过程中注意施工设备的维护，保证正常运行，提高原料利用率等措施落实前提下，对周围的大气环境影响较小。</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42" w:name="_Toc491610118"/>
      <w:bookmarkStart w:id="943" w:name="_Toc9495"/>
      <w:bookmarkStart w:id="944" w:name="_Toc7420"/>
      <w:bookmarkStart w:id="945" w:name="_Toc23098"/>
      <w:bookmarkStart w:id="946" w:name="_Toc17238"/>
      <w:bookmarkStart w:id="947" w:name="_Toc24105"/>
      <w:bookmarkStart w:id="948" w:name="_Toc29798"/>
      <w:bookmarkStart w:id="949" w:name="_Toc484463531"/>
      <w:r>
        <w:rPr>
          <w:rFonts w:hint="default" w:ascii="Times New Roman" w:hAnsi="Times New Roman" w:eastAsia="宋体" w:cs="Times New Roman"/>
          <w:snapToGrid w:val="0"/>
          <w:color w:val="auto"/>
          <w:spacing w:val="0"/>
          <w:w w:val="100"/>
          <w:kern w:val="0"/>
          <w:position w:val="0"/>
          <w:sz w:val="28"/>
          <w:szCs w:val="28"/>
          <w:highlight w:val="none"/>
          <w:lang w:val="en-US" w:eastAsia="zh-CN"/>
        </w:rPr>
        <w:t>6.1.2噪声污染防治对策</w:t>
      </w:r>
      <w:bookmarkEnd w:id="942"/>
      <w:bookmarkEnd w:id="943"/>
      <w:bookmarkEnd w:id="944"/>
      <w:bookmarkEnd w:id="945"/>
      <w:bookmarkEnd w:id="946"/>
      <w:bookmarkEnd w:id="947"/>
      <w:bookmarkEnd w:id="948"/>
      <w:bookmarkEnd w:id="949"/>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项目施工时涉及的施工机械种类和数目较多，主要有推土机、挖土机、压路机、振捣棒、吊车等建筑施工机械及切、磨、吊、卷等安装机械。不同施工期使用的机械设备不同，产生的噪声强度也不同。</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项目施工期分为土方平整阶段、基础施工阶段、结构制作阶段及室内装潢阶段，各阶段具有其独特的噪声特性。土方平整阶段的噪声源主要有推土机、挖掘机、装载机及各种车辆等，这些声源大部分属于移动声源，没有明显的指向性；基础施工阶段的噪声源基本上是固定声源；结构制作阶段的主要噪声源有振捣器、起重机等，其中包括一些撞击噪声；室内装潢阶段的主要噪声源有起重机、升降机等。</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为了减轻施工期噪声对环境的影响，须采取以下控制措施：</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降低施工设备噪声：尽量采用低噪声设备；采用安装排气筒消音器和隔离发动机振动部件的方法降低噪声；对动力机械、设备加强定期检修、养护，保证其正常运行，减少设备在非正常运行时所产生的噪声。</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降低人为噪声：按规定操作机械设备，模板、支架装卸过程中，尽量减少碰撞声音；</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减少交通噪声：加强车辆管理，控制汽车鸣笛。</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合理布局：将产生噪声较大且固定施工机械设备布置到项目用地的中部。</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采取上述噪声污染防治措施后，项目施工噪声对主要环境保护目标的影响较小。</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50" w:name="_Toc484463532"/>
      <w:bookmarkStart w:id="951" w:name="_Toc12030"/>
      <w:bookmarkStart w:id="952" w:name="_Toc19817"/>
      <w:bookmarkStart w:id="953" w:name="_Toc13673"/>
      <w:bookmarkStart w:id="954" w:name="_Toc491610119"/>
      <w:bookmarkStart w:id="955" w:name="_Toc12913"/>
      <w:bookmarkStart w:id="956" w:name="_Toc27701"/>
      <w:bookmarkStart w:id="957" w:name="_Toc22689"/>
      <w:r>
        <w:rPr>
          <w:rFonts w:hint="default" w:ascii="Times New Roman" w:hAnsi="Times New Roman" w:eastAsia="宋体" w:cs="Times New Roman"/>
          <w:snapToGrid w:val="0"/>
          <w:color w:val="auto"/>
          <w:spacing w:val="0"/>
          <w:w w:val="100"/>
          <w:kern w:val="0"/>
          <w:position w:val="0"/>
          <w:sz w:val="28"/>
          <w:szCs w:val="28"/>
          <w:highlight w:val="none"/>
          <w:lang w:val="en-US" w:eastAsia="zh-CN"/>
        </w:rPr>
        <w:t>6.1.3废水污染防治对策</w:t>
      </w:r>
      <w:bookmarkEnd w:id="950"/>
      <w:bookmarkEnd w:id="951"/>
      <w:bookmarkEnd w:id="952"/>
      <w:bookmarkEnd w:id="953"/>
      <w:bookmarkEnd w:id="954"/>
      <w:bookmarkEnd w:id="955"/>
      <w:bookmarkEnd w:id="956"/>
      <w:bookmarkEnd w:id="957"/>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施工期废水主要来自工程施工人员的生活污水、砖瓦、土方等建筑物料喷洒水及少量的机械泥浆污水，只含有少量的泥沙等，不含其它杂质。为了减轻废水对项目周边地表水环境的不利影响，须采取以下控制措施：</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1 \* GB3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lang w:val="en-US" w:eastAsia="zh-CN" w:bidi="ar-SA"/>
        </w:rPr>
        <w:t>①</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生活污水：建设单位必须严格加强对施工人员的管理。项目施工时建设单位拟在施工人员集中生活区建设简易旱厕，定期清掏用于周边农田施肥。</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bidi="ar-SA"/>
        </w:rPr>
        <w:t>②施工废水：施工期间的砂浆搅拌机用水、砖瓦、土方等建筑物料喷洒水及少量的机械泥浆污水，主要污染因子为SS，施工场地设置临时沉淀池，经沉淀澄清后回用于施工场地，循环利用不外排。</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58" w:name="_Toc6494"/>
      <w:bookmarkStart w:id="959" w:name="_Toc484463533"/>
      <w:bookmarkStart w:id="960" w:name="_Toc491610120"/>
      <w:bookmarkStart w:id="961" w:name="_Toc13903"/>
      <w:bookmarkStart w:id="962" w:name="_Toc1179"/>
      <w:bookmarkStart w:id="963" w:name="_Toc22231"/>
      <w:bookmarkStart w:id="964" w:name="_Toc17232"/>
      <w:bookmarkStart w:id="965" w:name="_Toc11505"/>
      <w:r>
        <w:rPr>
          <w:rFonts w:hint="default" w:ascii="Times New Roman" w:hAnsi="Times New Roman" w:eastAsia="宋体" w:cs="Times New Roman"/>
          <w:snapToGrid w:val="0"/>
          <w:color w:val="auto"/>
          <w:spacing w:val="0"/>
          <w:w w:val="100"/>
          <w:kern w:val="0"/>
          <w:position w:val="0"/>
          <w:sz w:val="28"/>
          <w:szCs w:val="28"/>
          <w:highlight w:val="none"/>
          <w:lang w:val="en-US" w:eastAsia="zh-CN"/>
        </w:rPr>
        <w:t>6.1.4固体废物污染防治对策</w:t>
      </w:r>
      <w:bookmarkEnd w:id="958"/>
      <w:bookmarkEnd w:id="959"/>
      <w:bookmarkEnd w:id="960"/>
      <w:bookmarkEnd w:id="961"/>
      <w:bookmarkEnd w:id="962"/>
      <w:bookmarkEnd w:id="963"/>
      <w:bookmarkEnd w:id="964"/>
      <w:bookmarkEnd w:id="965"/>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本项目施工期产生的固体废物主要是建筑垃圾和施工人员生活垃圾。建筑垃圾主要来源于开挖土方、建筑施工中的废物（如砂石、石灰、混凝土、废砖等），可采取以下措施减少其对环境的影响：</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运送建筑废物的车辆离开施工场地时，要及时清理干净车辆粘带的泥土；</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遗留在现场的建筑废物要及时清运或回填；</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3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⑶</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建筑废物在施工现场的金属要及时回收；</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4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施工期土石工程挖填量应平衡计算，开挖的土石方要定点堆放；</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5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⑸</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建筑垃圾应运送到政府指定地点，不得随意倾倒。</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begin"/>
      </w:r>
      <w:r>
        <w:rPr>
          <w:rFonts w:hint="default" w:ascii="Times New Roman" w:hAnsi="Times New Roman" w:eastAsia="宋体" w:cs="Times New Roman"/>
          <w:color w:val="auto"/>
          <w:spacing w:val="0"/>
          <w:w w:val="100"/>
          <w:kern w:val="0"/>
          <w:position w:val="0"/>
          <w:sz w:val="24"/>
          <w:szCs w:val="24"/>
          <w:highlight w:val="none"/>
          <w:lang w:val="en-US" w:eastAsia="zh-CN" w:bidi="ar-SA"/>
        </w:rPr>
        <w:instrText xml:space="preserve"> = 6 \* GB2 \* MERGEFORMAT </w:instrTex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separate"/>
      </w:r>
      <w:r>
        <w:rPr>
          <w:rFonts w:hint="default" w:ascii="Times New Roman" w:hAnsi="Times New Roman" w:eastAsia="宋体" w:cs="Times New Roman"/>
          <w:color w:val="auto"/>
          <w:spacing w:val="0"/>
          <w:w w:val="100"/>
          <w:kern w:val="0"/>
          <w:position w:val="0"/>
          <w:sz w:val="24"/>
          <w:szCs w:val="24"/>
          <w:highlight w:val="none"/>
        </w:rPr>
        <w:t>⑹</w:t>
      </w:r>
      <w:r>
        <w:rPr>
          <w:rFonts w:hint="default" w:ascii="Times New Roman" w:hAnsi="Times New Roman" w:eastAsia="宋体" w:cs="Times New Roman"/>
          <w:color w:val="auto"/>
          <w:spacing w:val="0"/>
          <w:w w:val="100"/>
          <w:kern w:val="0"/>
          <w:position w:val="0"/>
          <w:sz w:val="24"/>
          <w:szCs w:val="24"/>
          <w:highlight w:val="none"/>
          <w:lang w:val="en-US" w:eastAsia="zh-CN" w:bidi="ar-SA"/>
        </w:rPr>
        <w:fldChar w:fldCharType="end"/>
      </w:r>
      <w:r>
        <w:rPr>
          <w:rFonts w:hint="default" w:ascii="Times New Roman" w:hAnsi="Times New Roman" w:eastAsia="宋体" w:cs="Times New Roman"/>
          <w:color w:val="auto"/>
          <w:spacing w:val="0"/>
          <w:w w:val="100"/>
          <w:kern w:val="0"/>
          <w:position w:val="0"/>
          <w:sz w:val="24"/>
          <w:szCs w:val="24"/>
          <w:highlight w:val="none"/>
          <w:lang w:val="en-US" w:eastAsia="zh-CN" w:bidi="ar-SA"/>
        </w:rPr>
        <w:t>施工人员的生活垃圾用塑料袋收集后，交由环卫部门处置。</w:t>
      </w:r>
    </w:p>
    <w:p>
      <w:pPr>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lang w:val="en-US" w:eastAsia="zh-CN" w:bidi="ar-SA"/>
        </w:rPr>
      </w:pPr>
      <w:r>
        <w:rPr>
          <w:rFonts w:hint="default" w:ascii="Times New Roman" w:hAnsi="Times New Roman" w:eastAsia="宋体" w:cs="Times New Roman"/>
          <w:color w:val="auto"/>
          <w:spacing w:val="0"/>
          <w:w w:val="100"/>
          <w:kern w:val="0"/>
          <w:position w:val="0"/>
          <w:sz w:val="24"/>
          <w:szCs w:val="24"/>
          <w:highlight w:val="none"/>
          <w:lang w:val="en-US" w:eastAsia="zh-CN" w:bidi="ar-SA"/>
        </w:rPr>
        <w:t>采取上述固体废物处置措施后，项目施工期产生的废物均采取相应的治理措施后，经济可行，且项目施工期对周围环境的影响较小。</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966" w:name="_Toc5870"/>
      <w:bookmarkStart w:id="967" w:name="_Toc8780"/>
      <w:bookmarkStart w:id="968" w:name="_Toc17065"/>
      <w:bookmarkStart w:id="969" w:name="_Toc1757"/>
      <w:r>
        <w:rPr>
          <w:rFonts w:hint="default" w:ascii="Times New Roman" w:hAnsi="Times New Roman" w:eastAsia="宋体" w:cs="Times New Roman"/>
          <w:snapToGrid w:val="0"/>
          <w:color w:val="auto"/>
          <w:spacing w:val="0"/>
          <w:w w:val="100"/>
          <w:kern w:val="0"/>
          <w:position w:val="0"/>
          <w:highlight w:val="none"/>
          <w:lang w:val="en-US" w:eastAsia="zh-CN"/>
        </w:rPr>
        <w:t>6.</w:t>
      </w:r>
      <w:bookmarkEnd w:id="925"/>
      <w:bookmarkEnd w:id="926"/>
      <w:bookmarkEnd w:id="927"/>
      <w:bookmarkEnd w:id="928"/>
      <w:bookmarkEnd w:id="929"/>
      <w:bookmarkEnd w:id="930"/>
      <w:bookmarkEnd w:id="931"/>
      <w:bookmarkStart w:id="970" w:name="_Toc25129"/>
      <w:bookmarkStart w:id="971" w:name="_Toc12616"/>
      <w:bookmarkStart w:id="972" w:name="_Toc12622"/>
      <w:bookmarkStart w:id="973" w:name="_Toc24171"/>
      <w:r>
        <w:rPr>
          <w:rFonts w:hint="default" w:ascii="Times New Roman" w:hAnsi="Times New Roman" w:eastAsia="宋体" w:cs="Times New Roman"/>
          <w:snapToGrid w:val="0"/>
          <w:color w:val="auto"/>
          <w:spacing w:val="0"/>
          <w:w w:val="100"/>
          <w:kern w:val="0"/>
          <w:position w:val="0"/>
          <w:highlight w:val="none"/>
          <w:lang w:val="en-US" w:eastAsia="zh-CN"/>
        </w:rPr>
        <w:t>2运营期环境保护措施及其技术经济论证</w:t>
      </w:r>
      <w:bookmarkEnd w:id="932"/>
      <w:bookmarkEnd w:id="941"/>
      <w:bookmarkEnd w:id="966"/>
      <w:bookmarkEnd w:id="967"/>
      <w:bookmarkEnd w:id="968"/>
      <w:bookmarkEnd w:id="969"/>
      <w:bookmarkEnd w:id="970"/>
      <w:bookmarkEnd w:id="971"/>
      <w:bookmarkEnd w:id="972"/>
      <w:bookmarkEnd w:id="973"/>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74" w:name="_Toc24804"/>
      <w:bookmarkStart w:id="975" w:name="_Toc4871"/>
      <w:bookmarkStart w:id="976" w:name="_Toc484463535"/>
      <w:bookmarkStart w:id="977" w:name="_Toc7027"/>
      <w:bookmarkStart w:id="978" w:name="_Toc353"/>
      <w:bookmarkStart w:id="979" w:name="_Toc31617"/>
      <w:bookmarkStart w:id="980" w:name="_Toc12813"/>
      <w:bookmarkStart w:id="981" w:name="_Toc491610122"/>
      <w:bookmarkStart w:id="982" w:name="_Toc11202"/>
      <w:bookmarkStart w:id="983" w:name="_Toc225148398"/>
      <w:r>
        <w:rPr>
          <w:rFonts w:hint="default" w:ascii="Times New Roman" w:hAnsi="Times New Roman" w:eastAsia="宋体" w:cs="Times New Roman"/>
          <w:snapToGrid w:val="0"/>
          <w:color w:val="auto"/>
          <w:spacing w:val="0"/>
          <w:w w:val="100"/>
          <w:kern w:val="0"/>
          <w:position w:val="0"/>
          <w:sz w:val="28"/>
          <w:szCs w:val="28"/>
          <w:highlight w:val="none"/>
          <w:lang w:val="en-US" w:eastAsia="zh-CN"/>
        </w:rPr>
        <w:t>6.2.1大气污染防治措施评述</w:t>
      </w:r>
      <w:bookmarkEnd w:id="974"/>
      <w:bookmarkEnd w:id="975"/>
      <w:bookmarkEnd w:id="976"/>
      <w:bookmarkEnd w:id="977"/>
      <w:bookmarkEnd w:id="978"/>
      <w:bookmarkEnd w:id="979"/>
      <w:bookmarkEnd w:id="980"/>
      <w:bookmarkEnd w:id="981"/>
      <w:bookmarkEnd w:id="982"/>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984" w:name="_Toc1336"/>
      <w:bookmarkStart w:id="985" w:name="_Toc24645"/>
      <w:bookmarkStart w:id="986" w:name="_Toc484463536"/>
      <w:bookmarkStart w:id="987" w:name="_Toc491610123"/>
      <w:r>
        <w:rPr>
          <w:rFonts w:hint="default" w:ascii="Times New Roman" w:hAnsi="Times New Roman" w:eastAsia="宋体" w:cs="Times New Roman"/>
          <w:b/>
          <w:color w:val="auto"/>
          <w:spacing w:val="0"/>
          <w:w w:val="100"/>
          <w:kern w:val="0"/>
          <w:position w:val="0"/>
          <w:sz w:val="24"/>
          <w:highlight w:val="none"/>
          <w:lang w:val="en-US" w:eastAsia="zh-CN"/>
        </w:rPr>
        <w:t>6.2.1.1基本原则</w:t>
      </w:r>
      <w:bookmarkEnd w:id="983"/>
      <w:bookmarkEnd w:id="984"/>
      <w:bookmarkEnd w:id="985"/>
      <w:bookmarkEnd w:id="986"/>
      <w:bookmarkEnd w:id="987"/>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32"/>
          <w:highlight w:val="none"/>
        </w:rPr>
      </w:pPr>
      <w:r>
        <w:rPr>
          <w:rFonts w:hint="default" w:ascii="Times New Roman" w:hAnsi="Times New Roman" w:eastAsia="宋体" w:cs="Times New Roman"/>
          <w:color w:val="auto"/>
          <w:spacing w:val="0"/>
          <w:w w:val="100"/>
          <w:kern w:val="0"/>
          <w:position w:val="0"/>
          <w:szCs w:val="32"/>
          <w:highlight w:val="none"/>
        </w:rPr>
        <w:t>环境空气污染防治首先要通过治理措施的优化，使本项目向外环境排放的大气污染物满足国家和地方的排放标准，并使其通过大气输送与扩散后满足环境质量标准的要求。其次，尽可能地考虑到环境标准的逐步严格，在经济合理的条件下，采取使本项目排放的大气污染物对环境影响程度尽可能小的预防和治理措施。</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bookmarkStart w:id="988" w:name="_Toc491610124"/>
      <w:bookmarkStart w:id="989" w:name="_Toc25471"/>
      <w:bookmarkStart w:id="990" w:name="_Toc484463537"/>
      <w:bookmarkStart w:id="991" w:name="_Toc387745704"/>
      <w:bookmarkStart w:id="992" w:name="_Toc21092"/>
      <w:r>
        <w:rPr>
          <w:rFonts w:hint="default" w:ascii="Times New Roman" w:hAnsi="Times New Roman" w:eastAsia="宋体" w:cs="Times New Roman"/>
          <w:b/>
          <w:color w:val="auto"/>
          <w:spacing w:val="0"/>
          <w:w w:val="100"/>
          <w:kern w:val="0"/>
          <w:position w:val="0"/>
          <w:sz w:val="24"/>
          <w:highlight w:val="none"/>
          <w:lang w:val="en-US" w:eastAsia="zh-CN"/>
        </w:rPr>
        <w:t>6.2.1.2治理措施评述</w:t>
      </w:r>
      <w:bookmarkEnd w:id="988"/>
      <w:bookmarkEnd w:id="989"/>
      <w:bookmarkEnd w:id="990"/>
      <w:bookmarkEnd w:id="991"/>
      <w:bookmarkEnd w:id="992"/>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32"/>
          <w:highlight w:val="none"/>
        </w:rPr>
        <w:fldChar w:fldCharType="begin"/>
      </w:r>
      <w:r>
        <w:rPr>
          <w:rFonts w:hint="default" w:ascii="Times New Roman" w:hAnsi="Times New Roman" w:eastAsia="宋体" w:cs="Times New Roman"/>
          <w:color w:val="auto"/>
          <w:spacing w:val="0"/>
          <w:w w:val="100"/>
          <w:kern w:val="0"/>
          <w:position w:val="0"/>
          <w:szCs w:val="32"/>
          <w:highlight w:val="none"/>
        </w:rPr>
        <w:instrText xml:space="preserve"> = 1 \* GB2 \* MERGEFORMAT </w:instrText>
      </w:r>
      <w:r>
        <w:rPr>
          <w:rFonts w:hint="default" w:ascii="Times New Roman" w:hAnsi="Times New Roman" w:eastAsia="宋体" w:cs="Times New Roman"/>
          <w:color w:val="auto"/>
          <w:spacing w:val="0"/>
          <w:w w:val="100"/>
          <w:kern w:val="0"/>
          <w:position w:val="0"/>
          <w:szCs w:val="32"/>
          <w:highlight w:val="none"/>
        </w:rPr>
        <w:fldChar w:fldCharType="separate"/>
      </w:r>
      <w:r>
        <w:rPr>
          <w:rFonts w:hint="default" w:ascii="Times New Roman" w:hAnsi="Times New Roman" w:eastAsia="宋体" w:cs="Times New Roman"/>
          <w:color w:val="auto"/>
          <w:spacing w:val="0"/>
          <w:w w:val="100"/>
          <w:kern w:val="0"/>
          <w:position w:val="0"/>
          <w:highlight w:val="none"/>
        </w:rPr>
        <w:t>⑴</w:t>
      </w:r>
      <w:r>
        <w:rPr>
          <w:rFonts w:hint="default" w:ascii="Times New Roman" w:hAnsi="Times New Roman" w:eastAsia="宋体" w:cs="Times New Roman"/>
          <w:color w:val="auto"/>
          <w:spacing w:val="0"/>
          <w:w w:val="100"/>
          <w:kern w:val="0"/>
          <w:position w:val="0"/>
          <w:szCs w:val="32"/>
          <w:highlight w:val="none"/>
        </w:rPr>
        <w:fldChar w:fldCharType="end"/>
      </w:r>
      <w:r>
        <w:rPr>
          <w:rFonts w:hint="default" w:ascii="Times New Roman" w:hAnsi="Times New Roman" w:eastAsia="宋体" w:cs="Times New Roman"/>
          <w:color w:val="auto"/>
          <w:spacing w:val="0"/>
          <w:w w:val="100"/>
          <w:kern w:val="0"/>
          <w:position w:val="0"/>
          <w:szCs w:val="24"/>
          <w:highlight w:val="none"/>
        </w:rPr>
        <w:t>恶臭污染物</w:t>
      </w:r>
    </w:p>
    <w:p>
      <w:pPr>
        <w:widowControl w:val="0"/>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本项目恶臭主要来源于</w:t>
      </w:r>
      <w:r>
        <w:rPr>
          <w:rFonts w:hint="eastAsia" w:ascii="Times New Roman" w:hAnsi="Times New Roman" w:cs="Times New Roman"/>
          <w:color w:val="auto"/>
          <w:spacing w:val="0"/>
          <w:w w:val="100"/>
          <w:kern w:val="0"/>
          <w:position w:val="0"/>
          <w:sz w:val="24"/>
          <w:highlight w:val="none"/>
          <w:lang w:eastAsia="zh-CN"/>
        </w:rPr>
        <w:t>牛舍</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及污水处理区</w:t>
      </w:r>
      <w:r>
        <w:rPr>
          <w:rFonts w:hint="default" w:ascii="Times New Roman" w:hAnsi="Times New Roman" w:eastAsia="宋体" w:cs="Times New Roman"/>
          <w:bCs/>
          <w:color w:val="auto"/>
          <w:spacing w:val="0"/>
          <w:w w:val="100"/>
          <w:kern w:val="0"/>
          <w:position w:val="0"/>
          <w:sz w:val="24"/>
          <w:highlight w:val="none"/>
        </w:rPr>
        <w:t>，污染物为NH</w:t>
      </w:r>
      <w:r>
        <w:rPr>
          <w:rFonts w:hint="default" w:ascii="Times New Roman" w:hAnsi="Times New Roman" w:eastAsia="宋体" w:cs="Times New Roman"/>
          <w:bCs/>
          <w:color w:val="auto"/>
          <w:spacing w:val="0"/>
          <w:w w:val="100"/>
          <w:kern w:val="0"/>
          <w:position w:val="0"/>
          <w:sz w:val="24"/>
          <w:highlight w:val="none"/>
          <w:vertAlign w:val="subscript"/>
        </w:rPr>
        <w:t>3</w:t>
      </w:r>
      <w:r>
        <w:rPr>
          <w:rFonts w:hint="default" w:ascii="Times New Roman" w:hAnsi="Times New Roman" w:eastAsia="宋体" w:cs="Times New Roman"/>
          <w:bCs/>
          <w:color w:val="auto"/>
          <w:spacing w:val="0"/>
          <w:w w:val="100"/>
          <w:kern w:val="0"/>
          <w:position w:val="0"/>
          <w:sz w:val="24"/>
          <w:highlight w:val="none"/>
        </w:rPr>
        <w:t>和H</w:t>
      </w:r>
      <w:r>
        <w:rPr>
          <w:rFonts w:hint="default" w:ascii="Times New Roman" w:hAnsi="Times New Roman" w:eastAsia="宋体" w:cs="Times New Roman"/>
          <w:bCs/>
          <w:color w:val="auto"/>
          <w:spacing w:val="0"/>
          <w:w w:val="100"/>
          <w:kern w:val="0"/>
          <w:position w:val="0"/>
          <w:sz w:val="24"/>
          <w:highlight w:val="none"/>
          <w:vertAlign w:val="subscript"/>
        </w:rPr>
        <w:t>2</w:t>
      </w:r>
      <w:r>
        <w:rPr>
          <w:rFonts w:hint="default" w:ascii="Times New Roman" w:hAnsi="Times New Roman" w:eastAsia="宋体" w:cs="Times New Roman"/>
          <w:bCs/>
          <w:color w:val="auto"/>
          <w:spacing w:val="0"/>
          <w:w w:val="100"/>
          <w:kern w:val="0"/>
          <w:position w:val="0"/>
          <w:sz w:val="24"/>
          <w:highlight w:val="none"/>
        </w:rPr>
        <w:t>S等恶臭气体，项目的恶臭污染源较分散，集中处理困难，最有效的控制方法是预防为主，在恶臭产生的源头就地处理，本次评价主要提出如下防治措施：</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①加强恶臭污染源管理</w:t>
      </w:r>
    </w:p>
    <w:p>
      <w:pPr>
        <w:numPr>
          <w:ilvl w:val="0"/>
          <w:numId w:val="1"/>
        </w:num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在牛粪干湿分离、</w:t>
      </w:r>
      <w:r>
        <w:rPr>
          <w:rFonts w:hint="default" w:ascii="Times New Roman" w:hAnsi="Times New Roman" w:cs="Times New Roman"/>
          <w:color w:val="auto"/>
          <w:spacing w:val="0"/>
          <w:w w:val="100"/>
          <w:kern w:val="0"/>
          <w:position w:val="0"/>
          <w:sz w:val="24"/>
          <w:highlight w:val="none"/>
          <w:lang w:eastAsia="zh-CN"/>
        </w:rPr>
        <w:t>堆粪棚</w:t>
      </w:r>
      <w:r>
        <w:rPr>
          <w:rFonts w:hint="default" w:ascii="Times New Roman" w:hAnsi="Times New Roman" w:eastAsia="宋体" w:cs="Times New Roman"/>
          <w:color w:val="auto"/>
          <w:spacing w:val="0"/>
          <w:w w:val="100"/>
          <w:kern w:val="0"/>
          <w:position w:val="0"/>
          <w:sz w:val="24"/>
          <w:highlight w:val="none"/>
        </w:rPr>
        <w:t>等加入对粪污进行降解除臭的特定微生物菌种，从源头减缓恶臭。</w:t>
      </w:r>
    </w:p>
    <w:p>
      <w:pPr>
        <w:numPr>
          <w:ilvl w:val="0"/>
          <w:numId w:val="1"/>
        </w:num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建设单位应及时对</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的牛粪进行清理，采用干清粪方式；</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内须加强通风，及时清理粪便，减少恶臭污染。</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C、对</w:t>
      </w:r>
      <w:r>
        <w:rPr>
          <w:rFonts w:hint="default" w:ascii="Times New Roman" w:hAnsi="Times New Roman" w:cs="Times New Roman"/>
          <w:bCs/>
          <w:color w:val="auto"/>
          <w:spacing w:val="0"/>
          <w:w w:val="100"/>
          <w:kern w:val="0"/>
          <w:position w:val="0"/>
          <w:sz w:val="24"/>
          <w:highlight w:val="none"/>
          <w:lang w:eastAsia="zh-CN"/>
        </w:rPr>
        <w:t>堆粪棚</w:t>
      </w:r>
      <w:r>
        <w:rPr>
          <w:rFonts w:hint="default" w:ascii="Times New Roman" w:hAnsi="Times New Roman" w:eastAsia="宋体" w:cs="Times New Roman"/>
          <w:bCs/>
          <w:color w:val="auto"/>
          <w:spacing w:val="0"/>
          <w:w w:val="100"/>
          <w:kern w:val="0"/>
          <w:position w:val="0"/>
          <w:sz w:val="24"/>
          <w:highlight w:val="none"/>
        </w:rPr>
        <w:t>的牛粪贮存和水处理设施加强过程控制和清运管理，减少牛粪堆存，以减轻臭味对区域环境的影响。</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D、为防止蚊蝇孳生，应根据蚊蝇生活习性，采用人工、机械配合喷药的方法预防蚊蝇孳生。</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E、加强</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与饲料堆放地的灭鼠工作，预防疾病的传播。</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②强化</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的消毒措施</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A</w:t>
      </w:r>
      <w:r>
        <w:rPr>
          <w:rFonts w:hint="default" w:ascii="Times New Roman" w:hAnsi="Times New Roman" w:eastAsia="宋体" w:cs="Times New Roman"/>
          <w:bCs/>
          <w:color w:val="auto"/>
          <w:spacing w:val="0"/>
          <w:w w:val="100"/>
          <w:kern w:val="0"/>
          <w:position w:val="0"/>
          <w:sz w:val="24"/>
          <w:highlight w:val="none"/>
          <w:lang w:eastAsia="zh-CN"/>
        </w:rPr>
        <w:t>、</w:t>
      </w:r>
      <w:r>
        <w:rPr>
          <w:rFonts w:hint="default" w:ascii="Times New Roman" w:hAnsi="Times New Roman" w:eastAsia="宋体" w:cs="Times New Roman"/>
          <w:bCs/>
          <w:color w:val="auto"/>
          <w:spacing w:val="0"/>
          <w:w w:val="100"/>
          <w:kern w:val="0"/>
          <w:position w:val="0"/>
          <w:sz w:val="24"/>
          <w:highlight w:val="none"/>
        </w:rPr>
        <w:t>全部</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必须配备消毒设备。</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B</w:t>
      </w:r>
      <w:r>
        <w:rPr>
          <w:rFonts w:hint="default" w:ascii="Times New Roman" w:hAnsi="Times New Roman" w:eastAsia="宋体" w:cs="Times New Roman"/>
          <w:bCs/>
          <w:color w:val="auto"/>
          <w:spacing w:val="0"/>
          <w:w w:val="100"/>
          <w:kern w:val="0"/>
          <w:position w:val="0"/>
          <w:sz w:val="24"/>
          <w:highlight w:val="none"/>
          <w:lang w:eastAsia="zh-CN"/>
        </w:rPr>
        <w:t>、</w:t>
      </w:r>
      <w:r>
        <w:rPr>
          <w:rFonts w:hint="default" w:ascii="Times New Roman" w:hAnsi="Times New Roman" w:eastAsia="宋体" w:cs="Times New Roman"/>
          <w:bCs/>
          <w:color w:val="auto"/>
          <w:spacing w:val="0"/>
          <w:w w:val="100"/>
          <w:kern w:val="0"/>
          <w:position w:val="0"/>
          <w:sz w:val="24"/>
          <w:highlight w:val="none"/>
        </w:rPr>
        <w:t>大门进出口设有车辆清洗消毒设施。</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C</w:t>
      </w:r>
      <w:r>
        <w:rPr>
          <w:rFonts w:hint="default" w:ascii="Times New Roman" w:hAnsi="Times New Roman" w:eastAsia="宋体" w:cs="Times New Roman"/>
          <w:bCs/>
          <w:color w:val="auto"/>
          <w:spacing w:val="0"/>
          <w:w w:val="100"/>
          <w:kern w:val="0"/>
          <w:position w:val="0"/>
          <w:sz w:val="24"/>
          <w:highlight w:val="none"/>
          <w:lang w:eastAsia="zh-CN"/>
        </w:rPr>
        <w:t>、</w:t>
      </w:r>
      <w:r>
        <w:rPr>
          <w:rFonts w:hint="default" w:ascii="Times New Roman" w:hAnsi="Times New Roman" w:eastAsia="宋体" w:cs="Times New Roman"/>
          <w:bCs/>
          <w:color w:val="auto"/>
          <w:spacing w:val="0"/>
          <w:w w:val="100"/>
          <w:kern w:val="0"/>
          <w:position w:val="0"/>
          <w:sz w:val="24"/>
          <w:highlight w:val="none"/>
        </w:rPr>
        <w:t>病畜隔离间必须设车轮、鞋靴消毒池。</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3 \* GB3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③</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科学的设计日粮，提高饲料利用率</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牛采食饲料后，饲料在消化道内消化过程中（尤其是后段肠道），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采用经氨基酸平衡的低蛋白日粮：用合成氨基酸取代日粮中完整蛋白质可有效减少排泄中的氮。在低蛋白日粮中补充氨基酸可使氮的排出量减少3.2%～62%，当日粮粗蛋白降低至10g/kg体重时，氨态氮在排泄物中的含量降低9%。</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4 \* GB3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④</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加强绿化</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A、本项目在厂界均设置绿化隔离带。鉴于养殖行业的特殊性，在树种选择上，不仅要考虑美化效果，还必须考虑在除臭、防火、吸尘、杀菌等方面的作用。建议选用白杨树、沙枣树、国槐等本地乡土树种。</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B、在办公区、职工生活区设置绿化带，场内空地和公路边尽量植树及种植花草形成多层防护层，以最大限度地防止场区牲畜粪便臭味对周围的影响。在防护距离内，</w:t>
      </w:r>
      <w:r>
        <w:rPr>
          <w:rFonts w:hint="default" w:ascii="Times New Roman" w:hAnsi="Times New Roman" w:eastAsia="宋体" w:cs="Times New Roman"/>
          <w:bCs/>
          <w:color w:val="auto"/>
          <w:spacing w:val="0"/>
          <w:w w:val="100"/>
          <w:kern w:val="0"/>
          <w:position w:val="0"/>
          <w:sz w:val="24"/>
          <w:highlight w:val="none"/>
          <w:lang w:eastAsia="zh-CN"/>
        </w:rPr>
        <w:t>提高植被覆盖度</w:t>
      </w:r>
      <w:r>
        <w:rPr>
          <w:rFonts w:hint="default" w:ascii="Times New Roman" w:hAnsi="Times New Roman" w:eastAsia="宋体" w:cs="Times New Roman"/>
          <w:bCs/>
          <w:color w:val="auto"/>
          <w:spacing w:val="0"/>
          <w:w w:val="100"/>
          <w:kern w:val="0"/>
          <w:position w:val="0"/>
          <w:sz w:val="24"/>
          <w:highlight w:val="none"/>
        </w:rPr>
        <w:t>，组成一道绿色防护屏障，以减少无组织排放对周围环境的影响。</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5 \* GB3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⑤</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合理布局</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将易产生恶臭的建构筑物设置在下风向或侧风向，生产区和办公区分开，并设置防护林带，以减小恶臭对办公生活区的影响。</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fldChar w:fldCharType="begin"/>
      </w:r>
      <w:r>
        <w:rPr>
          <w:rFonts w:hint="default" w:ascii="Times New Roman" w:hAnsi="Times New Roman" w:eastAsia="宋体" w:cs="Times New Roman"/>
          <w:bCs/>
          <w:color w:val="auto"/>
          <w:spacing w:val="0"/>
          <w:w w:val="100"/>
          <w:kern w:val="0"/>
          <w:position w:val="0"/>
          <w:sz w:val="24"/>
          <w:highlight w:val="none"/>
        </w:rPr>
        <w:instrText xml:space="preserve"> = 6 \* GB3 \* MERGEFORMAT </w:instrText>
      </w:r>
      <w:r>
        <w:rPr>
          <w:rFonts w:hint="default" w:ascii="Times New Roman" w:hAnsi="Times New Roman" w:eastAsia="宋体" w:cs="Times New Roman"/>
          <w:bCs/>
          <w:color w:val="auto"/>
          <w:spacing w:val="0"/>
          <w:w w:val="100"/>
          <w:kern w:val="0"/>
          <w:position w:val="0"/>
          <w:sz w:val="24"/>
          <w:highlight w:val="none"/>
        </w:rPr>
        <w:fldChar w:fldCharType="separate"/>
      </w:r>
      <w:r>
        <w:rPr>
          <w:rFonts w:hint="default" w:ascii="Times New Roman" w:hAnsi="Times New Roman" w:eastAsia="宋体" w:cs="Times New Roman"/>
          <w:bCs/>
          <w:color w:val="auto"/>
          <w:spacing w:val="0"/>
          <w:w w:val="100"/>
          <w:kern w:val="0"/>
          <w:position w:val="0"/>
          <w:sz w:val="24"/>
          <w:highlight w:val="none"/>
        </w:rPr>
        <w:t>⑥</w:t>
      </w:r>
      <w:r>
        <w:rPr>
          <w:rFonts w:hint="default" w:ascii="Times New Roman" w:hAnsi="Times New Roman" w:eastAsia="宋体" w:cs="Times New Roman"/>
          <w:bCs/>
          <w:color w:val="auto"/>
          <w:spacing w:val="0"/>
          <w:w w:val="100"/>
          <w:kern w:val="0"/>
          <w:position w:val="0"/>
          <w:sz w:val="24"/>
          <w:highlight w:val="none"/>
        </w:rPr>
        <w:fldChar w:fldCharType="end"/>
      </w:r>
      <w:r>
        <w:rPr>
          <w:rFonts w:hint="default" w:ascii="Times New Roman" w:hAnsi="Times New Roman" w:eastAsia="宋体" w:cs="Times New Roman"/>
          <w:bCs/>
          <w:color w:val="auto"/>
          <w:spacing w:val="0"/>
          <w:w w:val="100"/>
          <w:kern w:val="0"/>
          <w:position w:val="0"/>
          <w:sz w:val="24"/>
          <w:highlight w:val="none"/>
        </w:rPr>
        <w:t>安全管理</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在项目建成正常运行后，对职工要进行事故处置培训；对设定的各种监控仪器要定期维护，使其正常运行，确保对恶臭的监测、控制、防治作用落实到位。</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综上所述，本项目采取以上措施后，恶臭场界浓度可以达标，防治措施可行。</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通过采取上述措施，可有效降低恶臭对周围环境的影响。</w:t>
      </w:r>
    </w:p>
    <w:p>
      <w:pPr>
        <w:adjustRightInd w:val="0"/>
        <w:snapToGrid w:val="0"/>
        <w:spacing w:line="360" w:lineRule="auto"/>
        <w:ind w:firstLine="482" w:firstLineChars="200"/>
        <w:jc w:val="both"/>
        <w:rPr>
          <w:rFonts w:hint="default" w:ascii="Times New Roman" w:hAnsi="Times New Roman" w:eastAsia="宋体" w:cs="Times New Roman"/>
          <w:b/>
          <w:bCs/>
          <w:color w:val="auto"/>
          <w:spacing w:val="0"/>
          <w:w w:val="100"/>
          <w:kern w:val="0"/>
          <w:position w:val="0"/>
          <w:sz w:val="24"/>
          <w:highlight w:val="none"/>
        </w:rPr>
      </w:pPr>
      <w:r>
        <w:rPr>
          <w:rFonts w:hint="default" w:ascii="Times New Roman" w:hAnsi="Times New Roman" w:eastAsia="宋体" w:cs="Times New Roman"/>
          <w:b/>
          <w:bCs/>
          <w:color w:val="auto"/>
          <w:spacing w:val="0"/>
          <w:w w:val="100"/>
          <w:kern w:val="0"/>
          <w:position w:val="0"/>
          <w:sz w:val="24"/>
          <w:highlight w:val="none"/>
        </w:rPr>
        <w:t>综上所述，本项目采取的废气防治措施合可行。</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993" w:name="_Toc29294"/>
      <w:bookmarkStart w:id="994" w:name="_Toc21024"/>
      <w:bookmarkStart w:id="995" w:name="_Toc16205"/>
      <w:bookmarkStart w:id="996" w:name="_Toc20883"/>
      <w:bookmarkStart w:id="997" w:name="_Toc15425"/>
      <w:bookmarkStart w:id="998" w:name="_Toc5338"/>
      <w:r>
        <w:rPr>
          <w:rFonts w:hint="default" w:ascii="Times New Roman" w:hAnsi="Times New Roman" w:eastAsia="宋体" w:cs="Times New Roman"/>
          <w:snapToGrid w:val="0"/>
          <w:color w:val="auto"/>
          <w:spacing w:val="0"/>
          <w:w w:val="100"/>
          <w:kern w:val="0"/>
          <w:position w:val="0"/>
          <w:sz w:val="28"/>
          <w:szCs w:val="28"/>
          <w:highlight w:val="none"/>
          <w:lang w:val="en-US" w:eastAsia="zh-CN"/>
        </w:rPr>
        <w:t>6.2.2地表水污染防治措施评述</w:t>
      </w:r>
      <w:bookmarkEnd w:id="993"/>
      <w:bookmarkEnd w:id="994"/>
      <w:bookmarkEnd w:id="995"/>
      <w:bookmarkEnd w:id="996"/>
      <w:bookmarkEnd w:id="997"/>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本项目废水主要为生产废水（为挤奶厅、奶缸等设施清洗废水、挤奶厅地面冲洗</w:t>
      </w:r>
      <w:r>
        <w:rPr>
          <w:rFonts w:hint="default" w:ascii="Times New Roman" w:hAnsi="Times New Roman" w:eastAsia="宋体" w:cs="Times New Roman"/>
          <w:color w:val="auto"/>
          <w:spacing w:val="0"/>
          <w:w w:val="100"/>
          <w:kern w:val="0"/>
          <w:position w:val="0"/>
          <w:sz w:val="24"/>
          <w:highlight w:val="none"/>
          <w:lang w:val="zh-CN" w:eastAsia="zh-CN"/>
        </w:rPr>
        <w:t>废水、</w:t>
      </w:r>
      <w:r>
        <w:rPr>
          <w:rFonts w:hint="default" w:ascii="Times New Roman" w:hAnsi="Times New Roman" w:eastAsia="宋体" w:cs="Times New Roman"/>
          <w:color w:val="auto"/>
          <w:spacing w:val="0"/>
          <w:w w:val="100"/>
          <w:kern w:val="0"/>
          <w:position w:val="0"/>
          <w:sz w:val="24"/>
          <w:highlight w:val="none"/>
          <w:lang w:val="zh-CN"/>
        </w:rPr>
        <w:t>牛槽清洗废水等）及工作人员产生的生活废水。项目生产废水</w:t>
      </w:r>
      <w:r>
        <w:rPr>
          <w:rFonts w:hint="default" w:ascii="Times New Roman" w:hAnsi="Times New Roman" w:eastAsia="宋体" w:cs="Times New Roman"/>
          <w:color w:val="auto"/>
          <w:spacing w:val="0"/>
          <w:w w:val="100"/>
          <w:kern w:val="0"/>
          <w:position w:val="0"/>
          <w:sz w:val="24"/>
          <w:szCs w:val="24"/>
          <w:highlight w:val="none"/>
          <w:lang w:val="zh-CN"/>
        </w:rPr>
        <w:t>产生量为</w:t>
      </w:r>
      <w:r>
        <w:rPr>
          <w:rFonts w:hint="default" w:ascii="Times New Roman" w:hAnsi="Times New Roman" w:cs="Times New Roman"/>
          <w:color w:val="auto"/>
          <w:spacing w:val="0"/>
          <w:w w:val="100"/>
          <w:kern w:val="0"/>
          <w:position w:val="0"/>
          <w:sz w:val="24"/>
          <w:highlight w:val="none"/>
          <w:lang w:val="en-US" w:eastAsia="zh-CN"/>
        </w:rPr>
        <w:t>29565</w:t>
      </w:r>
      <w:r>
        <w:rPr>
          <w:rFonts w:hint="default" w:ascii="Times New Roman" w:hAnsi="Times New Roman" w:eastAsia="宋体" w:cs="Times New Roman"/>
          <w:color w:val="auto"/>
          <w:spacing w:val="0"/>
          <w:w w:val="100"/>
          <w:kern w:val="0"/>
          <w:position w:val="0"/>
          <w:sz w:val="24"/>
          <w:szCs w:val="24"/>
          <w:highlight w:val="none"/>
          <w:lang w:val="zh-CN"/>
        </w:rPr>
        <w:t>m</w:t>
      </w:r>
      <w:r>
        <w:rPr>
          <w:rFonts w:hint="default" w:ascii="Times New Roman" w:hAnsi="Times New Roman" w:eastAsia="宋体" w:cs="Times New Roman"/>
          <w:color w:val="auto"/>
          <w:spacing w:val="0"/>
          <w:w w:val="100"/>
          <w:kern w:val="0"/>
          <w:position w:val="0"/>
          <w:sz w:val="24"/>
          <w:szCs w:val="24"/>
          <w:highlight w:val="none"/>
          <w:vertAlign w:val="superscript"/>
          <w:lang w:val="zh-CN"/>
        </w:rPr>
        <w:t>3</w:t>
      </w:r>
      <w:r>
        <w:rPr>
          <w:rFonts w:hint="default" w:ascii="Times New Roman" w:hAnsi="Times New Roman" w:eastAsia="宋体" w:cs="Times New Roman"/>
          <w:color w:val="auto"/>
          <w:spacing w:val="0"/>
          <w:w w:val="100"/>
          <w:kern w:val="0"/>
          <w:position w:val="0"/>
          <w:sz w:val="24"/>
          <w:szCs w:val="24"/>
          <w:highlight w:val="none"/>
          <w:lang w:val="zh-CN"/>
        </w:rPr>
        <w:t>/a</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lang w:val="zh-CN"/>
        </w:rPr>
        <w:t>生活污水产生量</w:t>
      </w:r>
      <w:r>
        <w:rPr>
          <w:rFonts w:hint="default" w:ascii="Times New Roman" w:hAnsi="Times New Roman" w:cs="Times New Roman"/>
          <w:color w:val="auto"/>
          <w:spacing w:val="0"/>
          <w:w w:val="100"/>
          <w:kern w:val="0"/>
          <w:position w:val="0"/>
          <w:sz w:val="24"/>
          <w:highlight w:val="none"/>
          <w:lang w:val="en-US" w:eastAsia="zh-CN"/>
        </w:rPr>
        <w:t>1200</w:t>
      </w:r>
      <w:r>
        <w:rPr>
          <w:rFonts w:hint="default" w:ascii="Times New Roman" w:hAnsi="Times New Roman" w:eastAsia="宋体" w:cs="Times New Roman"/>
          <w:color w:val="auto"/>
          <w:spacing w:val="0"/>
          <w:w w:val="100"/>
          <w:kern w:val="0"/>
          <w:position w:val="0"/>
          <w:sz w:val="24"/>
          <w:highlight w:val="none"/>
          <w:lang w:val="zh-CN"/>
        </w:rPr>
        <w:t>m</w:t>
      </w:r>
      <w:r>
        <w:rPr>
          <w:rFonts w:hint="default" w:ascii="Times New Roman" w:hAnsi="Times New Roman" w:eastAsia="宋体" w:cs="Times New Roman"/>
          <w:color w:val="auto"/>
          <w:spacing w:val="0"/>
          <w:w w:val="100"/>
          <w:kern w:val="0"/>
          <w:position w:val="0"/>
          <w:sz w:val="24"/>
          <w:highlight w:val="none"/>
          <w:vertAlign w:val="superscript"/>
          <w:lang w:val="zh-CN"/>
        </w:rPr>
        <w:t>3</w:t>
      </w:r>
      <w:r>
        <w:rPr>
          <w:rFonts w:hint="default" w:ascii="Times New Roman" w:hAnsi="Times New Roman" w:eastAsia="宋体" w:cs="Times New Roman"/>
          <w:color w:val="auto"/>
          <w:spacing w:val="0"/>
          <w:w w:val="100"/>
          <w:kern w:val="0"/>
          <w:position w:val="0"/>
          <w:sz w:val="24"/>
          <w:highlight w:val="none"/>
          <w:lang w:val="zh-CN"/>
        </w:rPr>
        <w:t>/a。</w:t>
      </w:r>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6.2.2.1废水处理方案</w:t>
      </w:r>
    </w:p>
    <w:p>
      <w:pPr>
        <w:pStyle w:val="38"/>
        <w:keepNext w:val="0"/>
        <w:keepLines w:val="0"/>
        <w:pageBreakBefore w:val="0"/>
        <w:widowControl w:val="0"/>
        <w:kinsoku/>
        <w:wordWrap/>
        <w:overflowPunct/>
        <w:topLinePunct w:val="0"/>
        <w:autoSpaceDE/>
        <w:autoSpaceDN/>
        <w:bidi w:val="0"/>
        <w:adjustRightInd w:val="0"/>
        <w:snapToGrid w:val="0"/>
        <w:spacing w:line="370" w:lineRule="auto"/>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(1)生产废水</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2"/>
          <w:highlight w:val="none"/>
          <w:lang w:val="en-US" w:eastAsia="zh-CN"/>
        </w:rPr>
      </w:pPr>
      <w:r>
        <w:rPr>
          <w:rFonts w:hint="default" w:ascii="Times New Roman" w:hAnsi="Times New Roman" w:eastAsia="宋体" w:cs="Times New Roman"/>
          <w:bCs/>
          <w:color w:val="auto"/>
          <w:spacing w:val="0"/>
          <w:w w:val="100"/>
          <w:kern w:val="0"/>
          <w:position w:val="0"/>
          <w:sz w:val="24"/>
          <w:szCs w:val="24"/>
          <w:highlight w:val="none"/>
        </w:rPr>
        <w:t>本项目生产废水包括</w:t>
      </w:r>
      <w:r>
        <w:rPr>
          <w:rFonts w:hint="default" w:ascii="Times New Roman" w:hAnsi="Times New Roman" w:eastAsia="宋体" w:cs="Times New Roman"/>
          <w:color w:val="auto"/>
          <w:spacing w:val="0"/>
          <w:w w:val="100"/>
          <w:kern w:val="0"/>
          <w:position w:val="0"/>
          <w:sz w:val="24"/>
          <w:highlight w:val="none"/>
          <w:lang w:val="zh-CN"/>
        </w:rPr>
        <w:t>挤奶厅、奶缸等设施清洗废水、挤奶厅地面冲洗</w:t>
      </w:r>
      <w:r>
        <w:rPr>
          <w:rFonts w:hint="default" w:ascii="Times New Roman" w:hAnsi="Times New Roman" w:eastAsia="宋体" w:cs="Times New Roman"/>
          <w:color w:val="auto"/>
          <w:spacing w:val="0"/>
          <w:w w:val="100"/>
          <w:kern w:val="0"/>
          <w:position w:val="0"/>
          <w:sz w:val="24"/>
          <w:highlight w:val="none"/>
          <w:lang w:val="zh-CN" w:eastAsia="zh-CN"/>
        </w:rPr>
        <w:t>废水、</w:t>
      </w:r>
      <w:r>
        <w:rPr>
          <w:rFonts w:hint="default" w:ascii="Times New Roman" w:hAnsi="Times New Roman" w:eastAsia="宋体" w:cs="Times New Roman"/>
          <w:color w:val="auto"/>
          <w:spacing w:val="0"/>
          <w:w w:val="100"/>
          <w:kern w:val="0"/>
          <w:position w:val="0"/>
          <w:sz w:val="24"/>
          <w:highlight w:val="none"/>
          <w:lang w:val="zh-CN"/>
        </w:rPr>
        <w:t>牛槽清洗废水</w:t>
      </w:r>
      <w:r>
        <w:rPr>
          <w:rFonts w:hint="default" w:ascii="Times New Roman" w:hAnsi="Times New Roman" w:eastAsia="宋体" w:cs="Times New Roman"/>
          <w:bCs/>
          <w:color w:val="auto"/>
          <w:spacing w:val="0"/>
          <w:w w:val="100"/>
          <w:kern w:val="0"/>
          <w:position w:val="0"/>
          <w:sz w:val="24"/>
          <w:szCs w:val="24"/>
          <w:highlight w:val="none"/>
          <w:lang w:val="zh-CN"/>
        </w:rPr>
        <w:t>，因混有牛尿、牛粪而呈现出高悬浮物、高</w:t>
      </w:r>
      <w:r>
        <w:rPr>
          <w:rFonts w:hint="default" w:ascii="Times New Roman" w:hAnsi="Times New Roman" w:eastAsia="宋体" w:cs="Times New Roman"/>
          <w:bCs/>
          <w:color w:val="auto"/>
          <w:spacing w:val="0"/>
          <w:w w:val="100"/>
          <w:kern w:val="0"/>
          <w:position w:val="0"/>
          <w:sz w:val="24"/>
          <w:szCs w:val="24"/>
          <w:highlight w:val="none"/>
        </w:rPr>
        <w:t>B/C、高氨氮的特点。生产废水中主要污染因子为：</w:t>
      </w:r>
      <w:r>
        <w:rPr>
          <w:rFonts w:hint="default" w:ascii="Times New Roman" w:hAnsi="Times New Roman" w:eastAsia="宋体" w:cs="Times New Roman"/>
          <w:color w:val="auto"/>
          <w:spacing w:val="0"/>
          <w:w w:val="100"/>
          <w:kern w:val="0"/>
          <w:position w:val="0"/>
          <w:sz w:val="24"/>
          <w:szCs w:val="22"/>
          <w:highlight w:val="none"/>
        </w:rPr>
        <w:t>COD、BOD</w:t>
      </w:r>
      <w:r>
        <w:rPr>
          <w:rFonts w:hint="default" w:ascii="Times New Roman" w:hAnsi="Times New Roman" w:eastAsia="宋体" w:cs="Times New Roman"/>
          <w:color w:val="auto"/>
          <w:spacing w:val="0"/>
          <w:w w:val="100"/>
          <w:kern w:val="0"/>
          <w:position w:val="0"/>
          <w:sz w:val="24"/>
          <w:szCs w:val="22"/>
          <w:highlight w:val="none"/>
          <w:vertAlign w:val="subscript"/>
        </w:rPr>
        <w:t>5</w:t>
      </w:r>
      <w:r>
        <w:rPr>
          <w:rFonts w:hint="default" w:ascii="Times New Roman" w:hAnsi="Times New Roman" w:eastAsia="宋体" w:cs="Times New Roman"/>
          <w:color w:val="auto"/>
          <w:spacing w:val="0"/>
          <w:w w:val="100"/>
          <w:kern w:val="0"/>
          <w:position w:val="0"/>
          <w:sz w:val="24"/>
          <w:szCs w:val="22"/>
          <w:highlight w:val="none"/>
        </w:rPr>
        <w:t>、SS、NH</w:t>
      </w:r>
      <w:r>
        <w:rPr>
          <w:rFonts w:hint="default" w:ascii="Times New Roman" w:hAnsi="Times New Roman" w:eastAsia="宋体" w:cs="Times New Roman"/>
          <w:color w:val="auto"/>
          <w:spacing w:val="0"/>
          <w:w w:val="100"/>
          <w:kern w:val="0"/>
          <w:position w:val="0"/>
          <w:sz w:val="24"/>
          <w:szCs w:val="22"/>
          <w:highlight w:val="none"/>
          <w:vertAlign w:val="subscript"/>
        </w:rPr>
        <w:t>3</w:t>
      </w:r>
      <w:r>
        <w:rPr>
          <w:rFonts w:hint="default" w:ascii="Times New Roman" w:hAnsi="Times New Roman" w:eastAsia="宋体" w:cs="Times New Roman"/>
          <w:color w:val="auto"/>
          <w:spacing w:val="0"/>
          <w:w w:val="100"/>
          <w:kern w:val="0"/>
          <w:position w:val="0"/>
          <w:sz w:val="24"/>
          <w:szCs w:val="22"/>
          <w:highlight w:val="none"/>
        </w:rPr>
        <w:t>-N、TN、TP</w:t>
      </w:r>
      <w:r>
        <w:rPr>
          <w:rFonts w:hint="default" w:ascii="Times New Roman" w:hAnsi="Times New Roman" w:eastAsia="宋体" w:cs="Times New Roman"/>
          <w:color w:val="auto"/>
          <w:spacing w:val="0"/>
          <w:w w:val="100"/>
          <w:kern w:val="0"/>
          <w:position w:val="0"/>
          <w:sz w:val="24"/>
          <w:szCs w:val="22"/>
          <w:highlight w:val="none"/>
          <w:lang w:eastAsia="zh-CN"/>
        </w:rPr>
        <w:t>、粪大肠杆菌、蛔虫卵</w:t>
      </w:r>
      <w:r>
        <w:rPr>
          <w:rFonts w:hint="default" w:ascii="Times New Roman" w:hAnsi="Times New Roman" w:eastAsia="宋体" w:cs="Times New Roman"/>
          <w:bCs/>
          <w:color w:val="auto"/>
          <w:spacing w:val="0"/>
          <w:w w:val="100"/>
          <w:kern w:val="0"/>
          <w:position w:val="0"/>
          <w:sz w:val="24"/>
          <w:szCs w:val="22"/>
          <w:highlight w:val="none"/>
        </w:rPr>
        <w:t>等</w:t>
      </w:r>
      <w:r>
        <w:rPr>
          <w:rFonts w:hint="default" w:ascii="Times New Roman" w:hAnsi="Times New Roman" w:eastAsia="宋体" w:cs="Times New Roman"/>
          <w:bCs/>
          <w:color w:val="auto"/>
          <w:spacing w:val="0"/>
          <w:w w:val="100"/>
          <w:kern w:val="0"/>
          <w:position w:val="0"/>
          <w:sz w:val="24"/>
          <w:szCs w:val="22"/>
          <w:highlight w:val="none"/>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2"/>
          <w:highlight w:val="none"/>
        </w:rPr>
      </w:pPr>
      <w:r>
        <w:rPr>
          <w:rFonts w:hint="default" w:ascii="Times New Roman" w:hAnsi="Times New Roman" w:eastAsia="宋体" w:cs="Times New Roman"/>
          <w:bCs/>
          <w:color w:val="auto"/>
          <w:spacing w:val="0"/>
          <w:w w:val="100"/>
          <w:kern w:val="0"/>
          <w:position w:val="0"/>
          <w:sz w:val="24"/>
          <w:szCs w:val="22"/>
          <w:highlight w:val="none"/>
        </w:rPr>
        <w:t>(2)生活污水</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rPr>
          <w:rFonts w:hint="default" w:ascii="Times New Roman" w:hAnsi="Times New Roman" w:eastAsia="宋体" w:cs="Times New Roman"/>
          <w:bCs/>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szCs w:val="24"/>
          <w:highlight w:val="none"/>
        </w:rPr>
        <w:t>生活污水主要污染因子为：</w:t>
      </w:r>
      <w:r>
        <w:rPr>
          <w:rFonts w:hint="default" w:ascii="Times New Roman" w:hAnsi="Times New Roman" w:eastAsia="宋体" w:cs="Times New Roman"/>
          <w:bCs/>
          <w:color w:val="auto"/>
          <w:spacing w:val="0"/>
          <w:w w:val="100"/>
          <w:kern w:val="0"/>
          <w:position w:val="0"/>
          <w:sz w:val="24"/>
          <w:szCs w:val="22"/>
          <w:highlight w:val="none"/>
        </w:rPr>
        <w:t>COD、BOD</w:t>
      </w:r>
      <w:r>
        <w:rPr>
          <w:rFonts w:hint="default" w:ascii="Times New Roman" w:hAnsi="Times New Roman" w:eastAsia="宋体" w:cs="Times New Roman"/>
          <w:bCs/>
          <w:color w:val="auto"/>
          <w:spacing w:val="0"/>
          <w:w w:val="100"/>
          <w:kern w:val="0"/>
          <w:position w:val="0"/>
          <w:sz w:val="24"/>
          <w:szCs w:val="22"/>
          <w:highlight w:val="none"/>
          <w:vertAlign w:val="subscript"/>
        </w:rPr>
        <w:t>5</w:t>
      </w:r>
      <w:r>
        <w:rPr>
          <w:rFonts w:hint="default" w:ascii="Times New Roman" w:hAnsi="Times New Roman" w:eastAsia="宋体" w:cs="Times New Roman"/>
          <w:bCs/>
          <w:color w:val="auto"/>
          <w:spacing w:val="0"/>
          <w:w w:val="100"/>
          <w:kern w:val="0"/>
          <w:position w:val="0"/>
          <w:sz w:val="24"/>
          <w:szCs w:val="22"/>
          <w:highlight w:val="none"/>
        </w:rPr>
        <w:t>、SS、NH</w:t>
      </w:r>
      <w:r>
        <w:rPr>
          <w:rFonts w:hint="default" w:ascii="Times New Roman" w:hAnsi="Times New Roman" w:eastAsia="宋体" w:cs="Times New Roman"/>
          <w:bCs/>
          <w:color w:val="auto"/>
          <w:spacing w:val="0"/>
          <w:w w:val="100"/>
          <w:kern w:val="0"/>
          <w:position w:val="0"/>
          <w:sz w:val="24"/>
          <w:szCs w:val="22"/>
          <w:highlight w:val="none"/>
          <w:vertAlign w:val="subscript"/>
        </w:rPr>
        <w:t>3</w:t>
      </w:r>
      <w:r>
        <w:rPr>
          <w:rFonts w:hint="default" w:ascii="Times New Roman" w:hAnsi="Times New Roman" w:eastAsia="宋体" w:cs="Times New Roman"/>
          <w:bCs/>
          <w:color w:val="auto"/>
          <w:spacing w:val="0"/>
          <w:w w:val="100"/>
          <w:kern w:val="0"/>
          <w:position w:val="0"/>
          <w:sz w:val="24"/>
          <w:szCs w:val="22"/>
          <w:highlight w:val="none"/>
        </w:rPr>
        <w:t>-N</w:t>
      </w:r>
      <w:r>
        <w:rPr>
          <w:rFonts w:hint="default" w:ascii="Times New Roman" w:hAnsi="Times New Roman" w:eastAsia="宋体" w:cs="Times New Roman"/>
          <w:bCs/>
          <w:color w:val="auto"/>
          <w:spacing w:val="0"/>
          <w:w w:val="100"/>
          <w:kern w:val="0"/>
          <w:position w:val="0"/>
          <w:sz w:val="24"/>
          <w:szCs w:val="22"/>
          <w:highlight w:val="none"/>
          <w:lang w:eastAsia="zh-CN"/>
        </w:rPr>
        <w:t>、粪大肠杆菌、蛔虫卵</w:t>
      </w:r>
      <w:r>
        <w:rPr>
          <w:rFonts w:hint="default" w:ascii="Times New Roman" w:hAnsi="Times New Roman" w:eastAsia="宋体" w:cs="Times New Roman"/>
          <w:bCs/>
          <w:color w:val="auto"/>
          <w:spacing w:val="0"/>
          <w:w w:val="100"/>
          <w:kern w:val="0"/>
          <w:position w:val="0"/>
          <w:sz w:val="24"/>
          <w:szCs w:val="22"/>
          <w:highlight w:val="none"/>
        </w:rPr>
        <w:t>。</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根据《畜禽养殖业污染防治技术规范》（HJ/T81-2001）要求，畜禽养殖过程产生的废水应坚持农牧种养结合的原则，经无害化处理后尽量充分还田，实现废水资源综合利用。建设单位根据奶牛养殖废水水量及特征，拟自建处理能力</w:t>
      </w:r>
      <w:r>
        <w:rPr>
          <w:rFonts w:hint="default" w:ascii="Times New Roman" w:hAnsi="Times New Roman" w:cs="Times New Roman"/>
          <w:color w:val="auto"/>
          <w:spacing w:val="0"/>
          <w:w w:val="100"/>
          <w:kern w:val="0"/>
          <w:position w:val="0"/>
          <w:sz w:val="24"/>
          <w:szCs w:val="22"/>
          <w:highlight w:val="none"/>
          <w:lang w:val="en-US" w:eastAsia="zh-CN"/>
        </w:rPr>
        <w:t>10</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/d的污水处理站一座，采用</w:t>
      </w:r>
      <w:r>
        <w:rPr>
          <w:rFonts w:hint="default" w:ascii="Times New Roman" w:hAnsi="Times New Roman" w:eastAsia="宋体" w:cs="Times New Roman"/>
          <w:color w:val="auto"/>
          <w:spacing w:val="0"/>
          <w:w w:val="100"/>
          <w:kern w:val="0"/>
          <w:position w:val="0"/>
          <w:sz w:val="24"/>
          <w:szCs w:val="22"/>
          <w:highlight w:val="none"/>
          <w:lang w:eastAsia="zh-CN"/>
        </w:rPr>
        <w:t>“初沉池+调节池+压滤机+中间水池+A/O/O反应池+二沉池+消毒池+氧化塘”</w:t>
      </w:r>
      <w:r>
        <w:rPr>
          <w:rFonts w:hint="default" w:ascii="Times New Roman" w:hAnsi="Times New Roman" w:eastAsia="宋体" w:cs="Times New Roman"/>
          <w:color w:val="auto"/>
          <w:spacing w:val="0"/>
          <w:w w:val="100"/>
          <w:kern w:val="0"/>
          <w:position w:val="0"/>
          <w:sz w:val="24"/>
          <w:szCs w:val="22"/>
          <w:highlight w:val="none"/>
        </w:rPr>
        <w:t>处理工艺，出水水质满足《农田灌溉水质标准》（GB5084-2005）中</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旱作</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标准，用于</w:t>
      </w:r>
      <w:r>
        <w:rPr>
          <w:rFonts w:hint="default" w:ascii="Times New Roman" w:hAnsi="Times New Roman" w:eastAsia="宋体" w:cs="Times New Roman"/>
          <w:color w:val="auto"/>
          <w:spacing w:val="0"/>
          <w:w w:val="100"/>
          <w:kern w:val="0"/>
          <w:position w:val="0"/>
          <w:sz w:val="24"/>
          <w:szCs w:val="22"/>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rPr>
        <w:t>。</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污水可生化有机物含量较高，氮磷营养丰富，且有固体残渣、泥砂、毛发等，水质本身可生化性能较好，且无其它对微生物有毒的物质。因此，这类污水非常适合采用预处理+生物法进行二级处理工艺，项目具体处理工艺采用</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lang w:val="zh-CN"/>
        </w:rPr>
        <w:t>初沉池+调节池+压滤机+中间水池+A/O/O反应池+二沉池+消毒池</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，该工艺COD总去除效率可达95%以上，它具有以下优点：可处理高浓度有机废水；投资费用低，能耗少、运行成本低；耐冲击负荷能力大；出水水质好、运行稳定、管理方便等特点。</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根据工程分析，确定本项目污水处理站进水水质为COD：5000mg/L，BOD</w:t>
      </w:r>
      <w:r>
        <w:rPr>
          <w:rFonts w:hint="default" w:ascii="Times New Roman" w:hAnsi="Times New Roman" w:eastAsia="宋体" w:cs="Times New Roman"/>
          <w:color w:val="auto"/>
          <w:spacing w:val="0"/>
          <w:w w:val="100"/>
          <w:kern w:val="0"/>
          <w:position w:val="0"/>
          <w:sz w:val="24"/>
          <w:szCs w:val="22"/>
          <w:highlight w:val="none"/>
          <w:vertAlign w:val="subscript"/>
        </w:rPr>
        <w:t>5</w:t>
      </w:r>
      <w:r>
        <w:rPr>
          <w:rFonts w:hint="default" w:ascii="Times New Roman" w:hAnsi="Times New Roman" w:eastAsia="宋体" w:cs="Times New Roman"/>
          <w:color w:val="auto"/>
          <w:spacing w:val="0"/>
          <w:w w:val="100"/>
          <w:kern w:val="0"/>
          <w:position w:val="0"/>
          <w:sz w:val="24"/>
          <w:szCs w:val="22"/>
          <w:highlight w:val="none"/>
        </w:rPr>
        <w:t>：1800mg/L，SS：1500mg/L，NH</w:t>
      </w:r>
      <w:r>
        <w:rPr>
          <w:rFonts w:hint="default" w:ascii="Times New Roman" w:hAnsi="Times New Roman" w:eastAsia="宋体" w:cs="Times New Roman"/>
          <w:color w:val="auto"/>
          <w:spacing w:val="0"/>
          <w:w w:val="100"/>
          <w:kern w:val="0"/>
          <w:position w:val="0"/>
          <w:sz w:val="24"/>
          <w:szCs w:val="22"/>
          <w:highlight w:val="none"/>
          <w:vertAlign w:val="subscript"/>
        </w:rPr>
        <w:t>3</w:t>
      </w:r>
      <w:r>
        <w:rPr>
          <w:rFonts w:hint="default" w:ascii="Times New Roman" w:hAnsi="Times New Roman" w:eastAsia="宋体" w:cs="Times New Roman"/>
          <w:color w:val="auto"/>
          <w:spacing w:val="0"/>
          <w:w w:val="100"/>
          <w:kern w:val="0"/>
          <w:position w:val="0"/>
          <w:sz w:val="24"/>
          <w:szCs w:val="22"/>
          <w:highlight w:val="none"/>
        </w:rPr>
        <w:t>-N：350mg/L。</w:t>
      </w:r>
    </w:p>
    <w:p>
      <w:pPr>
        <w:pStyle w:val="6"/>
        <w:snapToGrid w:val="0"/>
        <w:spacing w:before="120" w:after="120" w:line="360" w:lineRule="auto"/>
        <w:contextualSpacing/>
        <w:rPr>
          <w:rFonts w:hint="default" w:ascii="Times New Roman" w:hAnsi="Times New Roman" w:eastAsia="宋体" w:cs="Times New Roman"/>
          <w:b/>
          <w:color w:val="auto"/>
          <w:spacing w:val="0"/>
          <w:w w:val="100"/>
          <w:kern w:val="0"/>
          <w:position w:val="0"/>
          <w:sz w:val="24"/>
          <w:highlight w:val="none"/>
          <w:lang w:val="en-US" w:eastAsia="zh-CN"/>
        </w:rPr>
      </w:pPr>
      <w:r>
        <w:rPr>
          <w:rFonts w:hint="default" w:ascii="Times New Roman" w:hAnsi="Times New Roman" w:eastAsia="宋体" w:cs="Times New Roman"/>
          <w:b/>
          <w:color w:val="auto"/>
          <w:spacing w:val="0"/>
          <w:w w:val="100"/>
          <w:kern w:val="0"/>
          <w:position w:val="0"/>
          <w:sz w:val="24"/>
          <w:highlight w:val="none"/>
          <w:lang w:val="en-US" w:eastAsia="zh-CN"/>
        </w:rPr>
        <w:t>6.2.2.3废水处理可行性分析</w:t>
      </w:r>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999" w:name="_Toc13983"/>
      <w:bookmarkStart w:id="1000" w:name="_Toc19638"/>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废水处理规模可行性分析</w:t>
      </w:r>
      <w:bookmarkEnd w:id="999"/>
      <w:bookmarkEnd w:id="1000"/>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本项目废水产生总量为</w:t>
      </w:r>
      <w:r>
        <w:rPr>
          <w:rFonts w:hint="default" w:ascii="Times New Roman" w:hAnsi="Times New Roman" w:cs="Times New Roman"/>
          <w:color w:val="auto"/>
          <w:spacing w:val="0"/>
          <w:w w:val="100"/>
          <w:kern w:val="0"/>
          <w:position w:val="0"/>
          <w:sz w:val="24"/>
          <w:szCs w:val="24"/>
          <w:highlight w:val="none"/>
          <w:lang w:val="en-US" w:eastAsia="zh-CN"/>
        </w:rPr>
        <w:t>84.29m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/d，该污水处理站设计处理规模为</w:t>
      </w:r>
      <w:r>
        <w:rPr>
          <w:rFonts w:hint="default" w:ascii="Times New Roman" w:hAnsi="Times New Roman" w:cs="Times New Roman"/>
          <w:color w:val="auto"/>
          <w:spacing w:val="0"/>
          <w:w w:val="100"/>
          <w:kern w:val="0"/>
          <w:position w:val="0"/>
          <w:sz w:val="24"/>
          <w:szCs w:val="24"/>
          <w:highlight w:val="none"/>
          <w:lang w:val="en-US" w:eastAsia="zh-CN"/>
        </w:rPr>
        <w:t>10</w:t>
      </w:r>
      <w:r>
        <w:rPr>
          <w:rFonts w:hint="default" w:ascii="Times New Roman" w:hAnsi="Times New Roman" w:eastAsia="宋体" w:cs="Times New Roman"/>
          <w:color w:val="auto"/>
          <w:spacing w:val="0"/>
          <w:w w:val="100"/>
          <w:kern w:val="0"/>
          <w:position w:val="0"/>
          <w:sz w:val="24"/>
          <w:szCs w:val="24"/>
          <w:highlight w:val="none"/>
        </w:rPr>
        <w:t>0m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/d，满足本项目废水处理规模。</w:t>
      </w:r>
    </w:p>
    <w:p>
      <w:pPr>
        <w:pStyle w:val="16"/>
        <w:keepNext w:val="0"/>
        <w:keepLines w:val="0"/>
        <w:pageBreakBefore w:val="0"/>
        <w:widowControl w:val="0"/>
        <w:kinsoku/>
        <w:wordWrap/>
        <w:overflowPunct/>
        <w:topLinePunct w:val="0"/>
        <w:autoSpaceDE/>
        <w:autoSpaceDN/>
        <w:bidi w:val="0"/>
        <w:adjustRightInd w:val="0"/>
        <w:snapToGrid w:val="0"/>
        <w:spacing w:line="370" w:lineRule="auto"/>
        <w:ind w:left="420" w:leftChars="200"/>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1001" w:name="_Toc26581"/>
      <w:bookmarkStart w:id="1002" w:name="_Toc15351"/>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废水处理工艺达标可行性分析</w:t>
      </w:r>
      <w:bookmarkEnd w:id="1001"/>
      <w:bookmarkEnd w:id="1002"/>
    </w:p>
    <w:p>
      <w:pPr>
        <w:pStyle w:val="16"/>
        <w:keepNext w:val="0"/>
        <w:keepLines w:val="0"/>
        <w:pageBreakBefore w:val="0"/>
        <w:widowControl w:val="0"/>
        <w:kinsoku/>
        <w:wordWrap/>
        <w:overflowPunct/>
        <w:topLinePunct w:val="0"/>
        <w:autoSpaceDE/>
        <w:autoSpaceDN/>
        <w:bidi w:val="0"/>
        <w:adjustRightInd w:val="0"/>
        <w:snapToGrid w:val="0"/>
        <w:spacing w:line="37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本项目污水处理站污水处理效果具体指标见表6.2-</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pStyle w:val="16"/>
        <w:adjustRightInd w:val="0"/>
        <w:spacing w:line="240" w:lineRule="auto"/>
        <w:ind w:firstLine="480" w:firstLineChars="200"/>
        <w:jc w:val="both"/>
        <w:rPr>
          <w:rFonts w:hint="default" w:ascii="Times New Roman" w:hAnsi="Times New Roman" w:eastAsia="宋体" w:cs="Times New Roman"/>
          <w:b w:val="0"/>
          <w:bCs w:val="0"/>
          <w:color w:val="auto"/>
          <w:spacing w:val="0"/>
          <w:w w:val="100"/>
          <w:kern w:val="0"/>
          <w:positio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表6.2-1   污水处理站处理效果具体指标</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148"/>
        <w:gridCol w:w="1122"/>
        <w:gridCol w:w="1223"/>
        <w:gridCol w:w="1116"/>
        <w:gridCol w:w="1116"/>
        <w:gridCol w:w="1122"/>
        <w:gridCol w:w="9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63" w:type="pct"/>
            <w:vMerge w:val="restart"/>
            <w:tcBorders>
              <w:tl2br w:val="single" w:color="auto" w:sz="12" w:space="0"/>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kern w:val="0"/>
                <w:position w:val="0"/>
                <w:sz w:val="21"/>
                <w:szCs w:val="21"/>
                <w:highlight w:val="none"/>
              </w:rPr>
              <w:t>污染因子</w:t>
            </w:r>
          </w:p>
          <w:p>
            <w:pPr>
              <w:pStyle w:val="16"/>
              <w:keepNext w:val="0"/>
              <w:keepLines w:val="0"/>
              <w:pageBreakBefore w:val="0"/>
              <w:widowControl w:val="0"/>
              <w:kinsoku/>
              <w:wordWrap/>
              <w:overflowPunct/>
              <w:topLinePunct w:val="0"/>
              <w:autoSpaceDE/>
              <w:autoSpaceDN/>
              <w:bidi w:val="0"/>
              <w:adjustRightInd w:val="0"/>
              <w:snapToGrid w:val="0"/>
              <w:spacing w:beforeLines="50"/>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处理工段</w:t>
            </w:r>
          </w:p>
        </w:tc>
        <w:tc>
          <w:tcPr>
            <w:tcW w:w="664" w:type="pct"/>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COD</w:t>
            </w:r>
          </w:p>
        </w:tc>
        <w:tc>
          <w:tcPr>
            <w:tcW w:w="649" w:type="pct"/>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BOD</w:t>
            </w:r>
            <w:r>
              <w:rPr>
                <w:rFonts w:hint="default" w:ascii="Times New Roman" w:hAnsi="Times New Roman" w:eastAsia="宋体" w:cs="Times New Roman"/>
                <w:b/>
                <w:bCs/>
                <w:color w:val="auto"/>
                <w:spacing w:val="0"/>
                <w:w w:val="100"/>
                <w:kern w:val="0"/>
                <w:position w:val="0"/>
                <w:sz w:val="21"/>
                <w:szCs w:val="21"/>
                <w:highlight w:val="none"/>
                <w:vertAlign w:val="subscript"/>
              </w:rPr>
              <w:t>5</w:t>
            </w:r>
          </w:p>
        </w:tc>
        <w:tc>
          <w:tcPr>
            <w:tcW w:w="705"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SS</w:t>
            </w:r>
          </w:p>
        </w:tc>
        <w:tc>
          <w:tcPr>
            <w:tcW w:w="586"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NH</w:t>
            </w:r>
            <w:r>
              <w:rPr>
                <w:rFonts w:hint="default" w:ascii="Times New Roman" w:hAnsi="Times New Roman" w:eastAsia="宋体" w:cs="Times New Roman"/>
                <w:b/>
                <w:bCs/>
                <w:color w:val="auto"/>
                <w:spacing w:val="0"/>
                <w:w w:val="100"/>
                <w:kern w:val="0"/>
                <w:position w:val="0"/>
                <w:sz w:val="21"/>
                <w:szCs w:val="21"/>
                <w:highlight w:val="none"/>
                <w:vertAlign w:val="subscript"/>
              </w:rPr>
              <w:t>3</w:t>
            </w:r>
            <w:r>
              <w:rPr>
                <w:rFonts w:hint="default" w:ascii="Times New Roman" w:hAnsi="Times New Roman" w:eastAsia="宋体" w:cs="Times New Roman"/>
                <w:b/>
                <w:bCs/>
                <w:color w:val="auto"/>
                <w:spacing w:val="0"/>
                <w:w w:val="100"/>
                <w:kern w:val="0"/>
                <w:position w:val="0"/>
                <w:sz w:val="21"/>
                <w:szCs w:val="21"/>
                <w:highlight w:val="none"/>
              </w:rPr>
              <w:t>-N</w:t>
            </w:r>
          </w:p>
        </w:tc>
        <w:tc>
          <w:tcPr>
            <w:tcW w:w="52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TP</w:t>
            </w:r>
          </w:p>
        </w:tc>
        <w:tc>
          <w:tcPr>
            <w:tcW w:w="6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粪大肠菌群</w:t>
            </w:r>
          </w:p>
        </w:tc>
        <w:tc>
          <w:tcPr>
            <w:tcW w:w="552"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lang w:eastAsia="zh-CN"/>
              </w:rPr>
            </w:pPr>
            <w:r>
              <w:rPr>
                <w:rFonts w:hint="default" w:ascii="Times New Roman" w:hAnsi="Times New Roman" w:eastAsia="宋体" w:cs="Times New Roman"/>
                <w:b/>
                <w:bCs/>
                <w:color w:val="auto"/>
                <w:spacing w:val="0"/>
                <w:w w:val="100"/>
                <w:kern w:val="0"/>
                <w:position w:val="0"/>
                <w:sz w:val="21"/>
                <w:szCs w:val="21"/>
                <w:highlight w:val="none"/>
                <w:lang w:eastAsia="zh-CN"/>
              </w:rPr>
              <w:t>蛔虫卵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63" w:type="pct"/>
            <w:vMerge w:val="continue"/>
            <w:tcBorders>
              <w:tl2br w:val="single" w:color="auto" w:sz="12" w:space="0"/>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p>
        </w:tc>
        <w:tc>
          <w:tcPr>
            <w:tcW w:w="664" w:type="pct"/>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浓度（mg/L）</w:t>
            </w:r>
          </w:p>
        </w:tc>
        <w:tc>
          <w:tcPr>
            <w:tcW w:w="649" w:type="pct"/>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浓度（mg/L）</w:t>
            </w:r>
          </w:p>
        </w:tc>
        <w:tc>
          <w:tcPr>
            <w:tcW w:w="705"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浓度（mg/L）</w:t>
            </w:r>
          </w:p>
        </w:tc>
        <w:tc>
          <w:tcPr>
            <w:tcW w:w="586"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浓度（mg/L）</w:t>
            </w:r>
          </w:p>
        </w:tc>
        <w:tc>
          <w:tcPr>
            <w:tcW w:w="52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浓度（mg/L）</w:t>
            </w:r>
          </w:p>
        </w:tc>
        <w:tc>
          <w:tcPr>
            <w:tcW w:w="6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浓度（个/L）</w:t>
            </w:r>
          </w:p>
        </w:tc>
        <w:tc>
          <w:tcPr>
            <w:tcW w:w="552"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浓度（个/L）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pStyle w:val="16"/>
              <w:adjustRightInd w:val="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进水水质</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4</w:t>
            </w:r>
            <w:r>
              <w:rPr>
                <w:rFonts w:hint="eastAsia" w:ascii="Times New Roman" w:hAnsi="Times New Roman" w:cs="Times New Roman"/>
                <w:color w:val="auto"/>
                <w:spacing w:val="0"/>
                <w:w w:val="100"/>
                <w:kern w:val="0"/>
                <w:position w:val="0"/>
                <w:szCs w:val="21"/>
                <w:highlight w:val="none"/>
                <w:lang w:val="en-US" w:eastAsia="zh-CN"/>
              </w:rPr>
              <w:t>938.6</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1</w:t>
            </w:r>
            <w:r>
              <w:rPr>
                <w:rFonts w:hint="eastAsia" w:ascii="Times New Roman" w:hAnsi="Times New Roman" w:cs="Times New Roman"/>
                <w:color w:val="auto"/>
                <w:spacing w:val="0"/>
                <w:w w:val="100"/>
                <w:kern w:val="0"/>
                <w:position w:val="0"/>
                <w:szCs w:val="21"/>
                <w:highlight w:val="none"/>
                <w:lang w:val="en-US" w:eastAsia="zh-CN"/>
              </w:rPr>
              <w:t>779.4</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1483.7</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345.7</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49.3</w:t>
            </w:r>
          </w:p>
        </w:tc>
        <w:tc>
          <w:tcPr>
            <w:tcW w:w="649" w:type="pct"/>
            <w:tcBorders>
              <w:tl2br w:val="nil"/>
              <w:tr2bl w:val="nil"/>
            </w:tcBorders>
            <w:vAlign w:val="center"/>
          </w:tcPr>
          <w:p>
            <w:pPr>
              <w:pStyle w:val="16"/>
              <w:adjustRightInd w:val="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4.</w:t>
            </w:r>
            <w:r>
              <w:rPr>
                <w:rFonts w:hint="eastAsia" w:ascii="Times New Roman" w:hAnsi="Times New Roman" w:cs="Times New Roman"/>
                <w:b w:val="0"/>
                <w:bCs/>
                <w:color w:val="auto"/>
                <w:spacing w:val="0"/>
                <w:w w:val="100"/>
                <w:kern w:val="0"/>
                <w:position w:val="0"/>
                <w:sz w:val="21"/>
                <w:szCs w:val="21"/>
                <w:highlight w:val="none"/>
                <w:lang w:val="en-US" w:eastAsia="zh-CN"/>
              </w:rPr>
              <w:t>43</w:t>
            </w:r>
            <w:r>
              <w:rPr>
                <w:rFonts w:hint="default" w:ascii="Times New Roman" w:hAnsi="Times New Roman" w:eastAsia="宋体" w:cs="Times New Roman"/>
                <w:b w:val="0"/>
                <w:bCs/>
                <w:color w:val="auto"/>
                <w:spacing w:val="0"/>
                <w:w w:val="100"/>
                <w:kern w:val="0"/>
                <w:position w:val="0"/>
                <w:sz w:val="21"/>
                <w:szCs w:val="21"/>
                <w:highlight w:val="none"/>
              </w:rPr>
              <w:t>×10</w:t>
            </w:r>
            <w:r>
              <w:rPr>
                <w:rFonts w:hint="default" w:ascii="Times New Roman" w:hAnsi="Times New Roman" w:eastAsia="宋体" w:cs="Times New Roman"/>
                <w:b w:val="0"/>
                <w:bCs/>
                <w:color w:val="auto"/>
                <w:spacing w:val="0"/>
                <w:w w:val="100"/>
                <w:kern w:val="0"/>
                <w:position w:val="0"/>
                <w:sz w:val="21"/>
                <w:szCs w:val="21"/>
                <w:highlight w:val="none"/>
                <w:vertAlign w:val="superscript"/>
              </w:rPr>
              <w:t>5</w:t>
            </w:r>
          </w:p>
        </w:tc>
        <w:tc>
          <w:tcPr>
            <w:tcW w:w="552" w:type="pct"/>
            <w:tcBorders>
              <w:tl2br w:val="nil"/>
              <w:tr2bl w:val="nil"/>
            </w:tcBorders>
            <w:vAlign w:val="center"/>
          </w:tcPr>
          <w:p>
            <w:pPr>
              <w:pStyle w:val="16"/>
              <w:adjustRightInd w:val="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53</w:t>
            </w:r>
            <w:r>
              <w:rPr>
                <w:rFonts w:hint="default" w:ascii="Times New Roman" w:hAnsi="Times New Roman" w:eastAsia="宋体" w:cs="Times New Roman"/>
                <w:b w:val="0"/>
                <w:bCs/>
                <w:color w:val="auto"/>
                <w:spacing w:val="0"/>
                <w:w w:val="100"/>
                <w:kern w:val="0"/>
                <w:position w:val="0"/>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调节池</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4508.59</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1579.78</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1410.4</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325.16</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44.96</w:t>
            </w:r>
          </w:p>
        </w:tc>
        <w:tc>
          <w:tcPr>
            <w:tcW w:w="649"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r>
              <w:rPr>
                <w:rFonts w:hint="eastAsia" w:ascii="Times New Roman" w:hAnsi="Times New Roman" w:cs="Times New Roman"/>
                <w:color w:val="auto"/>
                <w:spacing w:val="0"/>
                <w:w w:val="100"/>
                <w:kern w:val="0"/>
                <w:position w:val="0"/>
                <w:szCs w:val="21"/>
                <w:highlight w:val="none"/>
                <w:lang w:val="en-US" w:eastAsia="zh-CN"/>
              </w:rPr>
              <w:t>43</w:t>
            </w:r>
            <w:r>
              <w:rPr>
                <w:rFonts w:hint="default" w:ascii="Times New Roman" w:hAnsi="Times New Roman" w:eastAsia="宋体" w:cs="Times New Roman"/>
                <w:color w:val="auto"/>
                <w:spacing w:val="0"/>
                <w:w w:val="100"/>
                <w:kern w:val="0"/>
                <w:position w:val="0"/>
                <w:szCs w:val="21"/>
                <w:highlight w:val="none"/>
              </w:rPr>
              <w:t>×10</w:t>
            </w:r>
            <w:r>
              <w:rPr>
                <w:rFonts w:hint="default" w:ascii="Times New Roman" w:hAnsi="Times New Roman" w:eastAsia="宋体" w:cs="Times New Roman"/>
                <w:color w:val="auto"/>
                <w:spacing w:val="0"/>
                <w:w w:val="100"/>
                <w:kern w:val="0"/>
                <w:position w:val="0"/>
                <w:szCs w:val="21"/>
                <w:highlight w:val="none"/>
                <w:vertAlign w:val="superscript"/>
              </w:rPr>
              <w:t>5</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val="en-US" w:eastAsia="zh-CN"/>
              </w:rPr>
              <w:t>53</w:t>
            </w:r>
            <w:r>
              <w:rPr>
                <w:rFonts w:hint="default" w:ascii="Times New Roman" w:hAnsi="Times New Roman" w:eastAsia="宋体" w:cs="Times New Roman"/>
                <w:color w:val="auto"/>
                <w:spacing w:val="0"/>
                <w:w w:val="100"/>
                <w:kern w:val="0"/>
                <w:position w:val="0"/>
                <w:sz w:val="21"/>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去除率</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5%</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11%</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75%</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2%</w:t>
            </w:r>
          </w:p>
        </w:tc>
        <w:tc>
          <w:tcPr>
            <w:tcW w:w="649" w:type="pct"/>
            <w:tcBorders>
              <w:tl2br w:val="nil"/>
              <w:tr2bl w:val="nil"/>
            </w:tcBorders>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552" w:type="pct"/>
            <w:tcBorders>
              <w:tl2br w:val="nil"/>
              <w:tr2bl w:val="nil"/>
            </w:tcBorders>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厌氧池+缺氧池+好氧池</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4283.16</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1406</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352.6</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318.66</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44.07</w:t>
            </w:r>
          </w:p>
        </w:tc>
        <w:tc>
          <w:tcPr>
            <w:tcW w:w="649"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r>
              <w:rPr>
                <w:rFonts w:hint="eastAsia" w:ascii="Times New Roman" w:hAnsi="Times New Roman" w:cs="Times New Roman"/>
                <w:color w:val="auto"/>
                <w:spacing w:val="0"/>
                <w:w w:val="100"/>
                <w:kern w:val="0"/>
                <w:position w:val="0"/>
                <w:szCs w:val="21"/>
                <w:highlight w:val="none"/>
                <w:lang w:val="en-US" w:eastAsia="zh-CN"/>
              </w:rPr>
              <w:t>43</w:t>
            </w:r>
            <w:r>
              <w:rPr>
                <w:rFonts w:hint="default" w:ascii="Times New Roman" w:hAnsi="Times New Roman" w:eastAsia="宋体" w:cs="Times New Roman"/>
                <w:color w:val="auto"/>
                <w:spacing w:val="0"/>
                <w:w w:val="100"/>
                <w:kern w:val="0"/>
                <w:position w:val="0"/>
                <w:szCs w:val="21"/>
                <w:highlight w:val="none"/>
              </w:rPr>
              <w:t>×10</w:t>
            </w:r>
            <w:r>
              <w:rPr>
                <w:rFonts w:hint="default" w:ascii="Times New Roman" w:hAnsi="Times New Roman" w:eastAsia="宋体" w:cs="Times New Roman"/>
                <w:color w:val="auto"/>
                <w:spacing w:val="0"/>
                <w:w w:val="100"/>
                <w:kern w:val="0"/>
                <w:position w:val="0"/>
                <w:szCs w:val="21"/>
                <w:highlight w:val="none"/>
                <w:vertAlign w:val="superscript"/>
              </w:rPr>
              <w:t>5</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53</w:t>
            </w:r>
            <w:r>
              <w:rPr>
                <w:rFonts w:hint="default" w:ascii="Times New Roman" w:hAnsi="Times New Roman" w:eastAsia="宋体" w:cs="Times New Roman"/>
                <w:color w:val="auto"/>
                <w:spacing w:val="0"/>
                <w:w w:val="100"/>
                <w:kern w:val="0"/>
                <w:position w:val="0"/>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去除率（%）</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96.2%</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97%</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90%</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91.8%</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85%</w:t>
            </w:r>
          </w:p>
        </w:tc>
        <w:tc>
          <w:tcPr>
            <w:tcW w:w="649"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消毒池</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val="en-US" w:eastAsia="zh-CN"/>
              </w:rPr>
              <w:t>172.9</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rPr>
            </w:pPr>
            <w:r>
              <w:rPr>
                <w:rFonts w:hint="eastAsia" w:ascii="Times New Roman" w:hAnsi="Times New Roman" w:cs="Times New Roman"/>
                <w:color w:val="auto"/>
                <w:spacing w:val="0"/>
                <w:w w:val="100"/>
                <w:kern w:val="0"/>
                <w:position w:val="0"/>
                <w:szCs w:val="21"/>
                <w:highlight w:val="none"/>
                <w:lang w:val="en-US" w:eastAsia="zh-CN"/>
              </w:rPr>
              <w:t>44.5</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rPr>
            </w:pPr>
            <w:r>
              <w:rPr>
                <w:rFonts w:hint="eastAsia" w:ascii="Times New Roman" w:hAnsi="Times New Roman" w:cs="Times New Roman"/>
                <w:color w:val="auto"/>
                <w:spacing w:val="0"/>
                <w:w w:val="100"/>
                <w:kern w:val="0"/>
                <w:position w:val="0"/>
                <w:szCs w:val="21"/>
                <w:highlight w:val="none"/>
                <w:lang w:val="en-US" w:eastAsia="zh-CN"/>
              </w:rPr>
              <w:t>37.1</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val="en-US" w:eastAsia="zh-CN"/>
              </w:rPr>
              <w:t>27.7</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val="en-US" w:eastAsia="zh-CN"/>
              </w:rPr>
              <w:t>6.9</w:t>
            </w:r>
          </w:p>
        </w:tc>
        <w:tc>
          <w:tcPr>
            <w:tcW w:w="649"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4.</w:t>
            </w:r>
            <w:r>
              <w:rPr>
                <w:rFonts w:hint="eastAsia" w:ascii="Times New Roman" w:hAnsi="Times New Roman" w:cs="Times New Roman"/>
                <w:color w:val="auto"/>
                <w:spacing w:val="0"/>
                <w:w w:val="100"/>
                <w:kern w:val="0"/>
                <w:position w:val="0"/>
                <w:szCs w:val="21"/>
                <w:highlight w:val="none"/>
                <w:lang w:val="en-US" w:eastAsia="zh-CN"/>
              </w:rPr>
              <w:t>43</w:t>
            </w:r>
            <w:r>
              <w:rPr>
                <w:rFonts w:hint="default" w:ascii="Times New Roman" w:hAnsi="Times New Roman" w:eastAsia="宋体" w:cs="Times New Roman"/>
                <w:color w:val="auto"/>
                <w:spacing w:val="0"/>
                <w:w w:val="100"/>
                <w:kern w:val="0"/>
                <w:position w:val="0"/>
                <w:szCs w:val="21"/>
                <w:highlight w:val="none"/>
              </w:rPr>
              <w:t>×10</w:t>
            </w:r>
            <w:r>
              <w:rPr>
                <w:rFonts w:hint="default" w:ascii="Times New Roman" w:hAnsi="Times New Roman" w:eastAsia="宋体" w:cs="Times New Roman"/>
                <w:color w:val="auto"/>
                <w:spacing w:val="0"/>
                <w:w w:val="100"/>
                <w:kern w:val="0"/>
                <w:position w:val="0"/>
                <w:szCs w:val="21"/>
                <w:highlight w:val="none"/>
                <w:vertAlign w:val="superscript"/>
              </w:rPr>
              <w:t>5</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53</w:t>
            </w:r>
            <w:r>
              <w:rPr>
                <w:rFonts w:hint="default" w:ascii="Times New Roman" w:hAnsi="Times New Roman" w:eastAsia="宋体" w:cs="Times New Roman"/>
                <w:color w:val="auto"/>
                <w:spacing w:val="0"/>
                <w:w w:val="100"/>
                <w:kern w:val="0"/>
                <w:position w:val="0"/>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去除率（%）</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0%</w:t>
            </w:r>
          </w:p>
        </w:tc>
        <w:tc>
          <w:tcPr>
            <w:tcW w:w="649"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99.8%</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auto"/>
                <w:spacing w:val="0"/>
                <w:w w:val="100"/>
                <w:kern w:val="0"/>
                <w:position w:val="0"/>
                <w:szCs w:val="21"/>
                <w:highlight w:val="none"/>
              </w:rPr>
            </w:pPr>
            <w:r>
              <w:rPr>
                <w:rFonts w:hint="default" w:ascii="Times New Roman" w:hAnsi="Times New Roman" w:eastAsia="宋体" w:cs="Times New Roman"/>
                <w:b w:val="0"/>
                <w:bCs/>
                <w:color w:val="auto"/>
                <w:spacing w:val="0"/>
                <w:w w:val="100"/>
                <w:kern w:val="0"/>
                <w:position w:val="0"/>
                <w:szCs w:val="21"/>
                <w:highlight w:val="none"/>
              </w:rPr>
              <w:t>出水水质</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172.9</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44.5</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37.1</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27.7</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eastAsia" w:ascii="Times New Roman" w:hAnsi="Times New Roman" w:cs="Times New Roman"/>
                <w:color w:val="auto"/>
                <w:spacing w:val="0"/>
                <w:w w:val="100"/>
                <w:kern w:val="0"/>
                <w:position w:val="0"/>
                <w:szCs w:val="21"/>
                <w:highlight w:val="none"/>
                <w:lang w:val="en-US" w:eastAsia="zh-CN"/>
              </w:rPr>
              <w:t>6.9</w:t>
            </w:r>
          </w:p>
        </w:tc>
        <w:tc>
          <w:tcPr>
            <w:tcW w:w="649" w:type="pct"/>
            <w:tcBorders>
              <w:tl2br w:val="nil"/>
              <w:tr2bl w:val="nil"/>
            </w:tcBorders>
            <w:vAlign w:val="center"/>
          </w:tcPr>
          <w:p>
            <w:pPr>
              <w:pStyle w:val="16"/>
              <w:adjustRightInd w:val="0"/>
              <w:jc w:val="center"/>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eastAsia" w:ascii="Times New Roman" w:hAnsi="Times New Roman" w:cs="Times New Roman"/>
                <w:b w:val="0"/>
                <w:bCs/>
                <w:color w:val="auto"/>
                <w:spacing w:val="0"/>
                <w:w w:val="100"/>
                <w:kern w:val="0"/>
                <w:position w:val="0"/>
                <w:sz w:val="21"/>
                <w:szCs w:val="21"/>
                <w:highlight w:val="none"/>
                <w:lang w:val="en-US" w:eastAsia="zh-CN"/>
              </w:rPr>
              <w:t>886</w:t>
            </w:r>
          </w:p>
        </w:tc>
        <w:tc>
          <w:tcPr>
            <w:tcW w:w="552" w:type="pct"/>
            <w:tcBorders>
              <w:tl2br w:val="nil"/>
              <w:tr2bl w:val="nil"/>
            </w:tcBorders>
            <w:vAlign w:val="center"/>
          </w:tcPr>
          <w:p>
            <w:pPr>
              <w:pStyle w:val="16"/>
              <w:adjustRightInd w:val="0"/>
              <w:jc w:val="center"/>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Cs w:val="21"/>
                <w:highlight w:val="none"/>
                <w:lang w:val="en-US" w:eastAsia="zh-CN"/>
              </w:rPr>
              <w:t>53</w:t>
            </w:r>
            <w:r>
              <w:rPr>
                <w:rFonts w:hint="default" w:ascii="Times New Roman" w:hAnsi="Times New Roman" w:eastAsia="宋体" w:cs="Times New Roman"/>
                <w:b w:val="0"/>
                <w:bCs/>
                <w:color w:val="auto"/>
                <w:spacing w:val="0"/>
                <w:w w:val="100"/>
                <w:kern w:val="0"/>
                <w:position w:val="0"/>
                <w:szCs w:val="21"/>
                <w:highlight w:val="none"/>
              </w:rPr>
              <w:t>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总去除率</w:t>
            </w:r>
          </w:p>
        </w:tc>
        <w:tc>
          <w:tcPr>
            <w:tcW w:w="1148"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96.5%</w:t>
            </w:r>
          </w:p>
        </w:tc>
        <w:tc>
          <w:tcPr>
            <w:tcW w:w="1122"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97.5%</w:t>
            </w:r>
          </w:p>
        </w:tc>
        <w:tc>
          <w:tcPr>
            <w:tcW w:w="1223"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97.50%</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92%</w:t>
            </w:r>
          </w:p>
        </w:tc>
        <w:tc>
          <w:tcPr>
            <w:tcW w:w="1116"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86%</w:t>
            </w:r>
          </w:p>
        </w:tc>
        <w:tc>
          <w:tcPr>
            <w:tcW w:w="649" w:type="pct"/>
            <w:tcBorders>
              <w:tl2br w:val="nil"/>
              <w:tr2bl w:val="nil"/>
            </w:tcBorders>
            <w:vAlign w:val="center"/>
          </w:tcPr>
          <w:p>
            <w:pPr>
              <w:jc w:val="center"/>
              <w:rPr>
                <w:rFonts w:hint="default" w:ascii="Times New Roman" w:hAnsi="Times New Roman" w:eastAsia="宋体" w:cs="Times New Roman"/>
                <w:b/>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99.8%</w:t>
            </w:r>
          </w:p>
        </w:tc>
        <w:tc>
          <w:tcPr>
            <w:tcW w:w="552" w:type="pct"/>
            <w:tcBorders>
              <w:tl2br w:val="nil"/>
              <w:tr2bl w:val="nil"/>
            </w:tcBorders>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pct"/>
            <w:tcBorders>
              <w:tl2br w:val="nil"/>
              <w:tr2bl w:val="nil"/>
            </w:tcBorders>
            <w:vAlign w:val="center"/>
          </w:tcPr>
          <w:p>
            <w:pPr>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排放标准</w:t>
            </w:r>
          </w:p>
        </w:tc>
        <w:tc>
          <w:tcPr>
            <w:tcW w:w="664"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≤200</w:t>
            </w:r>
          </w:p>
        </w:tc>
        <w:tc>
          <w:tcPr>
            <w:tcW w:w="649"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≤100</w:t>
            </w:r>
          </w:p>
        </w:tc>
        <w:tc>
          <w:tcPr>
            <w:tcW w:w="705"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≤100</w:t>
            </w:r>
          </w:p>
        </w:tc>
        <w:tc>
          <w:tcPr>
            <w:tcW w:w="586"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≤80</w:t>
            </w:r>
          </w:p>
        </w:tc>
        <w:tc>
          <w:tcPr>
            <w:tcW w:w="529"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≤8.0</w:t>
            </w:r>
          </w:p>
        </w:tc>
        <w:tc>
          <w:tcPr>
            <w:tcW w:w="649" w:type="pct"/>
            <w:tcBorders>
              <w:tl2br w:val="nil"/>
              <w:tr2bl w:val="nil"/>
            </w:tcBorders>
            <w:vAlign w:val="center"/>
          </w:tcPr>
          <w:p>
            <w:pPr>
              <w:pStyle w:val="16"/>
              <w:adjustRightInd w:val="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≤1000个/100mL</w:t>
            </w:r>
          </w:p>
        </w:tc>
        <w:tc>
          <w:tcPr>
            <w:tcW w:w="552" w:type="pct"/>
            <w:tcBorders>
              <w:tl2br w:val="nil"/>
              <w:tr2bl w:val="nil"/>
            </w:tcBorders>
            <w:vAlign w:val="center"/>
          </w:tcPr>
          <w:p>
            <w:pPr>
              <w:pStyle w:val="16"/>
              <w:adjustRightInd w:val="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r>
    </w:tbl>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本项目采取的废水处理工艺流程严密，处理效果明显。由表</w:t>
      </w:r>
      <w:r>
        <w:rPr>
          <w:rFonts w:hint="default" w:ascii="Times New Roman" w:hAnsi="Times New Roman" w:eastAsia="宋体" w:cs="Times New Roman"/>
          <w:color w:val="auto"/>
          <w:spacing w:val="0"/>
          <w:w w:val="100"/>
          <w:kern w:val="0"/>
          <w:position w:val="0"/>
          <w:sz w:val="24"/>
          <w:szCs w:val="22"/>
          <w:highlight w:val="none"/>
          <w:lang w:val="en-US" w:eastAsia="zh-CN"/>
        </w:rPr>
        <w:t>6.2-1</w:t>
      </w:r>
      <w:r>
        <w:rPr>
          <w:rFonts w:hint="default" w:ascii="Times New Roman" w:hAnsi="Times New Roman" w:eastAsia="宋体" w:cs="Times New Roman"/>
          <w:color w:val="auto"/>
          <w:spacing w:val="0"/>
          <w:w w:val="100"/>
          <w:kern w:val="0"/>
          <w:position w:val="0"/>
          <w:sz w:val="24"/>
          <w:szCs w:val="22"/>
          <w:highlight w:val="none"/>
        </w:rPr>
        <w:t>分析可知，本项目废水采取上述处理工艺后，处理后的废水排放能够稳定达到《农田灌溉水质标准》（GB5084-2005）中</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旱作</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标准，因此，本次变更项目针对厂区废水处理采取的污水站处理工艺是可行的。</w:t>
      </w:r>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outlineLvl w:val="3"/>
        <w:rPr>
          <w:rFonts w:hint="default" w:ascii="Times New Roman" w:hAnsi="Times New Roman" w:eastAsia="宋体" w:cs="Times New Roman"/>
          <w:b/>
          <w:color w:val="auto"/>
          <w:spacing w:val="0"/>
          <w:w w:val="100"/>
          <w:kern w:val="0"/>
          <w:position w:val="0"/>
          <w:sz w:val="24"/>
          <w:highlight w:val="none"/>
          <w:lang w:val="en-US" w:eastAsia="zh-CN"/>
        </w:rPr>
      </w:pPr>
      <w:bookmarkStart w:id="1003" w:name="_Toc25140"/>
      <w:bookmarkStart w:id="1004" w:name="_Toc6370"/>
      <w:r>
        <w:rPr>
          <w:rFonts w:hint="default" w:ascii="Times New Roman" w:hAnsi="Times New Roman" w:eastAsia="宋体" w:cs="Times New Roman"/>
          <w:b/>
          <w:color w:val="auto"/>
          <w:spacing w:val="0"/>
          <w:w w:val="100"/>
          <w:kern w:val="0"/>
          <w:position w:val="0"/>
          <w:sz w:val="24"/>
          <w:highlight w:val="none"/>
          <w:lang w:val="en-US" w:eastAsia="zh-CN"/>
        </w:rPr>
        <w:t>6.2.2.4废水用于农田灌溉合理性分析</w:t>
      </w:r>
      <w:bookmarkEnd w:id="1003"/>
      <w:bookmarkEnd w:id="1004"/>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1005" w:name="_Toc15422"/>
      <w:bookmarkStart w:id="1006" w:name="_Toc23560"/>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项目废水受纳去向分析</w:t>
      </w:r>
      <w:bookmarkEnd w:id="1005"/>
      <w:bookmarkEnd w:id="1006"/>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根据工程分析，本项目废水总量为</w:t>
      </w:r>
      <w:r>
        <w:rPr>
          <w:rFonts w:hint="eastAsia" w:ascii="Times New Roman" w:hAnsi="Times New Roman" w:cs="Times New Roman"/>
          <w:color w:val="auto"/>
          <w:spacing w:val="0"/>
          <w:w w:val="100"/>
          <w:kern w:val="0"/>
          <w:position w:val="0"/>
          <w:sz w:val="24"/>
          <w:szCs w:val="24"/>
          <w:highlight w:val="none"/>
          <w:lang w:val="en-US" w:eastAsia="zh-CN"/>
        </w:rPr>
        <w:t>29965</w:t>
      </w:r>
      <w:r>
        <w:rPr>
          <w:rFonts w:hint="default" w:ascii="Times New Roman" w:hAnsi="Times New Roman" w:eastAsia="宋体" w:cs="Times New Roman"/>
          <w:color w:val="auto"/>
          <w:spacing w:val="0"/>
          <w:w w:val="100"/>
          <w:kern w:val="0"/>
          <w:position w:val="0"/>
          <w:sz w:val="24"/>
          <w:szCs w:val="24"/>
          <w:highlight w:val="none"/>
        </w:rPr>
        <w:t>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/a，经污水处理站处理后用于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szCs w:val="24"/>
          <w:highlight w:val="none"/>
        </w:rPr>
        <w:t>，作为灌溉用水。废水不外排入地表水体，能做到废水产纳平衡，符合《畜禽养殖业污染防治技术规范》中</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畜禽养殖过程中产生的污水应坚持种养结合的原则，经无害化处理后尽量充分还田，实现污水资源化利用</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的要求，以及</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污水作为灌溉用水排入农田前，必须采取有效措施进行净化处理，并须符合《农田灌溉水质标准》</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旱作标准</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的要求</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1007" w:name="_Toc14620"/>
      <w:bookmarkStart w:id="1008" w:name="_Toc14097"/>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废水用于农田灌溉可行性</w:t>
      </w:r>
      <w:bookmarkEnd w:id="1007"/>
      <w:bookmarkEnd w:id="1008"/>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rPr>
        <w:t>本项目排放污水主要是</w:t>
      </w:r>
      <w:r>
        <w:rPr>
          <w:rFonts w:hint="default" w:ascii="Times New Roman" w:hAnsi="Times New Roman" w:eastAsia="宋体" w:cs="Times New Roman"/>
          <w:color w:val="auto"/>
          <w:spacing w:val="0"/>
          <w:w w:val="100"/>
          <w:kern w:val="0"/>
          <w:position w:val="0"/>
          <w:sz w:val="24"/>
          <w:szCs w:val="24"/>
          <w:highlight w:val="none"/>
          <w:lang w:eastAsia="zh-CN"/>
        </w:rPr>
        <w:t>生产</w:t>
      </w:r>
      <w:r>
        <w:rPr>
          <w:rFonts w:hint="default" w:ascii="Times New Roman" w:hAnsi="Times New Roman" w:eastAsia="宋体" w:cs="Times New Roman"/>
          <w:color w:val="auto"/>
          <w:spacing w:val="0"/>
          <w:w w:val="100"/>
          <w:kern w:val="0"/>
          <w:position w:val="0"/>
          <w:sz w:val="24"/>
          <w:szCs w:val="24"/>
          <w:highlight w:val="none"/>
        </w:rPr>
        <w:t>废水、生活污水，经深度处理后无有毒有害物质，含有多种农作物需要的营养成分，如氮、磷、钾等。废水经污水处理后用于灌溉，可以改善土壤的物理化学性质，提高土壤肥力，节省使用化肥，提高农作物产量，有利于农作物的生长，对周边农业的发展具有一定的促进作用。而且废水经处理后回用</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szCs w:val="24"/>
          <w:highlight w:val="none"/>
        </w:rPr>
        <w:t>，可有效节约水资源，减少污染物排放量。</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①污水处理受纳性分析</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8"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根据宁夏回族自治区人民政府文件《自治区人民政府办公厅关于印发宁夏回族</w:t>
      </w:r>
      <w:r>
        <w:rPr>
          <w:rFonts w:hint="default" w:ascii="Times New Roman" w:hAnsi="Times New Roman" w:cs="Times New Roman"/>
          <w:color w:val="auto"/>
          <w:sz w:val="24"/>
          <w:szCs w:val="24"/>
        </w:rPr>
        <w:t>自治区有关行业用水定额（修订）的通知》（宁政办发〔</w:t>
      </w:r>
      <w:r>
        <w:rPr>
          <w:rFonts w:hint="default" w:ascii="Times New Roman" w:hAnsi="Times New Roman" w:eastAsia="Times New Roman" w:cs="Times New Roman"/>
          <w:color w:val="auto"/>
          <w:sz w:val="24"/>
          <w:szCs w:val="24"/>
        </w:rPr>
        <w:t>2020</w:t>
      </w: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 xml:space="preserve">20 </w:t>
      </w:r>
      <w:r>
        <w:rPr>
          <w:rFonts w:hint="default" w:ascii="Times New Roman" w:hAnsi="Times New Roman" w:cs="Times New Roman"/>
          <w:color w:val="auto"/>
          <w:sz w:val="24"/>
          <w:szCs w:val="24"/>
        </w:rPr>
        <w:t>号），结合项目</w:t>
      </w:r>
      <w:r>
        <w:rPr>
          <w:rFonts w:hint="default" w:ascii="Times New Roman" w:hAnsi="Times New Roman" w:cs="Times New Roman"/>
          <w:color w:val="auto"/>
          <w:spacing w:val="52"/>
          <w:sz w:val="24"/>
          <w:szCs w:val="24"/>
        </w:rPr>
        <w:t xml:space="preserve"> </w:t>
      </w:r>
      <w:r>
        <w:rPr>
          <w:rFonts w:hint="default" w:ascii="Times New Roman" w:hAnsi="Times New Roman" w:cs="Times New Roman"/>
          <w:color w:val="auto"/>
          <w:spacing w:val="2"/>
          <w:sz w:val="24"/>
          <w:szCs w:val="24"/>
        </w:rPr>
        <w:t>所处地域，项目所在区域灌溉用水量非常少，地方鼓励各养殖企业采取粪污综合利用的措施，实现废水综合处理后还田。根据《吴忠市生态环境局关于吴忠市奶牛养殖场粪污综合利用技术及生产废水处理指导意见的补充说明》吴</w:t>
      </w:r>
      <w:r>
        <w:rPr>
          <w:rFonts w:hint="default" w:ascii="Times New Roman" w:hAnsi="Times New Roman" w:cs="Times New Roman"/>
          <w:color w:val="auto"/>
          <w:sz w:val="24"/>
          <w:szCs w:val="24"/>
        </w:rPr>
        <w:t>环函〔</w:t>
      </w:r>
      <w:r>
        <w:rPr>
          <w:rFonts w:hint="default" w:ascii="Times New Roman" w:hAnsi="Times New Roman" w:eastAsia="Times New Roman" w:cs="Times New Roman"/>
          <w:color w:val="auto"/>
          <w:sz w:val="24"/>
          <w:szCs w:val="24"/>
        </w:rPr>
        <w:t>2020</w:t>
      </w: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74</w:t>
      </w:r>
      <w:r>
        <w:rPr>
          <w:rFonts w:hint="default" w:ascii="Times New Roman" w:hAnsi="Times New Roman" w:cs="Times New Roman"/>
          <w:color w:val="auto"/>
          <w:spacing w:val="1"/>
          <w:sz w:val="24"/>
          <w:szCs w:val="24"/>
        </w:rPr>
        <w:t>号，</w:t>
      </w:r>
      <w:r>
        <w:rPr>
          <w:rFonts w:hint="default" w:ascii="Times New Roman" w:hAnsi="Times New Roman" w:eastAsia="Times New Roman" w:cs="Times New Roman"/>
          <w:color w:val="auto"/>
          <w:spacing w:val="1"/>
          <w:sz w:val="24"/>
          <w:szCs w:val="24"/>
        </w:rPr>
        <w:t>“</w:t>
      </w:r>
      <w:r>
        <w:rPr>
          <w:rFonts w:hint="default" w:ascii="Times New Roman" w:hAnsi="Times New Roman" w:cs="Times New Roman"/>
          <w:color w:val="auto"/>
          <w:spacing w:val="1"/>
          <w:sz w:val="24"/>
          <w:szCs w:val="24"/>
        </w:rPr>
        <w:t>一、按照</w:t>
      </w:r>
      <w:r>
        <w:rPr>
          <w:rFonts w:hint="default" w:ascii="Times New Roman" w:hAnsi="Times New Roman" w:cs="Times New Roman"/>
          <w:color w:val="auto"/>
          <w:spacing w:val="-58"/>
          <w:sz w:val="24"/>
          <w:szCs w:val="24"/>
        </w:rPr>
        <w:t xml:space="preserve"> </w:t>
      </w:r>
      <w:r>
        <w:rPr>
          <w:rFonts w:hint="default" w:ascii="Times New Roman" w:hAnsi="Times New Roman" w:eastAsia="Times New Roman" w:cs="Times New Roman"/>
          <w:color w:val="auto"/>
          <w:sz w:val="24"/>
          <w:szCs w:val="24"/>
        </w:rPr>
        <w:t>300m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z w:val="24"/>
          <w:szCs w:val="24"/>
        </w:rPr>
        <w:t>/</w:t>
      </w:r>
      <w:r>
        <w:rPr>
          <w:rFonts w:hint="default" w:ascii="Times New Roman" w:hAnsi="Times New Roman" w:cs="Times New Roman"/>
          <w:color w:val="auto"/>
          <w:sz w:val="24"/>
          <w:szCs w:val="24"/>
        </w:rPr>
        <w:t>亩</w:t>
      </w:r>
      <w:r>
        <w:rPr>
          <w:rFonts w:hint="default" w:ascii="Times New Roman" w:hAnsi="Times New Roman" w:eastAsia="Times New Roman" w:cs="Times New Roman"/>
          <w:color w:val="auto"/>
          <w:sz w:val="24"/>
          <w:szCs w:val="24"/>
        </w:rPr>
        <w:t>·</w:t>
      </w:r>
      <w:r>
        <w:rPr>
          <w:rFonts w:hint="default" w:ascii="Times New Roman" w:hAnsi="Times New Roman" w:cs="Times New Roman"/>
          <w:color w:val="auto"/>
          <w:sz w:val="24"/>
          <w:szCs w:val="24"/>
        </w:rPr>
        <w:t>年的标准周边灌溉牧草地，且牧草地距离养</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殖</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场</w:t>
      </w:r>
      <w:r>
        <w:rPr>
          <w:rFonts w:hint="default" w:ascii="Times New Roman" w:hAnsi="Times New Roman" w:eastAsia="Times New Roman" w:cs="Times New Roman"/>
          <w:color w:val="auto"/>
          <w:sz w:val="24"/>
          <w:szCs w:val="24"/>
        </w:rPr>
        <w:t>15</w:t>
      </w:r>
      <w:r>
        <w:rPr>
          <w:rFonts w:hint="default" w:ascii="Times New Roman" w:hAnsi="Times New Roman" w:cs="Times New Roman"/>
          <w:color w:val="auto"/>
          <w:sz w:val="24"/>
          <w:szCs w:val="24"/>
        </w:rPr>
        <w:t>公</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里</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范</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围</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以</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内</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的</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企</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业</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产</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生</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的</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废</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水</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可</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执</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行</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农</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田</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灌</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溉</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水</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质</w:t>
      </w:r>
      <w:r>
        <w:rPr>
          <w:rFonts w:hint="default" w:ascii="Times New Roman" w:hAnsi="Times New Roman" w:cs="Times New Roman"/>
          <w:color w:val="auto"/>
          <w:spacing w:val="-80"/>
          <w:sz w:val="24"/>
          <w:szCs w:val="24"/>
        </w:rPr>
        <w:t xml:space="preserve"> </w:t>
      </w:r>
      <w:r>
        <w:rPr>
          <w:rFonts w:hint="default" w:ascii="Times New Roman" w:hAnsi="Times New Roman" w:cs="Times New Roman"/>
          <w:color w:val="auto"/>
          <w:sz w:val="24"/>
          <w:szCs w:val="24"/>
        </w:rPr>
        <w:t>标</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准</w:t>
      </w:r>
      <w:r>
        <w:rPr>
          <w:rFonts w:hint="default" w:ascii="Times New Roman" w:hAnsi="Times New Roman" w:cs="Times New Roman"/>
          <w:color w:val="auto"/>
          <w:spacing w:val="-82"/>
          <w:sz w:val="24"/>
          <w:szCs w:val="24"/>
        </w:rPr>
        <w:t xml:space="preserve"> </w:t>
      </w: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GB5084-2005</w:t>
      </w:r>
      <w:r>
        <w:rPr>
          <w:rFonts w:hint="default" w:ascii="Times New Roman" w:hAnsi="Times New Roman" w:cs="Times New Roman"/>
          <w:color w:val="auto"/>
          <w:sz w:val="24"/>
          <w:szCs w:val="24"/>
        </w:rPr>
        <w:t>）中</w:t>
      </w:r>
      <w:r>
        <w:rPr>
          <w:rFonts w:hint="default" w:ascii="Times New Roman" w:hAnsi="Times New Roman" w:eastAsia="Times New Roman" w:cs="Times New Roman"/>
          <w:color w:val="auto"/>
          <w:sz w:val="24"/>
          <w:szCs w:val="24"/>
        </w:rPr>
        <w:t>“</w:t>
      </w:r>
      <w:r>
        <w:rPr>
          <w:rFonts w:hint="default" w:ascii="Times New Roman" w:hAnsi="Times New Roman" w:cs="Times New Roman"/>
          <w:color w:val="auto"/>
          <w:sz w:val="24"/>
          <w:szCs w:val="24"/>
        </w:rPr>
        <w:t>旱作</w:t>
      </w:r>
      <w:r>
        <w:rPr>
          <w:rFonts w:hint="default" w:ascii="Times New Roman" w:hAnsi="Times New Roman" w:eastAsia="Times New Roman" w:cs="Times New Roman"/>
          <w:color w:val="auto"/>
          <w:sz w:val="24"/>
          <w:szCs w:val="24"/>
        </w:rPr>
        <w:t>”</w:t>
      </w:r>
      <w:r>
        <w:rPr>
          <w:rFonts w:hint="default" w:ascii="Times New Roman" w:hAnsi="Times New Roman" w:cs="Times New Roman"/>
          <w:color w:val="auto"/>
          <w:sz w:val="24"/>
          <w:szCs w:val="24"/>
        </w:rPr>
        <w:t>标准，达标废水可通过罐车拉运至周边</w:t>
      </w:r>
      <w:r>
        <w:rPr>
          <w:rFonts w:hint="eastAsia" w:ascii="Times New Roman" w:hAnsi="Times New Roman" w:cs="Times New Roman"/>
          <w:color w:val="auto"/>
          <w:sz w:val="24"/>
          <w:szCs w:val="24"/>
          <w:lang w:eastAsia="zh-CN"/>
        </w:rPr>
        <w:t>农田</w:t>
      </w:r>
      <w:r>
        <w:rPr>
          <w:rFonts w:hint="default" w:ascii="Times New Roman" w:hAnsi="Times New Roman" w:cs="Times New Roman"/>
          <w:color w:val="auto"/>
          <w:sz w:val="24"/>
          <w:szCs w:val="24"/>
        </w:rPr>
        <w:t>用于灌溉，</w:t>
      </w:r>
      <w:r>
        <w:rPr>
          <w:rFonts w:hint="default" w:ascii="Times New Roman" w:hAnsi="Times New Roman" w:cs="Times New Roman"/>
          <w:color w:val="auto"/>
          <w:spacing w:val="2"/>
          <w:sz w:val="24"/>
          <w:szCs w:val="24"/>
        </w:rPr>
        <w:t>养殖场需配套建设一定容积的氧化塘，以解决非灌溉季污水暂存问题。二、拉运废</w:t>
      </w:r>
      <w:r>
        <w:rPr>
          <w:rFonts w:hint="default" w:ascii="Times New Roman" w:hAnsi="Times New Roman" w:cs="Times New Roman"/>
          <w:color w:val="auto"/>
          <w:sz w:val="24"/>
          <w:szCs w:val="24"/>
        </w:rPr>
        <w:t>水的罐车需安装</w:t>
      </w:r>
      <w:r>
        <w:rPr>
          <w:rFonts w:hint="default" w:ascii="Times New Roman" w:hAnsi="Times New Roman" w:cs="Times New Roman"/>
          <w:color w:val="auto"/>
          <w:spacing w:val="-60"/>
          <w:sz w:val="24"/>
          <w:szCs w:val="24"/>
        </w:rPr>
        <w:t xml:space="preserve"> </w:t>
      </w:r>
      <w:r>
        <w:rPr>
          <w:rFonts w:hint="default" w:ascii="Times New Roman" w:hAnsi="Times New Roman" w:eastAsia="Times New Roman" w:cs="Times New Roman"/>
          <w:color w:val="auto"/>
          <w:spacing w:val="-1"/>
          <w:sz w:val="24"/>
          <w:szCs w:val="24"/>
        </w:rPr>
        <w:t>GPS</w:t>
      </w:r>
      <w:r>
        <w:rPr>
          <w:rFonts w:hint="default" w:ascii="Times New Roman" w:hAnsi="Times New Roman" w:cs="Times New Roman"/>
          <w:color w:val="auto"/>
          <w:sz w:val="24"/>
          <w:szCs w:val="24"/>
        </w:rPr>
        <w:t>及摄像装备并与厂区进行联网，以便追踪废水去向；养殖场需</w:t>
      </w:r>
      <w:r>
        <w:rPr>
          <w:rFonts w:hint="default" w:ascii="Times New Roman" w:hAnsi="Times New Roman" w:cs="Times New Roman"/>
          <w:color w:val="auto"/>
          <w:spacing w:val="-1"/>
          <w:sz w:val="24"/>
          <w:szCs w:val="24"/>
        </w:rPr>
        <w:t>安排专人配备专门的电脑做好废水拉运台账的收集、整理工作备查；相关电子数据、</w:t>
      </w:r>
      <w:r>
        <w:rPr>
          <w:rFonts w:hint="default" w:ascii="Times New Roman" w:hAnsi="Times New Roman" w:cs="Times New Roman"/>
          <w:color w:val="auto"/>
          <w:sz w:val="24"/>
          <w:szCs w:val="24"/>
        </w:rPr>
        <w:t>拉运台账储存时限不得少于</w:t>
      </w:r>
      <w:r>
        <w:rPr>
          <w:rFonts w:hint="default" w:ascii="Times New Roman" w:hAnsi="Times New Roman" w:cs="Times New Roman"/>
          <w:color w:val="auto"/>
          <w:spacing w:val="-61"/>
          <w:sz w:val="24"/>
          <w:szCs w:val="24"/>
        </w:rPr>
        <w:t xml:space="preserve"> </w:t>
      </w:r>
      <w:r>
        <w:rPr>
          <w:rFonts w:hint="default" w:ascii="Times New Roman" w:hAnsi="Times New Roman" w:eastAsia="Times New Roman" w:cs="Times New Roman"/>
          <w:color w:val="auto"/>
          <w:sz w:val="24"/>
          <w:szCs w:val="24"/>
        </w:rPr>
        <w:t>3</w:t>
      </w:r>
      <w:r>
        <w:rPr>
          <w:rFonts w:hint="default" w:ascii="Times New Roman" w:hAnsi="Times New Roman" w:cs="Times New Roman"/>
          <w:color w:val="auto"/>
          <w:spacing w:val="-1"/>
          <w:sz w:val="24"/>
          <w:szCs w:val="24"/>
        </w:rPr>
        <w:t>年</w:t>
      </w:r>
      <w:r>
        <w:rPr>
          <w:rFonts w:hint="default" w:ascii="Times New Roman" w:hAnsi="Times New Roman" w:eastAsia="Times New Roman" w:cs="Times New Roman"/>
          <w:color w:val="auto"/>
          <w:spacing w:val="-1"/>
          <w:sz w:val="24"/>
          <w:szCs w:val="24"/>
        </w:rPr>
        <w:t>”</w:t>
      </w:r>
      <w:r>
        <w:rPr>
          <w:rFonts w:hint="default" w:ascii="Times New Roman" w:hAnsi="Times New Roman" w:cs="Times New Roman"/>
          <w:color w:val="auto"/>
          <w:spacing w:val="-1"/>
          <w:sz w:val="24"/>
          <w:szCs w:val="24"/>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本项目用于灌溉的废水量为</w:t>
      </w:r>
      <w:r>
        <w:rPr>
          <w:rFonts w:hint="eastAsia" w:ascii="Times New Roman" w:hAnsi="Times New Roman" w:cs="Times New Roman"/>
          <w:color w:val="auto"/>
          <w:spacing w:val="0"/>
          <w:w w:val="100"/>
          <w:kern w:val="0"/>
          <w:position w:val="0"/>
          <w:sz w:val="24"/>
          <w:szCs w:val="24"/>
          <w:highlight w:val="none"/>
          <w:lang w:eastAsia="zh-CN"/>
        </w:rPr>
        <w:t>29965</w:t>
      </w:r>
      <w:r>
        <w:rPr>
          <w:rFonts w:hint="default" w:ascii="Times New Roman" w:hAnsi="Times New Roman" w:eastAsia="宋体" w:cs="Times New Roman"/>
          <w:color w:val="auto"/>
          <w:spacing w:val="0"/>
          <w:w w:val="100"/>
          <w:kern w:val="0"/>
          <w:position w:val="0"/>
          <w:sz w:val="24"/>
          <w:szCs w:val="24"/>
          <w:highlight w:val="none"/>
        </w:rPr>
        <w:t>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/a，灌溉用水量按照300m</w:t>
      </w:r>
      <w:r>
        <w:rPr>
          <w:rFonts w:hint="default" w:ascii="Times New Roman" w:hAnsi="Times New Roman" w:eastAsia="宋体" w:cs="Times New Roman"/>
          <w:color w:val="auto"/>
          <w:spacing w:val="0"/>
          <w:w w:val="100"/>
          <w:kern w:val="0"/>
          <w:position w:val="0"/>
          <w:sz w:val="24"/>
          <w:szCs w:val="24"/>
          <w:highlight w:val="none"/>
          <w:vertAlign w:val="superscript"/>
        </w:rPr>
        <w:t>3</w:t>
      </w:r>
      <w:r>
        <w:rPr>
          <w:rFonts w:hint="default" w:ascii="Times New Roman" w:hAnsi="Times New Roman" w:eastAsia="宋体" w:cs="Times New Roman"/>
          <w:color w:val="auto"/>
          <w:spacing w:val="0"/>
          <w:w w:val="100"/>
          <w:kern w:val="0"/>
          <w:position w:val="0"/>
          <w:sz w:val="24"/>
          <w:szCs w:val="24"/>
          <w:highlight w:val="none"/>
        </w:rPr>
        <w:t>/亩计，项目处理后的废水需要106亩农田可全部消纳，通过罐车拉运灌溉，本项目周边约有</w:t>
      </w:r>
      <w:r>
        <w:rPr>
          <w:rFonts w:hint="eastAsia" w:ascii="Times New Roman" w:hAnsi="Times New Roman" w:cs="Times New Roman"/>
          <w:color w:val="auto"/>
          <w:spacing w:val="0"/>
          <w:w w:val="100"/>
          <w:kern w:val="0"/>
          <w:position w:val="0"/>
          <w:sz w:val="24"/>
          <w:szCs w:val="24"/>
          <w:highlight w:val="none"/>
          <w:lang w:val="en-US" w:eastAsia="zh-CN"/>
        </w:rPr>
        <w:t>300</w:t>
      </w:r>
      <w:r>
        <w:rPr>
          <w:rFonts w:hint="default" w:ascii="Times New Roman" w:hAnsi="Times New Roman" w:eastAsia="宋体" w:cs="Times New Roman"/>
          <w:color w:val="auto"/>
          <w:spacing w:val="0"/>
          <w:w w:val="100"/>
          <w:kern w:val="0"/>
          <w:position w:val="0"/>
          <w:sz w:val="24"/>
          <w:szCs w:val="24"/>
          <w:highlight w:val="none"/>
        </w:rPr>
        <w:t>亩</w:t>
      </w:r>
      <w:r>
        <w:rPr>
          <w:rFonts w:hint="eastAsia" w:ascii="Times New Roman" w:hAnsi="Times New Roman" w:cs="Times New Roman"/>
          <w:color w:val="auto"/>
          <w:spacing w:val="0"/>
          <w:w w:val="100"/>
          <w:kern w:val="0"/>
          <w:position w:val="0"/>
          <w:sz w:val="24"/>
          <w:szCs w:val="24"/>
          <w:highlight w:val="none"/>
          <w:lang w:eastAsia="zh-CN"/>
        </w:rPr>
        <w:t>旱地</w:t>
      </w:r>
      <w:r>
        <w:rPr>
          <w:rFonts w:hint="default" w:ascii="Times New Roman" w:hAnsi="Times New Roman" w:eastAsia="宋体" w:cs="Times New Roman"/>
          <w:color w:val="auto"/>
          <w:spacing w:val="0"/>
          <w:w w:val="100"/>
          <w:kern w:val="0"/>
          <w:position w:val="0"/>
          <w:sz w:val="24"/>
          <w:szCs w:val="24"/>
          <w:highlight w:val="none"/>
        </w:rPr>
        <w:t>，产生的废水可全部消纳。因此，项目废水经处理后全部用于周边</w:t>
      </w:r>
      <w:r>
        <w:rPr>
          <w:rFonts w:hint="eastAsia" w:ascii="Times New Roman" w:hAnsi="Times New Roman" w:cs="Times New Roman"/>
          <w:color w:val="auto"/>
          <w:spacing w:val="0"/>
          <w:w w:val="100"/>
          <w:kern w:val="0"/>
          <w:position w:val="0"/>
          <w:sz w:val="24"/>
          <w:szCs w:val="24"/>
          <w:highlight w:val="none"/>
          <w:lang w:eastAsia="zh-CN"/>
        </w:rPr>
        <w:t>农田</w:t>
      </w:r>
      <w:r>
        <w:rPr>
          <w:rFonts w:hint="default" w:ascii="Times New Roman" w:hAnsi="Times New Roman" w:eastAsia="宋体" w:cs="Times New Roman"/>
          <w:color w:val="auto"/>
          <w:spacing w:val="0"/>
          <w:w w:val="100"/>
          <w:kern w:val="0"/>
          <w:position w:val="0"/>
          <w:sz w:val="24"/>
          <w:szCs w:val="24"/>
          <w:highlight w:val="none"/>
        </w:rPr>
        <w:t>灌溉是可行的。</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②废水非灌溉期储存可行性分析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据调查，灌溉</w:t>
      </w:r>
      <w:r>
        <w:rPr>
          <w:rFonts w:hint="default" w:ascii="Times New Roman" w:hAnsi="Times New Roman" w:eastAsia="宋体" w:cs="Times New Roman"/>
          <w:color w:val="auto"/>
          <w:spacing w:val="0"/>
          <w:w w:val="100"/>
          <w:kern w:val="0"/>
          <w:position w:val="0"/>
          <w:sz w:val="24"/>
          <w:szCs w:val="22"/>
          <w:highlight w:val="none"/>
          <w:lang w:val="en-US" w:eastAsia="zh-CN"/>
        </w:rPr>
        <w:t>对象</w:t>
      </w:r>
      <w:r>
        <w:rPr>
          <w:rFonts w:hint="default" w:ascii="Times New Roman" w:hAnsi="Times New Roman" w:eastAsia="宋体" w:cs="Times New Roman"/>
          <w:color w:val="auto"/>
          <w:spacing w:val="0"/>
          <w:w w:val="100"/>
          <w:kern w:val="0"/>
          <w:position w:val="0"/>
          <w:sz w:val="24"/>
          <w:szCs w:val="22"/>
          <w:highlight w:val="none"/>
        </w:rPr>
        <w:t>主要为</w:t>
      </w:r>
      <w:r>
        <w:rPr>
          <w:rFonts w:hint="eastAsia" w:ascii="Times New Roman" w:hAnsi="Times New Roman" w:cs="Times New Roman"/>
          <w:color w:val="auto"/>
          <w:spacing w:val="0"/>
          <w:w w:val="100"/>
          <w:kern w:val="0"/>
          <w:position w:val="0"/>
          <w:sz w:val="24"/>
          <w:szCs w:val="22"/>
          <w:highlight w:val="none"/>
          <w:lang w:val="en-US" w:eastAsia="zh-CN"/>
        </w:rPr>
        <w:t>周边农田，均为旱地</w:t>
      </w:r>
      <w:r>
        <w:rPr>
          <w:rFonts w:hint="default" w:ascii="Times New Roman" w:hAnsi="Times New Roman" w:eastAsia="宋体" w:cs="Times New Roman"/>
          <w:color w:val="auto"/>
          <w:spacing w:val="0"/>
          <w:w w:val="100"/>
          <w:kern w:val="0"/>
          <w:position w:val="0"/>
          <w:sz w:val="24"/>
          <w:szCs w:val="22"/>
          <w:highlight w:val="none"/>
        </w:rPr>
        <w:t>，非灌溉季节一般为每年的11-2月份（按4个月计），废水总量为</w:t>
      </w:r>
      <w:r>
        <w:rPr>
          <w:rFonts w:hint="eastAsia" w:ascii="Times New Roman" w:hAnsi="Times New Roman" w:cs="Times New Roman"/>
          <w:color w:val="auto"/>
          <w:spacing w:val="0"/>
          <w:w w:val="100"/>
          <w:kern w:val="0"/>
          <w:position w:val="0"/>
          <w:sz w:val="24"/>
          <w:szCs w:val="22"/>
          <w:highlight w:val="none"/>
          <w:lang w:val="en-US" w:eastAsia="zh-CN"/>
        </w:rPr>
        <w:t>9988.3</w:t>
      </w:r>
      <w:r>
        <w:rPr>
          <w:rFonts w:hint="default" w:ascii="Times New Roman" w:hAnsi="Times New Roman" w:eastAsia="宋体" w:cs="Times New Roman"/>
          <w:color w:val="auto"/>
          <w:spacing w:val="0"/>
          <w:w w:val="100"/>
          <w:kern w:val="0"/>
          <w:position w:val="0"/>
          <w:sz w:val="24"/>
          <w:szCs w:val="22"/>
          <w:highlight w:val="none"/>
        </w:rPr>
        <w:t>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，经过污水处理站后暂存于</w:t>
      </w:r>
      <w:r>
        <w:rPr>
          <w:rFonts w:hint="default" w:ascii="Times New Roman" w:hAnsi="Times New Roman" w:eastAsia="宋体" w:cs="Times New Roman"/>
          <w:color w:val="auto"/>
          <w:spacing w:val="0"/>
          <w:w w:val="100"/>
          <w:kern w:val="0"/>
          <w:position w:val="0"/>
          <w:sz w:val="24"/>
          <w:szCs w:val="22"/>
          <w:highlight w:val="none"/>
          <w:lang w:eastAsia="zh-CN"/>
        </w:rPr>
        <w:t>氧化塘</w:t>
      </w:r>
      <w:r>
        <w:rPr>
          <w:rFonts w:hint="default" w:ascii="Times New Roman" w:hAnsi="Times New Roman" w:eastAsia="宋体" w:cs="Times New Roman"/>
          <w:color w:val="auto"/>
          <w:spacing w:val="0"/>
          <w:w w:val="100"/>
          <w:kern w:val="0"/>
          <w:position w:val="0"/>
          <w:sz w:val="24"/>
          <w:szCs w:val="22"/>
          <w:highlight w:val="none"/>
        </w:rPr>
        <w:t>中，</w:t>
      </w:r>
      <w:r>
        <w:rPr>
          <w:rFonts w:hint="default" w:ascii="Times New Roman" w:hAnsi="Times New Roman" w:eastAsia="宋体" w:cs="Times New Roman"/>
          <w:color w:val="auto"/>
          <w:spacing w:val="0"/>
          <w:w w:val="100"/>
          <w:kern w:val="0"/>
          <w:position w:val="0"/>
          <w:sz w:val="24"/>
          <w:szCs w:val="22"/>
          <w:highlight w:val="none"/>
          <w:lang w:eastAsia="zh-CN"/>
        </w:rPr>
        <w:t>氧化塘</w:t>
      </w:r>
      <w:r>
        <w:rPr>
          <w:rFonts w:hint="default" w:ascii="Times New Roman" w:hAnsi="Times New Roman" w:eastAsia="宋体" w:cs="Times New Roman"/>
          <w:color w:val="auto"/>
          <w:spacing w:val="0"/>
          <w:w w:val="100"/>
          <w:kern w:val="0"/>
          <w:position w:val="0"/>
          <w:sz w:val="24"/>
          <w:szCs w:val="22"/>
          <w:highlight w:val="none"/>
        </w:rPr>
        <w:t>总容积为</w:t>
      </w:r>
      <w:r>
        <w:rPr>
          <w:rFonts w:hint="default" w:ascii="Times New Roman" w:hAnsi="Times New Roman" w:cs="Times New Roman"/>
          <w:color w:val="auto"/>
          <w:spacing w:val="0"/>
          <w:w w:val="100"/>
          <w:kern w:val="0"/>
          <w:position w:val="0"/>
          <w:sz w:val="24"/>
          <w:szCs w:val="22"/>
          <w:highlight w:val="none"/>
          <w:lang w:val="en-US" w:eastAsia="zh-CN"/>
        </w:rPr>
        <w:t>16000m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，可满足非灌溉期废水的存储，因此项目废水在非灌溉期储存于</w:t>
      </w:r>
      <w:r>
        <w:rPr>
          <w:rFonts w:hint="default" w:ascii="Times New Roman" w:hAnsi="Times New Roman" w:eastAsia="宋体" w:cs="Times New Roman"/>
          <w:color w:val="auto"/>
          <w:spacing w:val="0"/>
          <w:w w:val="100"/>
          <w:kern w:val="0"/>
          <w:position w:val="0"/>
          <w:sz w:val="24"/>
          <w:szCs w:val="22"/>
          <w:highlight w:val="none"/>
          <w:lang w:eastAsia="zh-CN"/>
        </w:rPr>
        <w:t>氧化塘</w:t>
      </w:r>
      <w:r>
        <w:rPr>
          <w:rFonts w:hint="default" w:ascii="Times New Roman" w:hAnsi="Times New Roman" w:eastAsia="宋体" w:cs="Times New Roman"/>
          <w:color w:val="auto"/>
          <w:spacing w:val="0"/>
          <w:w w:val="100"/>
          <w:kern w:val="0"/>
          <w:position w:val="0"/>
          <w:sz w:val="24"/>
          <w:szCs w:val="22"/>
          <w:highlight w:val="none"/>
        </w:rPr>
        <w:t>中，待灌溉期用于农田灌溉是可行的。</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③灌溉水质可行性分析</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US" w:eastAsia="zh-CN"/>
        </w:rPr>
      </w:pPr>
      <w:r>
        <w:rPr>
          <w:rFonts w:hint="default" w:ascii="Times New Roman" w:hAnsi="Times New Roman" w:eastAsia="宋体" w:cs="Times New Roman"/>
          <w:color w:val="auto"/>
          <w:spacing w:val="0"/>
          <w:w w:val="100"/>
          <w:kern w:val="0"/>
          <w:position w:val="0"/>
          <w:sz w:val="24"/>
          <w:szCs w:val="22"/>
          <w:highlight w:val="none"/>
        </w:rPr>
        <w:t>建设单位拟建一座处理能力</w:t>
      </w:r>
      <w:r>
        <w:rPr>
          <w:rFonts w:hint="default" w:ascii="Times New Roman" w:hAnsi="Times New Roman" w:cs="Times New Roman"/>
          <w:color w:val="auto"/>
          <w:spacing w:val="0"/>
          <w:w w:val="100"/>
          <w:kern w:val="0"/>
          <w:position w:val="0"/>
          <w:sz w:val="24"/>
          <w:szCs w:val="22"/>
          <w:highlight w:val="none"/>
          <w:lang w:val="en-US" w:eastAsia="zh-CN"/>
        </w:rPr>
        <w:t>10</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m</w:t>
      </w:r>
      <w:r>
        <w:rPr>
          <w:rFonts w:hint="default" w:ascii="Times New Roman" w:hAnsi="Times New Roman" w:eastAsia="宋体" w:cs="Times New Roman"/>
          <w:color w:val="auto"/>
          <w:spacing w:val="0"/>
          <w:w w:val="100"/>
          <w:kern w:val="0"/>
          <w:position w:val="0"/>
          <w:sz w:val="24"/>
          <w:szCs w:val="22"/>
          <w:highlight w:val="none"/>
          <w:vertAlign w:val="superscript"/>
        </w:rPr>
        <w:t>3</w:t>
      </w:r>
      <w:r>
        <w:rPr>
          <w:rFonts w:hint="default" w:ascii="Times New Roman" w:hAnsi="Times New Roman" w:eastAsia="宋体" w:cs="Times New Roman"/>
          <w:color w:val="auto"/>
          <w:spacing w:val="0"/>
          <w:w w:val="100"/>
          <w:kern w:val="0"/>
          <w:position w:val="0"/>
          <w:sz w:val="24"/>
          <w:szCs w:val="22"/>
          <w:highlight w:val="none"/>
        </w:rPr>
        <w:t>/d的污水处理站，采用</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初沉池+调节池+压滤机+中间水池+A/O/O反应池+二沉池+消毒池</w:t>
      </w:r>
      <w:r>
        <w:rPr>
          <w:rFonts w:hint="default" w:ascii="Times New Roman" w:hAnsi="Times New Roman" w:eastAsia="宋体" w:cs="Times New Roman"/>
          <w:color w:val="auto"/>
          <w:spacing w:val="0"/>
          <w:w w:val="100"/>
          <w:kern w:val="0"/>
          <w:position w:val="0"/>
          <w:sz w:val="24"/>
          <w:szCs w:val="22"/>
          <w:highlight w:val="none"/>
          <w:lang w:val="en-US" w:eastAsia="zh-CN"/>
        </w:rPr>
        <w:t>+氧化塘</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处理工艺。经处理后的水质满足《农田灌溉水质标准》（GB5084-2005）中</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旱作</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标准</w:t>
      </w:r>
      <w:r>
        <w:rPr>
          <w:rFonts w:hint="default" w:ascii="Times New Roman" w:hAnsi="Times New Roman" w:eastAsia="宋体" w:cs="Times New Roman"/>
          <w:color w:val="auto"/>
          <w:spacing w:val="0"/>
          <w:w w:val="100"/>
          <w:kern w:val="0"/>
          <w:position w:val="0"/>
          <w:sz w:val="24"/>
          <w:szCs w:val="22"/>
          <w:highlight w:val="none"/>
          <w:lang w:val="en-US" w:eastAsia="zh-CN"/>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bCs/>
          <w:color w:val="auto"/>
          <w:spacing w:val="0"/>
          <w:w w:val="100"/>
          <w:kern w:val="0"/>
          <w:position w:val="0"/>
          <w:sz w:val="24"/>
          <w:szCs w:val="24"/>
          <w:highlight w:val="none"/>
        </w:rPr>
        <w:t>综上所述，</w:t>
      </w:r>
      <w:r>
        <w:rPr>
          <w:rFonts w:hint="default" w:ascii="Times New Roman" w:hAnsi="Times New Roman" w:eastAsia="宋体" w:cs="Times New Roman"/>
          <w:color w:val="auto"/>
          <w:spacing w:val="0"/>
          <w:w w:val="100"/>
          <w:kern w:val="0"/>
          <w:position w:val="0"/>
          <w:sz w:val="24"/>
          <w:szCs w:val="22"/>
          <w:highlight w:val="none"/>
        </w:rPr>
        <w:t>经污水处理站处理后的废水用于</w:t>
      </w:r>
      <w:r>
        <w:rPr>
          <w:rFonts w:hint="eastAsia" w:ascii="Times New Roman" w:hAnsi="Times New Roman" w:cs="Times New Roman"/>
          <w:bCs/>
          <w:color w:val="auto"/>
          <w:spacing w:val="0"/>
          <w:w w:val="100"/>
          <w:kern w:val="0"/>
          <w:position w:val="0"/>
          <w:sz w:val="24"/>
          <w:highlight w:val="none"/>
          <w:lang w:eastAsia="zh-CN"/>
        </w:rPr>
        <w:t>周边农田灌溉</w:t>
      </w:r>
      <w:r>
        <w:rPr>
          <w:rFonts w:hint="default" w:ascii="Times New Roman" w:hAnsi="Times New Roman" w:eastAsia="宋体" w:cs="Times New Roman"/>
          <w:color w:val="auto"/>
          <w:spacing w:val="0"/>
          <w:w w:val="100"/>
          <w:kern w:val="0"/>
          <w:position w:val="0"/>
          <w:sz w:val="24"/>
          <w:szCs w:val="22"/>
          <w:highlight w:val="none"/>
        </w:rPr>
        <w:t>用水是可行的。</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09" w:name="_Toc25076"/>
      <w:bookmarkStart w:id="1010" w:name="_Toc13150"/>
      <w:bookmarkStart w:id="1011" w:name="_Toc11840"/>
      <w:bookmarkStart w:id="1012" w:name="_Toc9642"/>
      <w:r>
        <w:rPr>
          <w:rFonts w:hint="default" w:ascii="Times New Roman" w:hAnsi="Times New Roman" w:eastAsia="宋体" w:cs="Times New Roman"/>
          <w:snapToGrid w:val="0"/>
          <w:color w:val="auto"/>
          <w:spacing w:val="0"/>
          <w:w w:val="100"/>
          <w:kern w:val="0"/>
          <w:position w:val="0"/>
          <w:sz w:val="28"/>
          <w:szCs w:val="28"/>
          <w:highlight w:val="none"/>
          <w:lang w:val="en-US" w:eastAsia="zh-CN"/>
        </w:rPr>
        <w:t>6.2.3地下水污染防治措施评述</w:t>
      </w:r>
      <w:bookmarkEnd w:id="998"/>
      <w:bookmarkEnd w:id="1009"/>
      <w:bookmarkEnd w:id="1010"/>
      <w:bookmarkEnd w:id="1011"/>
      <w:bookmarkEnd w:id="1012"/>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bookmarkStart w:id="1013" w:name="_Toc15248"/>
      <w:bookmarkStart w:id="1014" w:name="_Toc29200"/>
      <w:bookmarkStart w:id="1015" w:name="_Toc22609"/>
      <w:r>
        <w:rPr>
          <w:rFonts w:hint="default" w:ascii="Times New Roman" w:hAnsi="Times New Roman" w:eastAsia="宋体" w:cs="Times New Roman"/>
          <w:color w:val="auto"/>
          <w:spacing w:val="0"/>
          <w:w w:val="100"/>
          <w:kern w:val="0"/>
          <w:position w:val="0"/>
          <w:sz w:val="24"/>
          <w:szCs w:val="24"/>
          <w:highlight w:val="none"/>
        </w:rPr>
        <w:t>本项目对地下水潜在的污染因素有COD、氨氮等污染物质。</w:t>
      </w:r>
      <w:bookmarkEnd w:id="1013"/>
      <w:bookmarkEnd w:id="1014"/>
      <w:r>
        <w:rPr>
          <w:rFonts w:hint="default" w:ascii="Times New Roman" w:hAnsi="Times New Roman" w:eastAsia="宋体" w:cs="Times New Roman"/>
          <w:color w:val="auto"/>
          <w:spacing w:val="0"/>
          <w:w w:val="100"/>
          <w:kern w:val="0"/>
          <w:position w:val="0"/>
          <w:sz w:val="24"/>
          <w:szCs w:val="24"/>
          <w:highlight w:val="none"/>
        </w:rPr>
        <w:t>项目采取以下地下水防治措施：</w:t>
      </w:r>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outlineLvl w:val="3"/>
        <w:rPr>
          <w:rFonts w:hint="default" w:ascii="Times New Roman" w:hAnsi="Times New Roman" w:eastAsia="宋体" w:cs="Times New Roman"/>
          <w:b/>
          <w:color w:val="auto"/>
          <w:spacing w:val="0"/>
          <w:w w:val="100"/>
          <w:kern w:val="0"/>
          <w:position w:val="0"/>
          <w:sz w:val="24"/>
          <w:highlight w:val="none"/>
          <w:lang w:val="en-US" w:eastAsia="zh-CN"/>
        </w:rPr>
      </w:pPr>
      <w:bookmarkStart w:id="1016" w:name="_Toc28931"/>
      <w:bookmarkStart w:id="1017" w:name="_Toc9611"/>
      <w:r>
        <w:rPr>
          <w:rFonts w:hint="default" w:ascii="Times New Roman" w:hAnsi="Times New Roman" w:eastAsia="宋体" w:cs="Times New Roman"/>
          <w:b/>
          <w:color w:val="auto"/>
          <w:spacing w:val="0"/>
          <w:w w:val="100"/>
          <w:kern w:val="0"/>
          <w:position w:val="0"/>
          <w:sz w:val="24"/>
          <w:highlight w:val="none"/>
          <w:lang w:val="en-US" w:eastAsia="zh-CN"/>
        </w:rPr>
        <w:t>6.2.3.1总体原则</w:t>
      </w:r>
      <w:bookmarkEnd w:id="1016"/>
      <w:bookmarkEnd w:id="1017"/>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本项目为奶</w:t>
      </w:r>
      <w:r>
        <w:rPr>
          <w:rFonts w:hint="default" w:ascii="Times New Roman" w:hAnsi="Times New Roman" w:eastAsia="宋体" w:cs="Times New Roman"/>
          <w:color w:val="auto"/>
          <w:spacing w:val="0"/>
          <w:w w:val="100"/>
          <w:kern w:val="0"/>
          <w:position w:val="0"/>
          <w:sz w:val="24"/>
          <w:szCs w:val="24"/>
          <w:highlight w:val="none"/>
          <w:lang w:eastAsia="zh-CN"/>
        </w:rPr>
        <w:t>牛</w:t>
      </w:r>
      <w:r>
        <w:rPr>
          <w:rFonts w:hint="default" w:ascii="Times New Roman" w:hAnsi="Times New Roman" w:eastAsia="宋体" w:cs="Times New Roman"/>
          <w:color w:val="auto"/>
          <w:spacing w:val="0"/>
          <w:w w:val="100"/>
          <w:kern w:val="0"/>
          <w:position w:val="0"/>
          <w:sz w:val="24"/>
          <w:szCs w:val="24"/>
          <w:highlight w:val="none"/>
        </w:rPr>
        <w:t>养殖，根据项目特点和当地的实际情况，按照</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源头控制、分区防治、污染监控、应急响应</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的地下水污染防治总体原则，本项目将从污染物的产生、入渗、扩散等采取全方位的控制措施。</w:t>
      </w:r>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outlineLvl w:val="3"/>
        <w:rPr>
          <w:rFonts w:hint="default" w:ascii="Times New Roman" w:hAnsi="Times New Roman" w:eastAsia="宋体" w:cs="Times New Roman"/>
          <w:b/>
          <w:color w:val="auto"/>
          <w:spacing w:val="0"/>
          <w:w w:val="100"/>
          <w:kern w:val="0"/>
          <w:position w:val="0"/>
          <w:sz w:val="24"/>
          <w:highlight w:val="none"/>
          <w:lang w:val="en-US" w:eastAsia="zh-CN"/>
        </w:rPr>
      </w:pPr>
      <w:bookmarkStart w:id="1018" w:name="_Toc2461"/>
      <w:bookmarkStart w:id="1019" w:name="_Toc11701"/>
      <w:r>
        <w:rPr>
          <w:rFonts w:hint="default" w:ascii="Times New Roman" w:hAnsi="Times New Roman" w:eastAsia="宋体" w:cs="Times New Roman"/>
          <w:b/>
          <w:color w:val="auto"/>
          <w:spacing w:val="0"/>
          <w:w w:val="100"/>
          <w:kern w:val="0"/>
          <w:position w:val="0"/>
          <w:sz w:val="24"/>
          <w:highlight w:val="none"/>
          <w:lang w:val="en-US" w:eastAsia="zh-CN"/>
        </w:rPr>
        <w:t>6.2.3.2源头控制措施</w:t>
      </w:r>
      <w:bookmarkEnd w:id="1018"/>
      <w:bookmarkEnd w:id="1019"/>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选择先进、成熟、可靠的工艺技术，并对产生的废物进行合理的综合利用和治理，尽可能从源头上减少污染物排放；严格按照国家相关规范要求，对工艺、管道、设备、污水收集及处理构筑物采取相应的措施，以防止和降低污染物的跑、冒、滴、漏，将污染物泄漏的环境风险事故降到最低程度。</w:t>
      </w:r>
    </w:p>
    <w:p>
      <w:pPr>
        <w:pStyle w:val="6"/>
        <w:keepNext/>
        <w:keepLines/>
        <w:pageBreakBefore w:val="0"/>
        <w:widowControl w:val="0"/>
        <w:kinsoku/>
        <w:wordWrap/>
        <w:overflowPunct/>
        <w:topLinePunct w:val="0"/>
        <w:autoSpaceDE/>
        <w:autoSpaceDN/>
        <w:bidi w:val="0"/>
        <w:adjustRightInd/>
        <w:snapToGrid w:val="0"/>
        <w:spacing w:before="120" w:after="120" w:line="360" w:lineRule="auto"/>
        <w:contextualSpacing/>
        <w:textAlignment w:val="auto"/>
        <w:outlineLvl w:val="3"/>
        <w:rPr>
          <w:rFonts w:hint="default" w:ascii="Times New Roman" w:hAnsi="Times New Roman" w:eastAsia="宋体" w:cs="Times New Roman"/>
          <w:b/>
          <w:color w:val="auto"/>
          <w:spacing w:val="0"/>
          <w:w w:val="100"/>
          <w:kern w:val="0"/>
          <w:position w:val="0"/>
          <w:sz w:val="24"/>
          <w:highlight w:val="none"/>
          <w:lang w:val="en-US" w:eastAsia="zh-CN"/>
        </w:rPr>
      </w:pPr>
      <w:bookmarkStart w:id="1020" w:name="_Toc13446"/>
      <w:bookmarkStart w:id="1021" w:name="_Toc20395"/>
      <w:r>
        <w:rPr>
          <w:rFonts w:hint="default" w:ascii="Times New Roman" w:hAnsi="Times New Roman" w:eastAsia="宋体" w:cs="Times New Roman"/>
          <w:b/>
          <w:color w:val="auto"/>
          <w:spacing w:val="0"/>
          <w:w w:val="100"/>
          <w:kern w:val="0"/>
          <w:position w:val="0"/>
          <w:sz w:val="24"/>
          <w:highlight w:val="none"/>
          <w:lang w:val="en-US" w:eastAsia="zh-CN"/>
        </w:rPr>
        <w:t>6.2.3.3分区防治措施</w:t>
      </w:r>
      <w:bookmarkEnd w:id="1020"/>
      <w:bookmarkEnd w:id="1021"/>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对项目可能泄漏污染物的污染区地面进行防渗设计，及时地将泄漏、渗漏的污染物进行收集处理，以有效防止洒落地面的污染物渗入地下。</w:t>
      </w:r>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根据本项目可能泄漏至地面区域的污染物性质和生产单元的构筑方式，本项目危险废物暂存间、</w:t>
      </w:r>
      <w:r>
        <w:rPr>
          <w:rFonts w:hint="default" w:ascii="Times New Roman" w:hAnsi="Times New Roman" w:eastAsia="宋体" w:cs="Times New Roman"/>
          <w:color w:val="auto"/>
          <w:spacing w:val="0"/>
          <w:w w:val="100"/>
          <w:kern w:val="0"/>
          <w:position w:val="0"/>
          <w:sz w:val="24"/>
          <w:szCs w:val="24"/>
          <w:highlight w:val="none"/>
          <w:lang w:eastAsia="zh-CN"/>
        </w:rPr>
        <w:t>污水处理站各</w:t>
      </w:r>
      <w:r>
        <w:rPr>
          <w:rFonts w:hint="default" w:ascii="Times New Roman" w:hAnsi="Times New Roman" w:eastAsia="宋体" w:cs="Times New Roman"/>
          <w:color w:val="auto"/>
          <w:spacing w:val="0"/>
          <w:w w:val="100"/>
          <w:kern w:val="0"/>
          <w:position w:val="0"/>
          <w:sz w:val="24"/>
          <w:szCs w:val="24"/>
          <w:highlight w:val="none"/>
        </w:rPr>
        <w:t>池</w:t>
      </w:r>
      <w:r>
        <w:rPr>
          <w:rFonts w:hint="default" w:ascii="Times New Roman" w:hAnsi="Times New Roman" w:eastAsia="宋体" w:cs="Times New Roman"/>
          <w:color w:val="auto"/>
          <w:spacing w:val="0"/>
          <w:w w:val="100"/>
          <w:kern w:val="0"/>
          <w:position w:val="0"/>
          <w:sz w:val="24"/>
          <w:szCs w:val="24"/>
          <w:highlight w:val="none"/>
          <w:lang w:eastAsia="zh-CN"/>
        </w:rPr>
        <w:t>体</w:t>
      </w:r>
      <w:r>
        <w:rPr>
          <w:rFonts w:hint="default" w:ascii="Times New Roman" w:hAnsi="Times New Roman" w:eastAsia="宋体" w:cs="Times New Roman"/>
          <w:color w:val="auto"/>
          <w:spacing w:val="0"/>
          <w:w w:val="100"/>
          <w:kern w:val="0"/>
          <w:position w:val="0"/>
          <w:sz w:val="24"/>
          <w:szCs w:val="24"/>
          <w:highlight w:val="none"/>
        </w:rPr>
        <w:t>、</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lang w:eastAsia="zh-CN"/>
        </w:rPr>
        <w:t>、氧化塘</w:t>
      </w:r>
      <w:r>
        <w:rPr>
          <w:rFonts w:hint="default" w:ascii="Times New Roman" w:hAnsi="Times New Roman" w:eastAsia="宋体" w:cs="Times New Roman"/>
          <w:color w:val="auto"/>
          <w:spacing w:val="0"/>
          <w:w w:val="100"/>
          <w:kern w:val="0"/>
          <w:position w:val="0"/>
          <w:sz w:val="24"/>
          <w:szCs w:val="24"/>
          <w:highlight w:val="none"/>
        </w:rPr>
        <w:t>等均为重点防治区；</w:t>
      </w:r>
      <w:r>
        <w:rPr>
          <w:rFonts w:hint="eastAsia" w:ascii="Times New Roman" w:hAnsi="Times New Roman" w:cs="Times New Roman"/>
          <w:color w:val="auto"/>
          <w:spacing w:val="0"/>
          <w:w w:val="100"/>
          <w:kern w:val="0"/>
          <w:position w:val="0"/>
          <w:sz w:val="24"/>
          <w:szCs w:val="24"/>
          <w:highlight w:val="none"/>
          <w:lang w:eastAsia="zh-CN"/>
        </w:rPr>
        <w:t>牛舍</w:t>
      </w:r>
      <w:r>
        <w:rPr>
          <w:rFonts w:hint="default" w:ascii="Times New Roman" w:hAnsi="Times New Roman" w:eastAsia="宋体" w:cs="Times New Roman"/>
          <w:color w:val="auto"/>
          <w:spacing w:val="0"/>
          <w:w w:val="100"/>
          <w:kern w:val="0"/>
          <w:position w:val="0"/>
          <w:sz w:val="24"/>
          <w:szCs w:val="24"/>
          <w:highlight w:val="none"/>
        </w:rPr>
        <w:t>、挤奶厅为一般污染防治区。</w:t>
      </w:r>
    </w:p>
    <w:p>
      <w:pPr>
        <w:pStyle w:val="20"/>
        <w:adjustRightInd w:val="0"/>
        <w:snapToGrid w:val="0"/>
        <w:spacing w:after="0" w:line="360" w:lineRule="auto"/>
        <w:ind w:left="0" w:leftChars="0"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根据厂址区天然包气带防污性能、污染控制难易程度以及特征污染物类型，将厂址区划分为重点防渗区、一般防渗区和简单防渗区，全厂分区防渗图见</w:t>
      </w:r>
      <w:r>
        <w:rPr>
          <w:rFonts w:hint="default" w:ascii="Times New Roman" w:hAnsi="Times New Roman" w:eastAsia="宋体" w:cs="Times New Roman"/>
          <w:color w:val="auto"/>
          <w:spacing w:val="0"/>
          <w:w w:val="100"/>
          <w:kern w:val="0"/>
          <w:position w:val="0"/>
          <w:sz w:val="24"/>
          <w:szCs w:val="24"/>
          <w:highlight w:val="none"/>
          <w:lang w:eastAsia="zh-CN"/>
        </w:rPr>
        <w:t>图</w:t>
      </w:r>
      <w:r>
        <w:rPr>
          <w:rFonts w:hint="default" w:ascii="Times New Roman" w:hAnsi="Times New Roman" w:eastAsia="宋体" w:cs="Times New Roman"/>
          <w:color w:val="auto"/>
          <w:spacing w:val="0"/>
          <w:w w:val="100"/>
          <w:kern w:val="0"/>
          <w:position w:val="0"/>
          <w:sz w:val="24"/>
          <w:szCs w:val="24"/>
          <w:highlight w:val="none"/>
          <w:lang w:val="en-US" w:eastAsia="zh-CN"/>
        </w:rPr>
        <w:t>6</w:t>
      </w:r>
      <w:r>
        <w:rPr>
          <w:rFonts w:hint="default" w:ascii="Times New Roman" w:hAnsi="Times New Roman" w:eastAsia="宋体" w:cs="Times New Roman"/>
          <w:color w:val="auto"/>
          <w:spacing w:val="0"/>
          <w:w w:val="100"/>
          <w:kern w:val="0"/>
          <w:position w:val="0"/>
          <w:sz w:val="24"/>
          <w:szCs w:val="24"/>
          <w:highlight w:val="none"/>
        </w:rPr>
        <w:t>.2-</w:t>
      </w:r>
      <w:r>
        <w:rPr>
          <w:rFonts w:hint="default" w:ascii="Times New Roman" w:hAnsi="Times New Roman" w:eastAsia="宋体" w:cs="Times New Roman"/>
          <w:color w:val="auto"/>
          <w:spacing w:val="0"/>
          <w:w w:val="100"/>
          <w:kern w:val="0"/>
          <w:position w:val="0"/>
          <w:sz w:val="24"/>
          <w:szCs w:val="24"/>
          <w:highlight w:val="none"/>
          <w:lang w:val="en-US" w:eastAsia="zh-CN"/>
        </w:rPr>
        <w:t>1，</w:t>
      </w:r>
      <w:r>
        <w:rPr>
          <w:rFonts w:hint="default" w:ascii="Times New Roman" w:hAnsi="Times New Roman" w:eastAsia="宋体" w:cs="Times New Roman"/>
          <w:color w:val="auto"/>
          <w:spacing w:val="0"/>
          <w:w w:val="100"/>
          <w:kern w:val="0"/>
          <w:position w:val="0"/>
          <w:sz w:val="24"/>
          <w:szCs w:val="24"/>
          <w:highlight w:val="none"/>
        </w:rPr>
        <w:t>污染防治分区划分及防渗要求</w:t>
      </w:r>
      <w:r>
        <w:rPr>
          <w:rFonts w:hint="default" w:ascii="Times New Roman" w:hAnsi="Times New Roman" w:eastAsia="宋体" w:cs="Times New Roman"/>
          <w:color w:val="auto"/>
          <w:spacing w:val="0"/>
          <w:w w:val="100"/>
          <w:kern w:val="0"/>
          <w:position w:val="0"/>
          <w:sz w:val="24"/>
          <w:szCs w:val="24"/>
          <w:highlight w:val="none"/>
          <w:lang w:eastAsia="zh-CN"/>
        </w:rPr>
        <w:t>见表</w:t>
      </w:r>
      <w:r>
        <w:rPr>
          <w:rFonts w:hint="default" w:ascii="Times New Roman" w:hAnsi="Times New Roman" w:eastAsia="宋体" w:cs="Times New Roman"/>
          <w:color w:val="auto"/>
          <w:spacing w:val="0"/>
          <w:w w:val="100"/>
          <w:kern w:val="0"/>
          <w:position w:val="0"/>
          <w:sz w:val="24"/>
          <w:szCs w:val="24"/>
          <w:highlight w:val="none"/>
          <w:lang w:val="en-US" w:eastAsia="zh-CN"/>
        </w:rPr>
        <w:t>6</w:t>
      </w:r>
      <w:r>
        <w:rPr>
          <w:rFonts w:hint="default" w:ascii="Times New Roman" w:hAnsi="Times New Roman" w:eastAsia="宋体" w:cs="Times New Roman"/>
          <w:color w:val="auto"/>
          <w:spacing w:val="0"/>
          <w:w w:val="100"/>
          <w:kern w:val="0"/>
          <w:position w:val="0"/>
          <w:sz w:val="24"/>
          <w:szCs w:val="24"/>
          <w:highlight w:val="none"/>
        </w:rPr>
        <w:t>.2-</w:t>
      </w:r>
      <w:r>
        <w:rPr>
          <w:rFonts w:hint="default" w:ascii="Times New Roman" w:hAnsi="Times New Roman" w:eastAsia="宋体" w:cs="Times New Roman"/>
          <w:color w:val="auto"/>
          <w:spacing w:val="0"/>
          <w:w w:val="100"/>
          <w:kern w:val="0"/>
          <w:position w:val="0"/>
          <w:sz w:val="24"/>
          <w:szCs w:val="24"/>
          <w:highlight w:val="none"/>
          <w:lang w:val="en-US" w:eastAsia="zh-CN"/>
        </w:rPr>
        <w:t>2</w:t>
      </w:r>
      <w:r>
        <w:rPr>
          <w:rFonts w:hint="default" w:ascii="Times New Roman" w:hAnsi="Times New Roman" w:eastAsia="宋体" w:cs="Times New Roman"/>
          <w:color w:val="auto"/>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0"/>
          <w:position w:val="0"/>
          <w:sz w:val="24"/>
          <w:szCs w:val="24"/>
          <w:highlight w:val="none"/>
          <w:lang w:val="en-US" w:eastAsia="zh-CN" w:bidi="ar-SA"/>
        </w:rPr>
        <w:t>表6.2-2   污染防治分区划分及防渗要求</w:t>
      </w:r>
    </w:p>
    <w:tbl>
      <w:tblPr>
        <w:tblStyle w:val="25"/>
        <w:tblW w:w="87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1"/>
        <w:gridCol w:w="1255"/>
        <w:gridCol w:w="3750"/>
        <w:gridCol w:w="24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131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污染防治区</w:t>
            </w:r>
          </w:p>
        </w:tc>
        <w:tc>
          <w:tcPr>
            <w:tcW w:w="125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功能单元</w:t>
            </w:r>
          </w:p>
        </w:tc>
        <w:tc>
          <w:tcPr>
            <w:tcW w:w="375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防渗要求</w:t>
            </w:r>
          </w:p>
        </w:tc>
        <w:tc>
          <w:tcPr>
            <w:tcW w:w="246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建议防渗方案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311"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重点防渗区</w:t>
            </w:r>
          </w:p>
        </w:tc>
        <w:tc>
          <w:tcPr>
            <w:tcW w:w="1255"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危险废物暂存间</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防渗性能需满足《危险废物贮存污染控制标准》（GB18597-2001）要求，基础必须防渗，防渗层为至少1m后粘土层（渗透系数≤1.0×10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w:t>
            </w:r>
          </w:p>
        </w:tc>
        <w:tc>
          <w:tcPr>
            <w:tcW w:w="2461" w:type="dxa"/>
            <w:vMerge w:val="restart"/>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可采用不低于C30强度等级的混凝土结构，抗渗等级不低于P8，污水沟的内表面涂刷水泥基渗透结晶型防水涂料；或者采用在混凝土内掺加水泥基渗透结晶型防水剂，结构厚度不小于300mm；也可采用HDPE防渗膜与混凝土结构结合的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311"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255"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污水处理站</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池底池壁采取防渗处理，防渗层的性能不低于6.0m厚渗透系数为1.0×10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w:t>
            </w:r>
          </w:p>
        </w:tc>
        <w:tc>
          <w:tcPr>
            <w:tcW w:w="2461" w:type="dxa"/>
            <w:vMerge w:val="continue"/>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311"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255" w:type="dxa"/>
            <w:tcBorders>
              <w:tl2br w:val="nil"/>
              <w:tr2bl w:val="nil"/>
            </w:tcBorders>
            <w:vAlign w:val="center"/>
          </w:tcPr>
          <w:p>
            <w:pPr>
              <w:adjustRightInd w:val="0"/>
              <w:snapToGrid w:val="0"/>
              <w:ind w:firstLine="210" w:firstLineChars="100"/>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cs="Times New Roman"/>
                <w:color w:val="auto"/>
                <w:spacing w:val="0"/>
                <w:w w:val="100"/>
                <w:kern w:val="0"/>
                <w:position w:val="0"/>
                <w:szCs w:val="21"/>
                <w:highlight w:val="none"/>
                <w:lang w:eastAsia="zh-CN"/>
              </w:rPr>
              <w:t>堆粪棚</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Cs w:val="21"/>
                <w:highlight w:val="none"/>
              </w:rPr>
              <w:t>地面及渗滤液导流槽采取硬化防渗处理，防渗层的性能不低于6.0m厚渗透系数为1.0×10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w:t>
            </w:r>
          </w:p>
        </w:tc>
        <w:tc>
          <w:tcPr>
            <w:tcW w:w="2461" w:type="dxa"/>
            <w:vMerge w:val="continue"/>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311"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p>
        </w:tc>
        <w:tc>
          <w:tcPr>
            <w:tcW w:w="1255" w:type="dxa"/>
            <w:tcBorders>
              <w:tl2br w:val="nil"/>
              <w:tr2bl w:val="nil"/>
            </w:tcBorders>
            <w:vAlign w:val="center"/>
          </w:tcPr>
          <w:p>
            <w:pPr>
              <w:adjustRightInd w:val="0"/>
              <w:snapToGrid w:val="0"/>
              <w:ind w:firstLine="210" w:firstLineChars="10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氧化塘</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池底池壁采取防渗处理，防渗层的性能不低于6.0m厚渗透系数为1.0×10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w:t>
            </w:r>
          </w:p>
        </w:tc>
        <w:tc>
          <w:tcPr>
            <w:tcW w:w="2461" w:type="dxa"/>
            <w:vMerge w:val="continue"/>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一般防渗区</w:t>
            </w:r>
          </w:p>
        </w:tc>
        <w:tc>
          <w:tcPr>
            <w:tcW w:w="1255"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eastAsia="zh-CN"/>
              </w:rPr>
              <w:t>牛舍</w:t>
            </w:r>
            <w:r>
              <w:rPr>
                <w:rFonts w:hint="default" w:ascii="Times New Roman" w:hAnsi="Times New Roman" w:eastAsia="宋体" w:cs="Times New Roman"/>
                <w:color w:val="auto"/>
                <w:spacing w:val="0"/>
                <w:w w:val="100"/>
                <w:kern w:val="0"/>
                <w:position w:val="0"/>
                <w:szCs w:val="21"/>
                <w:highlight w:val="none"/>
              </w:rPr>
              <w:t>、挤奶厅</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防渗层的防渗性能不低于1.5m厚渗透系数为1.0×10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tc>
        <w:tc>
          <w:tcPr>
            <w:tcW w:w="2461"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eastAsia" w:ascii="Times New Roman" w:hAnsi="Times New Roman" w:cs="Times New Roman"/>
                <w:color w:val="auto"/>
                <w:spacing w:val="0"/>
                <w:w w:val="100"/>
                <w:kern w:val="0"/>
                <w:position w:val="0"/>
                <w:szCs w:val="21"/>
                <w:highlight w:val="none"/>
                <w:lang w:eastAsia="zh-CN"/>
              </w:rPr>
              <w:t>牛舍</w:t>
            </w:r>
            <w:r>
              <w:rPr>
                <w:rFonts w:hint="default" w:ascii="Times New Roman" w:hAnsi="Times New Roman" w:eastAsia="宋体" w:cs="Times New Roman"/>
                <w:color w:val="auto"/>
                <w:spacing w:val="0"/>
                <w:w w:val="100"/>
                <w:kern w:val="0"/>
                <w:position w:val="0"/>
                <w:szCs w:val="21"/>
                <w:highlight w:val="none"/>
              </w:rPr>
              <w:t>和挤奶厅内采用混凝土硬化地面防渗措施，牛舍地面硬化时应设计有一定的坡度及导流沟渠和装置等，运动场采用粘土硬化防渗措施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131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pacing w:val="0"/>
                <w:w w:val="100"/>
                <w:kern w:val="0"/>
                <w:position w:val="0"/>
                <w:szCs w:val="21"/>
                <w:highlight w:val="none"/>
              </w:rPr>
            </w:pPr>
            <w:r>
              <w:rPr>
                <w:rFonts w:hint="default" w:ascii="Times New Roman" w:hAnsi="Times New Roman" w:eastAsia="宋体" w:cs="Times New Roman"/>
                <w:b/>
                <w:bCs/>
                <w:color w:val="auto"/>
                <w:spacing w:val="0"/>
                <w:w w:val="100"/>
                <w:kern w:val="0"/>
                <w:position w:val="0"/>
                <w:szCs w:val="21"/>
                <w:highlight w:val="none"/>
              </w:rPr>
              <w:t>简单防渗区</w:t>
            </w:r>
          </w:p>
        </w:tc>
        <w:tc>
          <w:tcPr>
            <w:tcW w:w="1255" w:type="dxa"/>
            <w:tcBorders>
              <w:tl2br w:val="nil"/>
              <w:tr2bl w:val="nil"/>
            </w:tcBorders>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生活区、</w:t>
            </w:r>
            <w:r>
              <w:rPr>
                <w:rFonts w:hint="default" w:ascii="Times New Roman" w:hAnsi="Times New Roman" w:eastAsia="宋体" w:cs="Times New Roman"/>
                <w:color w:val="auto"/>
                <w:spacing w:val="0"/>
                <w:w w:val="100"/>
                <w:kern w:val="0"/>
                <w:position w:val="0"/>
                <w:szCs w:val="21"/>
                <w:highlight w:val="none"/>
              </w:rPr>
              <w:t>青贮</w:t>
            </w:r>
            <w:r>
              <w:rPr>
                <w:rFonts w:hint="default" w:ascii="Times New Roman" w:hAnsi="Times New Roman" w:eastAsia="宋体" w:cs="Times New Roman"/>
                <w:color w:val="auto"/>
                <w:spacing w:val="0"/>
                <w:w w:val="100"/>
                <w:kern w:val="0"/>
                <w:position w:val="0"/>
                <w:szCs w:val="21"/>
                <w:highlight w:val="none"/>
                <w:lang w:eastAsia="zh-CN"/>
              </w:rPr>
              <w:t>池</w:t>
            </w:r>
            <w:r>
              <w:rPr>
                <w:rFonts w:hint="default" w:ascii="Times New Roman" w:hAnsi="Times New Roman" w:eastAsia="宋体" w:cs="Times New Roman"/>
                <w:bCs/>
                <w:color w:val="auto"/>
                <w:spacing w:val="0"/>
                <w:w w:val="100"/>
                <w:kern w:val="0"/>
                <w:position w:val="0"/>
                <w:szCs w:val="21"/>
                <w:highlight w:val="none"/>
              </w:rPr>
              <w:t>、草料棚、厂区道路</w:t>
            </w:r>
          </w:p>
        </w:tc>
        <w:tc>
          <w:tcPr>
            <w:tcW w:w="3750"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2461" w:type="dxa"/>
            <w:tcBorders>
              <w:tl2br w:val="nil"/>
              <w:tr2bl w:val="nil"/>
            </w:tcBorders>
            <w:vAlign w:val="center"/>
          </w:tcPr>
          <w:p>
            <w:pPr>
              <w:adjustRightInd w:val="0"/>
              <w:snapToGrid w:val="0"/>
              <w:ind w:firstLine="420" w:firstLineChars="20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一般地面硬化</w:t>
            </w:r>
          </w:p>
        </w:tc>
      </w:tr>
    </w:tbl>
    <w:p>
      <w:pPr>
        <w:pStyle w:val="6"/>
        <w:keepNext/>
        <w:keepLines/>
        <w:pageBreakBefore w:val="0"/>
        <w:widowControl w:val="0"/>
        <w:kinsoku/>
        <w:wordWrap/>
        <w:overflowPunct/>
        <w:topLinePunct w:val="0"/>
        <w:autoSpaceDE/>
        <w:autoSpaceDN/>
        <w:bidi w:val="0"/>
        <w:adjustRightInd/>
        <w:snapToGrid w:val="0"/>
        <w:spacing w:before="120" w:after="40" w:line="360" w:lineRule="auto"/>
        <w:contextualSpacing/>
        <w:textAlignment w:val="auto"/>
        <w:outlineLvl w:val="3"/>
        <w:rPr>
          <w:rFonts w:hint="default" w:ascii="Times New Roman" w:hAnsi="Times New Roman" w:eastAsia="宋体" w:cs="Times New Roman"/>
          <w:b/>
          <w:color w:val="auto"/>
          <w:spacing w:val="0"/>
          <w:w w:val="100"/>
          <w:kern w:val="0"/>
          <w:position w:val="0"/>
          <w:sz w:val="24"/>
          <w:highlight w:val="none"/>
          <w:lang w:val="en-US" w:eastAsia="zh-CN"/>
        </w:rPr>
      </w:pPr>
      <w:bookmarkStart w:id="1022" w:name="_Toc17882"/>
      <w:bookmarkStart w:id="1023" w:name="_Toc27229"/>
      <w:r>
        <w:rPr>
          <w:rFonts w:hint="default" w:ascii="Times New Roman" w:hAnsi="Times New Roman" w:eastAsia="宋体" w:cs="Times New Roman"/>
          <w:b/>
          <w:color w:val="auto"/>
          <w:spacing w:val="0"/>
          <w:w w:val="100"/>
          <w:kern w:val="0"/>
          <w:position w:val="0"/>
          <w:sz w:val="24"/>
          <w:highlight w:val="none"/>
          <w:lang w:val="en-US" w:eastAsia="zh-CN"/>
        </w:rPr>
        <w:t>6.2.3.4地下水污染监控措施</w:t>
      </w:r>
      <w:bookmarkEnd w:id="1022"/>
      <w:bookmarkEnd w:id="1023"/>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为了及时准确地掌握厂址周围地下水污染控制状况，要求建设单位建立覆盖全厂生产区的地下水监控体系，包括建立完善的监测制度、配备先进的检测仪器和设备、设置地下水污染监控井，及时发现问题，及时控制污染。</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①地下水跟踪监测井布置情况</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本项目地下水环境影响评价工作等级为三级。根据《环境影响评价技术导则地下水环境》（HJ610-2016）：三级评价的建设项目，跟踪监测点位数量一般不少于1个，应至少在建设项目场地下游布置</w:t>
      </w:r>
      <w:r>
        <w:rPr>
          <w:rFonts w:hint="default" w:ascii="Times New Roman" w:hAnsi="Times New Roman" w:eastAsia="宋体" w:cs="Times New Roman"/>
          <w:color w:val="auto"/>
          <w:spacing w:val="0"/>
          <w:w w:val="100"/>
          <w:kern w:val="0"/>
          <w:position w:val="0"/>
          <w:sz w:val="24"/>
          <w:szCs w:val="24"/>
          <w:lang w:val="en-US" w:eastAsia="zh-CN"/>
        </w:rPr>
        <w:t>1</w:t>
      </w:r>
      <w:r>
        <w:rPr>
          <w:rFonts w:hint="default" w:ascii="Times New Roman" w:hAnsi="Times New Roman" w:eastAsia="宋体" w:cs="Times New Roman"/>
          <w:color w:val="auto"/>
          <w:spacing w:val="0"/>
          <w:w w:val="100"/>
          <w:kern w:val="0"/>
          <w:position w:val="0"/>
          <w:sz w:val="24"/>
          <w:szCs w:val="24"/>
        </w:rPr>
        <w:t>个点位。</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根据项目所在区域水文地质特点、影响区域、地下水保护目标及主要污染源的分布情况，并结合区域地下水流向，本次评价要求在</w:t>
      </w:r>
      <w:r>
        <w:rPr>
          <w:rFonts w:hint="default" w:ascii="Times New Roman" w:hAnsi="Times New Roman" w:eastAsia="宋体" w:cs="Times New Roman"/>
          <w:color w:val="auto"/>
          <w:spacing w:val="0"/>
          <w:w w:val="100"/>
          <w:kern w:val="0"/>
          <w:position w:val="0"/>
          <w:sz w:val="24"/>
          <w:szCs w:val="24"/>
          <w:lang w:eastAsia="zh-CN"/>
        </w:rPr>
        <w:t>项目厂区下游（厂区东侧）</w:t>
      </w:r>
      <w:r>
        <w:rPr>
          <w:rFonts w:hint="default" w:ascii="Times New Roman" w:hAnsi="Times New Roman" w:eastAsia="宋体" w:cs="Times New Roman"/>
          <w:color w:val="auto"/>
          <w:spacing w:val="0"/>
          <w:w w:val="100"/>
          <w:kern w:val="0"/>
          <w:position w:val="0"/>
          <w:sz w:val="24"/>
          <w:szCs w:val="24"/>
        </w:rPr>
        <w:t>设置1个地下水跟踪监测井，作为污染控制井。地下水跟踪监测井施工需严格按照《地下水监测井建设规范》（DZ/T0270-2014）进行。</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②地下水监测计划</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为了及时准确地掌握</w:t>
      </w:r>
      <w:r>
        <w:rPr>
          <w:rFonts w:hint="default" w:ascii="Times New Roman" w:hAnsi="Times New Roman" w:eastAsia="宋体" w:cs="Times New Roman"/>
          <w:color w:val="auto"/>
          <w:spacing w:val="0"/>
          <w:w w:val="100"/>
          <w:kern w:val="0"/>
          <w:position w:val="0"/>
          <w:sz w:val="24"/>
          <w:szCs w:val="24"/>
          <w:lang w:eastAsia="zh-CN"/>
        </w:rPr>
        <w:t>厂区</w:t>
      </w:r>
      <w:r>
        <w:rPr>
          <w:rFonts w:hint="default" w:ascii="Times New Roman" w:hAnsi="Times New Roman" w:eastAsia="宋体" w:cs="Times New Roman"/>
          <w:color w:val="auto"/>
          <w:spacing w:val="0"/>
          <w:w w:val="100"/>
          <w:kern w:val="0"/>
          <w:position w:val="0"/>
          <w:sz w:val="24"/>
          <w:szCs w:val="24"/>
        </w:rPr>
        <w:t>周围地下水质量状况和地下水中污染物的动态变化，应根据《地下水环境监测技术规范》（HJ164-20</w:t>
      </w:r>
      <w:r>
        <w:rPr>
          <w:rFonts w:hint="eastAsia" w:ascii="Times New Roman" w:hAnsi="Times New Roman" w:cs="Times New Roman"/>
          <w:color w:val="auto"/>
          <w:spacing w:val="0"/>
          <w:w w:val="100"/>
          <w:kern w:val="0"/>
          <w:position w:val="0"/>
          <w:sz w:val="24"/>
          <w:szCs w:val="24"/>
          <w:lang w:val="en-US" w:eastAsia="zh-CN"/>
        </w:rPr>
        <w:t>20</w:t>
      </w:r>
      <w:r>
        <w:rPr>
          <w:rFonts w:hint="default" w:ascii="Times New Roman" w:hAnsi="Times New Roman" w:eastAsia="宋体" w:cs="Times New Roman"/>
          <w:color w:val="auto"/>
          <w:spacing w:val="0"/>
          <w:w w:val="100"/>
          <w:kern w:val="0"/>
          <w:position w:val="0"/>
          <w:sz w:val="24"/>
          <w:szCs w:val="24"/>
        </w:rPr>
        <w:t>）的要求，对项目设置的1口地下水环境跟踪监测井进行长期监测。</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监测因子：包括pH、氨氮、硝酸盐氮、亚硝酸盐氮、挥发酚、氰化物、砷、汞、镉、铬(六价)、总硬度、铅、氟化物、铁、锰、耗氧量、溶解性总固体、硫酸盐、氯化物、K</w:t>
      </w:r>
      <w:r>
        <w:rPr>
          <w:rFonts w:hint="default" w:ascii="Times New Roman" w:hAnsi="Times New Roman" w:eastAsia="宋体" w:cs="Times New Roman"/>
          <w:color w:val="auto"/>
          <w:spacing w:val="0"/>
          <w:w w:val="100"/>
          <w:kern w:val="0"/>
          <w:position w:val="0"/>
          <w:sz w:val="24"/>
          <w:szCs w:val="24"/>
          <w:vertAlign w:val="superscript"/>
        </w:rPr>
        <w:t>+</w:t>
      </w:r>
      <w:r>
        <w:rPr>
          <w:rFonts w:hint="default" w:ascii="Times New Roman" w:hAnsi="Times New Roman" w:eastAsia="宋体" w:cs="Times New Roman"/>
          <w:color w:val="auto"/>
          <w:spacing w:val="0"/>
          <w:w w:val="100"/>
          <w:kern w:val="0"/>
          <w:position w:val="0"/>
          <w:sz w:val="24"/>
          <w:szCs w:val="24"/>
        </w:rPr>
        <w:t>、Na</w:t>
      </w:r>
      <w:r>
        <w:rPr>
          <w:rFonts w:hint="default" w:ascii="Times New Roman" w:hAnsi="Times New Roman" w:eastAsia="宋体" w:cs="Times New Roman"/>
          <w:color w:val="auto"/>
          <w:spacing w:val="0"/>
          <w:w w:val="100"/>
          <w:kern w:val="0"/>
          <w:position w:val="0"/>
          <w:sz w:val="24"/>
          <w:szCs w:val="24"/>
          <w:vertAlign w:val="superscript"/>
        </w:rPr>
        <w:t>+</w:t>
      </w:r>
      <w:r>
        <w:rPr>
          <w:rFonts w:hint="default" w:ascii="Times New Roman" w:hAnsi="Times New Roman" w:eastAsia="宋体" w:cs="Times New Roman"/>
          <w:color w:val="auto"/>
          <w:spacing w:val="0"/>
          <w:w w:val="100"/>
          <w:kern w:val="0"/>
          <w:position w:val="0"/>
          <w:sz w:val="24"/>
          <w:szCs w:val="24"/>
        </w:rPr>
        <w:t>、Ca</w:t>
      </w:r>
      <w:r>
        <w:rPr>
          <w:rFonts w:hint="default" w:ascii="Times New Roman" w:hAnsi="Times New Roman" w:eastAsia="宋体" w:cs="Times New Roman"/>
          <w:color w:val="auto"/>
          <w:spacing w:val="0"/>
          <w:w w:val="100"/>
          <w:kern w:val="0"/>
          <w:position w:val="0"/>
          <w:sz w:val="24"/>
          <w:szCs w:val="24"/>
          <w:vertAlign w:val="superscript"/>
        </w:rPr>
        <w:t>2+</w:t>
      </w:r>
      <w:r>
        <w:rPr>
          <w:rFonts w:hint="default" w:ascii="Times New Roman" w:hAnsi="Times New Roman" w:eastAsia="宋体" w:cs="Times New Roman"/>
          <w:color w:val="auto"/>
          <w:spacing w:val="0"/>
          <w:w w:val="100"/>
          <w:kern w:val="0"/>
          <w:position w:val="0"/>
          <w:sz w:val="24"/>
          <w:szCs w:val="24"/>
        </w:rPr>
        <w:t>、Mg</w:t>
      </w:r>
      <w:r>
        <w:rPr>
          <w:rFonts w:hint="default" w:ascii="Times New Roman" w:hAnsi="Times New Roman" w:eastAsia="宋体" w:cs="Times New Roman"/>
          <w:color w:val="auto"/>
          <w:spacing w:val="0"/>
          <w:w w:val="100"/>
          <w:kern w:val="0"/>
          <w:position w:val="0"/>
          <w:sz w:val="24"/>
          <w:szCs w:val="24"/>
          <w:vertAlign w:val="superscript"/>
        </w:rPr>
        <w:t>2+</w:t>
      </w:r>
      <w:r>
        <w:rPr>
          <w:rFonts w:hint="default" w:ascii="Times New Roman" w:hAnsi="Times New Roman" w:eastAsia="宋体" w:cs="Times New Roman"/>
          <w:color w:val="auto"/>
          <w:spacing w:val="0"/>
          <w:w w:val="100"/>
          <w:kern w:val="0"/>
          <w:position w:val="0"/>
          <w:sz w:val="24"/>
          <w:szCs w:val="24"/>
        </w:rPr>
        <w:t>、CO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vertAlign w:val="superscript"/>
        </w:rPr>
        <w:t>2-</w:t>
      </w:r>
      <w:r>
        <w:rPr>
          <w:rFonts w:hint="default" w:ascii="Times New Roman" w:hAnsi="Times New Roman" w:eastAsia="宋体" w:cs="Times New Roman"/>
          <w:color w:val="auto"/>
          <w:spacing w:val="0"/>
          <w:w w:val="100"/>
          <w:kern w:val="0"/>
          <w:position w:val="0"/>
          <w:sz w:val="24"/>
          <w:szCs w:val="24"/>
        </w:rPr>
        <w:t>、HCO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vertAlign w:val="superscript"/>
        </w:rPr>
        <w:t>-</w:t>
      </w:r>
      <w:r>
        <w:rPr>
          <w:rFonts w:hint="default" w:ascii="Times New Roman" w:hAnsi="Times New Roman" w:eastAsia="宋体" w:cs="Times New Roman"/>
          <w:color w:val="auto"/>
          <w:spacing w:val="0"/>
          <w:w w:val="100"/>
          <w:kern w:val="0"/>
          <w:position w:val="0"/>
          <w:sz w:val="24"/>
          <w:szCs w:val="24"/>
        </w:rPr>
        <w:t>等，共计25项；并同步记录井深、水位、水温等水文参数。</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监测频次：项目运营期间应按照《地下水环境监测技术规范》（HJ164-20</w:t>
      </w:r>
      <w:r>
        <w:rPr>
          <w:rFonts w:hint="eastAsia" w:ascii="Times New Roman" w:hAnsi="Times New Roman" w:cs="Times New Roman"/>
          <w:color w:val="auto"/>
          <w:spacing w:val="0"/>
          <w:w w:val="100"/>
          <w:kern w:val="0"/>
          <w:position w:val="0"/>
          <w:sz w:val="24"/>
          <w:szCs w:val="24"/>
          <w:lang w:val="en-US" w:eastAsia="zh-CN"/>
        </w:rPr>
        <w:t>20</w:t>
      </w:r>
      <w:r>
        <w:rPr>
          <w:rFonts w:hint="default" w:ascii="Times New Roman" w:hAnsi="Times New Roman" w:eastAsia="宋体" w:cs="Times New Roman"/>
          <w:color w:val="auto"/>
          <w:spacing w:val="0"/>
          <w:w w:val="100"/>
          <w:kern w:val="0"/>
          <w:position w:val="0"/>
          <w:sz w:val="24"/>
          <w:szCs w:val="24"/>
        </w:rPr>
        <w:t>）进行确定。具体确定原则如下：</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每年枯水期和丰水期各监测一次</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③监测数据管理</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监测结果应形成跟踪监测报告，明确跟踪监测报告编制的责任主体。跟踪监测报告内容一般包括：建设项目所在场地及其影响区地下水环境跟踪监测数据，排放污染物的种类、数量、浓度；挡水墙等防护设施的完好状况、维护记录等。</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监测结果应按项目有关规定及时建立档案，并定期向当地环保部门汇报，所有监测因子监测数据应进行公开，满足法律中关于知情权的要求。发现污染时，要及时进行处理，开展系统调查，并上报有关部门。</w:t>
      </w:r>
    </w:p>
    <w:p>
      <w:pPr>
        <w:spacing w:line="360" w:lineRule="auto"/>
        <w:ind w:firstLine="480"/>
        <w:rPr>
          <w:rFonts w:hint="default" w:ascii="Times New Roman" w:hAnsi="Times New Roman" w:eastAsia="宋体" w:cs="Times New Roman"/>
          <w:color w:val="auto"/>
          <w:spacing w:val="0"/>
          <w:w w:val="100"/>
          <w:kern w:val="0"/>
          <w:position w:val="0"/>
          <w:sz w:val="24"/>
          <w:szCs w:val="24"/>
          <w:lang w:eastAsia="zh-CN"/>
        </w:rPr>
      </w:pPr>
      <w:bookmarkStart w:id="1024" w:name="_Toc15975"/>
      <w:bookmarkStart w:id="1025" w:name="_Toc32479"/>
      <w:bookmarkStart w:id="1026" w:name="_Toc21877"/>
      <w:r>
        <w:rPr>
          <w:rFonts w:hint="default" w:ascii="Times New Roman" w:hAnsi="Times New Roman" w:eastAsia="宋体" w:cs="Times New Roman"/>
          <w:color w:val="auto"/>
          <w:spacing w:val="0"/>
          <w:w w:val="100"/>
          <w:kern w:val="0"/>
          <w:position w:val="0"/>
          <w:sz w:val="24"/>
          <w:szCs w:val="24"/>
          <w:lang w:eastAsia="zh-CN"/>
        </w:rPr>
        <w:t>④地下水污染突发事件应急措施</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pPr>
        <w:spacing w:line="360" w:lineRule="auto"/>
        <w:ind w:firstLine="480"/>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szCs w:val="24"/>
        </w:rPr>
        <w:t>综上所述，在对</w:t>
      </w:r>
      <w:r>
        <w:rPr>
          <w:rFonts w:hint="default" w:ascii="Times New Roman" w:hAnsi="Times New Roman" w:eastAsia="宋体" w:cs="Times New Roman"/>
          <w:color w:val="auto"/>
          <w:spacing w:val="0"/>
          <w:w w:val="100"/>
          <w:kern w:val="0"/>
          <w:position w:val="0"/>
          <w:sz w:val="24"/>
          <w:szCs w:val="24"/>
          <w:lang w:eastAsia="zh-CN"/>
        </w:rPr>
        <w:t>污水处理站、危废暂存间以及</w:t>
      </w:r>
      <w:r>
        <w:rPr>
          <w:rFonts w:hint="default" w:ascii="Times New Roman" w:hAnsi="Times New Roman" w:cs="Times New Roman"/>
          <w:color w:val="auto"/>
          <w:spacing w:val="0"/>
          <w:w w:val="100"/>
          <w:kern w:val="0"/>
          <w:position w:val="0"/>
          <w:sz w:val="24"/>
          <w:szCs w:val="24"/>
          <w:lang w:eastAsia="zh-CN"/>
        </w:rPr>
        <w:t>堆粪棚</w:t>
      </w:r>
      <w:r>
        <w:rPr>
          <w:rFonts w:hint="default" w:ascii="Times New Roman" w:hAnsi="Times New Roman" w:eastAsia="宋体" w:cs="Times New Roman"/>
          <w:color w:val="auto"/>
          <w:spacing w:val="0"/>
          <w:w w:val="100"/>
          <w:kern w:val="0"/>
          <w:position w:val="0"/>
          <w:sz w:val="24"/>
          <w:szCs w:val="24"/>
          <w:lang w:eastAsia="zh-CN"/>
        </w:rPr>
        <w:t>等</w:t>
      </w:r>
      <w:r>
        <w:rPr>
          <w:rFonts w:hint="default" w:ascii="Times New Roman" w:hAnsi="Times New Roman" w:eastAsia="宋体" w:cs="Times New Roman"/>
          <w:color w:val="auto"/>
          <w:spacing w:val="0"/>
          <w:w w:val="100"/>
          <w:kern w:val="0"/>
          <w:position w:val="0"/>
          <w:sz w:val="24"/>
          <w:szCs w:val="24"/>
        </w:rPr>
        <w:t>构筑物采取防渗措施、建立健全地下水水质跟踪监测制度及突发环境事件预警预报系统，并加强事故应急防范措施的基础上，可有效防止液体物料下渗而造成地下水污染的等环境问题的发生。</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27" w:name="_Toc8506"/>
      <w:r>
        <w:rPr>
          <w:rFonts w:hint="default" w:ascii="Times New Roman" w:hAnsi="Times New Roman" w:eastAsia="宋体" w:cs="Times New Roman"/>
          <w:snapToGrid w:val="0"/>
          <w:color w:val="auto"/>
          <w:spacing w:val="0"/>
          <w:w w:val="100"/>
          <w:kern w:val="0"/>
          <w:position w:val="0"/>
          <w:sz w:val="28"/>
          <w:szCs w:val="28"/>
          <w:highlight w:val="none"/>
          <w:lang w:val="en-US" w:eastAsia="zh-CN"/>
        </w:rPr>
        <w:t>6.2.4噪声污染防治措施评述</w:t>
      </w:r>
      <w:bookmarkEnd w:id="1015"/>
      <w:bookmarkEnd w:id="1024"/>
      <w:bookmarkEnd w:id="1025"/>
      <w:bookmarkEnd w:id="1026"/>
      <w:bookmarkEnd w:id="1027"/>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2"/>
          <w:highlight w:val="none"/>
        </w:rPr>
        <w:t>本项目噪声主要来自TMR搅拌站内饲料配料混合设备、粉碎机、水泵及牛群活动叫声等。</w:t>
      </w:r>
      <w:r>
        <w:rPr>
          <w:rFonts w:hint="default" w:ascii="Times New Roman" w:hAnsi="Times New Roman" w:eastAsia="宋体" w:cs="Times New Roman"/>
          <w:color w:val="auto"/>
          <w:spacing w:val="0"/>
          <w:w w:val="100"/>
          <w:kern w:val="0"/>
          <w:position w:val="0"/>
          <w:szCs w:val="24"/>
          <w:highlight w:val="none"/>
        </w:rPr>
        <w:t>针对不同噪声源采用隔声、消声、合理布局等治理措施。</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⑴</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重视设备选型</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最大程度地选用加工精度高，运行噪声低，配备减振、降噪的设施的生产装置及设备。采用大型基础来减少粉碎机的振动噪声。安装减振材料，减小振动。</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⑵</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重视总图布置</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将高噪声设备布置在厂房之内，可利用建筑物、构筑物形成噪声屏障，阻碍噪声传播。对噪声设备，在设计时应考虑建筑隔声效果。如对风机类、泵类设备等均安装在室内，采用厂房隔声布置，以减轻噪声对室外环境的影响。</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3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⑶</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采取隔声、吸声措施</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在项目厂区道路两侧种植绿化带，厂内空地种植花草，以进一步削减噪声。</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4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⑷</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风机噪声控制</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可以安装消声器、加装隔声罩、内嵌式安装，或设置风机房。</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风机在运转时产生的噪声主要有空气动力性噪声（即气流噪声）、机械噪声等，其中强度最高、影响最大的则是空气动力性噪声，尤其进出气口产生的噪声最严重。通过在进气口安装阻抗复合消声器和对进排气管道作阻尼减振措施，这样对整体设备可降噪15~20dB（A）以上，使风机声源值由90dB(A)降至70dB(A)。</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泵类噪声以冷却风扇产生的空气动力噪声最强，远远超过电磁噪声和机械噪声之和，电动机的噪声频带比较宽，以低中频为主。一般用内衬有吸声材料的电动机隔声罩和泵基减振垫，将电动机全部罩上的隔声设施，还有将泵置于地平面以下，以降低声源强度。</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5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⑸</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从管理角度，加强以下几个方面工作，以减少项目噪声排放对周边声环境的影响</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①提高工艺自动控制水平，减少工人直接接触高噪声设备时间。</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②建立设备定期维护、保养制度，防止设备故障形成的非正常生产噪声。</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③加强职工环保意识教育，提倡文明生产，防止人为噪声。</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fldChar w:fldCharType="begin"/>
      </w:r>
      <w:r>
        <w:rPr>
          <w:rFonts w:hint="default" w:ascii="Times New Roman" w:hAnsi="Times New Roman" w:eastAsia="宋体" w:cs="Times New Roman"/>
          <w:color w:val="auto"/>
          <w:spacing w:val="0"/>
          <w:w w:val="100"/>
          <w:kern w:val="0"/>
          <w:position w:val="0"/>
          <w:szCs w:val="24"/>
          <w:highlight w:val="none"/>
        </w:rPr>
        <w:instrText xml:space="preserve"> = 6 \* GB2 \* MERGEFORMAT </w:instrText>
      </w:r>
      <w:r>
        <w:rPr>
          <w:rFonts w:hint="default" w:ascii="Times New Roman" w:hAnsi="Times New Roman" w:eastAsia="宋体" w:cs="Times New Roman"/>
          <w:color w:val="auto"/>
          <w:spacing w:val="0"/>
          <w:w w:val="100"/>
          <w:kern w:val="0"/>
          <w:position w:val="0"/>
          <w:szCs w:val="24"/>
          <w:highlight w:val="none"/>
        </w:rPr>
        <w:fldChar w:fldCharType="separate"/>
      </w:r>
      <w:r>
        <w:rPr>
          <w:rFonts w:hint="default" w:ascii="Times New Roman" w:hAnsi="Times New Roman" w:eastAsia="宋体" w:cs="Times New Roman"/>
          <w:color w:val="auto"/>
          <w:spacing w:val="0"/>
          <w:w w:val="100"/>
          <w:kern w:val="0"/>
          <w:position w:val="0"/>
          <w:highlight w:val="none"/>
        </w:rPr>
        <w:t>⑹</w:t>
      </w:r>
      <w:r>
        <w:rPr>
          <w:rFonts w:hint="default" w:ascii="Times New Roman" w:hAnsi="Times New Roman" w:eastAsia="宋体" w:cs="Times New Roman"/>
          <w:color w:val="auto"/>
          <w:spacing w:val="0"/>
          <w:w w:val="100"/>
          <w:kern w:val="0"/>
          <w:position w:val="0"/>
          <w:szCs w:val="24"/>
          <w:highlight w:val="none"/>
        </w:rPr>
        <w:fldChar w:fldCharType="end"/>
      </w:r>
      <w:r>
        <w:rPr>
          <w:rFonts w:hint="default" w:ascii="Times New Roman" w:hAnsi="Times New Roman" w:eastAsia="宋体" w:cs="Times New Roman"/>
          <w:color w:val="auto"/>
          <w:spacing w:val="0"/>
          <w:w w:val="100"/>
          <w:kern w:val="0"/>
          <w:position w:val="0"/>
          <w:szCs w:val="24"/>
          <w:highlight w:val="none"/>
        </w:rPr>
        <w:t>流动声源管理：对于流动声源，单独控制声源技术难度甚大，可行的措施是强化行驶管理制度。要求驾驶员加强环保意识，减少鸣笛次数。同时加强厂区内道路维护保养，减少汽车磨擦噪声。</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rPr>
      </w:pPr>
      <w:r>
        <w:rPr>
          <w:rFonts w:hint="default" w:ascii="Times New Roman" w:hAnsi="Times New Roman" w:eastAsia="宋体" w:cs="Times New Roman"/>
          <w:color w:val="auto"/>
          <w:spacing w:val="0"/>
          <w:w w:val="100"/>
          <w:kern w:val="0"/>
          <w:position w:val="0"/>
          <w:szCs w:val="24"/>
          <w:highlight w:val="none"/>
        </w:rPr>
        <w:t>采取有效的减振降噪措施后，主要生产设备噪声源衰减至</w:t>
      </w:r>
      <w:r>
        <w:rPr>
          <w:rFonts w:hint="default" w:ascii="Times New Roman" w:hAnsi="Times New Roman" w:eastAsia="宋体" w:cs="Times New Roman"/>
          <w:color w:val="auto"/>
          <w:spacing w:val="0"/>
          <w:w w:val="100"/>
          <w:kern w:val="0"/>
          <w:position w:val="0"/>
          <w:szCs w:val="24"/>
          <w:highlight w:val="none"/>
          <w:lang w:eastAsia="zh-CN"/>
        </w:rPr>
        <w:t>各</w:t>
      </w:r>
      <w:r>
        <w:rPr>
          <w:rFonts w:hint="default" w:ascii="Times New Roman" w:hAnsi="Times New Roman" w:eastAsia="宋体" w:cs="Times New Roman"/>
          <w:color w:val="auto"/>
          <w:spacing w:val="0"/>
          <w:w w:val="100"/>
          <w:kern w:val="0"/>
          <w:position w:val="0"/>
          <w:szCs w:val="24"/>
          <w:highlight w:val="none"/>
        </w:rPr>
        <w:t>厂界外1m的噪声贡献值均可以满足《工业企业厂界环境噪声排放标准》（GB12348-2008）</w:t>
      </w:r>
      <w:r>
        <w:rPr>
          <w:rFonts w:hint="default" w:ascii="Times New Roman" w:hAnsi="Times New Roman" w:eastAsia="宋体" w:cs="Times New Roman"/>
          <w:color w:val="auto"/>
          <w:spacing w:val="0"/>
          <w:w w:val="100"/>
          <w:kern w:val="0"/>
          <w:position w:val="0"/>
          <w:szCs w:val="24"/>
          <w:highlight w:val="none"/>
          <w:lang w:val="en-US" w:eastAsia="zh-CN"/>
        </w:rPr>
        <w:t>1</w:t>
      </w:r>
      <w:r>
        <w:rPr>
          <w:rFonts w:hint="default" w:ascii="Times New Roman" w:hAnsi="Times New Roman" w:eastAsia="宋体" w:cs="Times New Roman"/>
          <w:color w:val="auto"/>
          <w:spacing w:val="0"/>
          <w:w w:val="100"/>
          <w:kern w:val="0"/>
          <w:position w:val="0"/>
          <w:szCs w:val="24"/>
          <w:highlight w:val="none"/>
        </w:rPr>
        <w:t>类区排放限值要求。</w:t>
      </w:r>
    </w:p>
    <w:p>
      <w:pPr>
        <w:pStyle w:val="59"/>
        <w:widowControl w:val="0"/>
        <w:spacing w:line="360" w:lineRule="auto"/>
        <w:ind w:firstLine="482"/>
        <w:jc w:val="both"/>
        <w:rPr>
          <w:rFonts w:hint="default" w:ascii="Times New Roman" w:hAnsi="Times New Roman" w:eastAsia="宋体" w:cs="Times New Roman"/>
          <w:b w:val="0"/>
          <w:bCs w:val="0"/>
          <w:color w:val="auto"/>
          <w:spacing w:val="0"/>
          <w:w w:val="100"/>
          <w:kern w:val="0"/>
          <w:position w:val="0"/>
          <w:szCs w:val="24"/>
          <w:highlight w:val="none"/>
        </w:rPr>
      </w:pPr>
      <w:r>
        <w:rPr>
          <w:rFonts w:hint="default" w:ascii="Times New Roman" w:hAnsi="Times New Roman" w:eastAsia="宋体" w:cs="Times New Roman"/>
          <w:b w:val="0"/>
          <w:bCs w:val="0"/>
          <w:color w:val="auto"/>
          <w:spacing w:val="0"/>
          <w:w w:val="100"/>
          <w:kern w:val="0"/>
          <w:position w:val="0"/>
          <w:szCs w:val="24"/>
          <w:highlight w:val="none"/>
        </w:rPr>
        <w:t>综上所述，本项目采取的噪声防治措施合理可行。</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28" w:name="_Toc27457"/>
      <w:bookmarkStart w:id="1029" w:name="_Toc21978"/>
      <w:bookmarkStart w:id="1030" w:name="_Toc16081"/>
      <w:bookmarkStart w:id="1031" w:name="_Toc32017"/>
      <w:bookmarkStart w:id="1032" w:name="_Toc3638"/>
      <w:r>
        <w:rPr>
          <w:rFonts w:hint="default" w:ascii="Times New Roman" w:hAnsi="Times New Roman" w:eastAsia="宋体" w:cs="Times New Roman"/>
          <w:snapToGrid w:val="0"/>
          <w:color w:val="auto"/>
          <w:spacing w:val="0"/>
          <w:w w:val="100"/>
          <w:kern w:val="0"/>
          <w:position w:val="0"/>
          <w:sz w:val="28"/>
          <w:szCs w:val="28"/>
          <w:highlight w:val="none"/>
          <w:lang w:val="en-US" w:eastAsia="zh-CN"/>
        </w:rPr>
        <w:t>6.2.5固体废物污染防治措施评述</w:t>
      </w:r>
      <w:bookmarkEnd w:id="1028"/>
      <w:bookmarkEnd w:id="1029"/>
      <w:bookmarkEnd w:id="1030"/>
      <w:bookmarkEnd w:id="1031"/>
      <w:bookmarkEnd w:id="1032"/>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rPr>
        <w:t>本项目运营后，固体废物主要有牛粪、病死牛尸体及胎盘、污水处理站污泥、兽医站少量医疗废物、除尘器</w:t>
      </w:r>
      <w:r>
        <w:rPr>
          <w:rFonts w:hint="default" w:ascii="Times New Roman" w:hAnsi="Times New Roman" w:eastAsia="宋体" w:cs="Times New Roman"/>
          <w:color w:val="auto"/>
          <w:spacing w:val="0"/>
          <w:w w:val="100"/>
          <w:kern w:val="0"/>
          <w:position w:val="0"/>
          <w:sz w:val="24"/>
          <w:szCs w:val="24"/>
          <w:highlight w:val="none"/>
          <w:lang w:eastAsia="zh-CN"/>
        </w:rPr>
        <w:t>收尘灰</w:t>
      </w:r>
      <w:r>
        <w:rPr>
          <w:rFonts w:hint="default" w:ascii="Times New Roman" w:hAnsi="Times New Roman" w:eastAsia="宋体" w:cs="Times New Roman"/>
          <w:color w:val="auto"/>
          <w:spacing w:val="0"/>
          <w:w w:val="100"/>
          <w:kern w:val="0"/>
          <w:position w:val="0"/>
          <w:sz w:val="24"/>
          <w:szCs w:val="24"/>
          <w:highlight w:val="none"/>
        </w:rPr>
        <w:t>及生活垃圾</w:t>
      </w:r>
      <w:r>
        <w:rPr>
          <w:rFonts w:hint="default" w:ascii="Times New Roman" w:hAnsi="Times New Roman" w:eastAsia="宋体" w:cs="Times New Roman"/>
          <w:color w:val="auto"/>
          <w:spacing w:val="0"/>
          <w:w w:val="100"/>
          <w:kern w:val="0"/>
          <w:position w:val="0"/>
          <w:sz w:val="24"/>
          <w:szCs w:val="22"/>
          <w:highlight w:val="none"/>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(1)牛粪</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4"/>
          <w:highlight w:val="none"/>
        </w:rPr>
      </w:pPr>
      <w:bookmarkStart w:id="1033" w:name="_Toc5369"/>
      <w:bookmarkStart w:id="1034" w:name="_Toc24422"/>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①</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牛粪处理措施</w:t>
      </w:r>
      <w:bookmarkEnd w:id="1033"/>
      <w:bookmarkEnd w:id="1034"/>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4"/>
          <w:highlight w:val="none"/>
        </w:rPr>
        <w:t>本项目采取干法清粪工艺，</w:t>
      </w:r>
      <w:r>
        <w:rPr>
          <w:rFonts w:hint="default" w:ascii="Times New Roman" w:hAnsi="Times New Roman" w:eastAsia="宋体" w:cs="Times New Roman"/>
          <w:color w:val="auto"/>
          <w:spacing w:val="0"/>
          <w:w w:val="100"/>
          <w:kern w:val="0"/>
          <w:position w:val="0"/>
          <w:sz w:val="24"/>
          <w:szCs w:val="24"/>
          <w:highlight w:val="none"/>
          <w:lang w:val="zh-CN"/>
        </w:rPr>
        <w:t>根据</w:t>
      </w:r>
      <w:r>
        <w:rPr>
          <w:rFonts w:hint="default" w:ascii="Times New Roman" w:hAnsi="Times New Roman" w:eastAsia="宋体" w:cs="Times New Roman"/>
          <w:color w:val="auto"/>
          <w:spacing w:val="0"/>
          <w:w w:val="100"/>
          <w:kern w:val="0"/>
          <w:position w:val="0"/>
          <w:sz w:val="24"/>
          <w:highlight w:val="none"/>
          <w:lang w:val="zh-CN"/>
        </w:rPr>
        <w:t>《排污许可证申请与核发技术规范 畜禽养殖行业》</w:t>
      </w:r>
      <w:r>
        <w:rPr>
          <w:rFonts w:hint="default" w:ascii="Times New Roman" w:hAnsi="Times New Roman" w:eastAsia="宋体" w:cs="Times New Roman"/>
          <w:color w:val="auto"/>
          <w:spacing w:val="0"/>
          <w:w w:val="100"/>
          <w:kern w:val="0"/>
          <w:position w:val="0"/>
          <w:sz w:val="24"/>
          <w:szCs w:val="24"/>
          <w:highlight w:val="none"/>
          <w:lang w:val="zh-CN"/>
        </w:rPr>
        <w:t>各类污染物产生量中奶牛，牛粪（含尿液）量为</w:t>
      </w:r>
      <w:r>
        <w:rPr>
          <w:rFonts w:hint="default" w:ascii="Times New Roman" w:hAnsi="Times New Roman" w:eastAsia="宋体" w:cs="Times New Roman"/>
          <w:color w:val="auto"/>
          <w:spacing w:val="0"/>
          <w:w w:val="100"/>
          <w:kern w:val="0"/>
          <w:position w:val="0"/>
          <w:sz w:val="24"/>
          <w:szCs w:val="24"/>
          <w:highlight w:val="none"/>
        </w:rPr>
        <w:t>25.71</w:t>
      </w:r>
      <w:r>
        <w:rPr>
          <w:rFonts w:hint="default" w:ascii="Times New Roman" w:hAnsi="Times New Roman" w:eastAsia="宋体" w:cs="Times New Roman"/>
          <w:color w:val="auto"/>
          <w:spacing w:val="0"/>
          <w:w w:val="100"/>
          <w:kern w:val="0"/>
          <w:position w:val="0"/>
          <w:sz w:val="24"/>
          <w:szCs w:val="24"/>
          <w:highlight w:val="none"/>
          <w:lang w:val="zh-CN"/>
        </w:rPr>
        <w:t>kg/头·d（奶牛），本项目养殖奶牛数量</w:t>
      </w:r>
      <w:r>
        <w:rPr>
          <w:rFonts w:hint="default" w:ascii="Times New Roman" w:hAnsi="Times New Roman" w:cs="Times New Roman"/>
          <w:color w:val="auto"/>
          <w:spacing w:val="0"/>
          <w:w w:val="100"/>
          <w:kern w:val="0"/>
          <w:position w:val="0"/>
          <w:sz w:val="24"/>
          <w:szCs w:val="24"/>
          <w:highlight w:val="none"/>
          <w:lang w:val="en-US" w:eastAsia="zh-CN"/>
        </w:rPr>
        <w:t>3</w:t>
      </w:r>
      <w:r>
        <w:rPr>
          <w:rFonts w:hint="default" w:ascii="Times New Roman" w:hAnsi="Times New Roman" w:eastAsia="宋体" w:cs="Times New Roman"/>
          <w:color w:val="auto"/>
          <w:spacing w:val="0"/>
          <w:w w:val="100"/>
          <w:kern w:val="0"/>
          <w:position w:val="0"/>
          <w:sz w:val="24"/>
          <w:szCs w:val="24"/>
          <w:highlight w:val="none"/>
          <w:lang w:val="en-US" w:eastAsia="zh-CN"/>
        </w:rPr>
        <w:t>000头，产生牛粪（含尿液）量为</w:t>
      </w:r>
      <w:r>
        <w:rPr>
          <w:rFonts w:hint="default" w:ascii="Times New Roman" w:hAnsi="Times New Roman" w:cs="Times New Roman"/>
          <w:color w:val="auto"/>
          <w:spacing w:val="0"/>
          <w:w w:val="100"/>
          <w:kern w:val="0"/>
          <w:position w:val="0"/>
          <w:sz w:val="24"/>
          <w:szCs w:val="24"/>
          <w:highlight w:val="none"/>
          <w:lang w:val="en-US" w:eastAsia="zh-CN"/>
        </w:rPr>
        <w:t>46920.75</w:t>
      </w:r>
      <w:r>
        <w:rPr>
          <w:rFonts w:hint="default" w:ascii="Times New Roman" w:hAnsi="Times New Roman" w:eastAsia="宋体" w:cs="Times New Roman"/>
          <w:color w:val="auto"/>
          <w:spacing w:val="0"/>
          <w:w w:val="100"/>
          <w:kern w:val="0"/>
          <w:position w:val="0"/>
          <w:sz w:val="24"/>
          <w:szCs w:val="24"/>
          <w:highlight w:val="none"/>
          <w:lang w:val="zh-CN"/>
        </w:rPr>
        <w:t>t/a</w:t>
      </w:r>
      <w:r>
        <w:rPr>
          <w:rFonts w:hint="default" w:ascii="Times New Roman" w:hAnsi="Times New Roman" w:eastAsia="宋体" w:cs="Times New Roman"/>
          <w:color w:val="auto"/>
          <w:spacing w:val="0"/>
          <w:w w:val="100"/>
          <w:kern w:val="0"/>
          <w:position w:val="0"/>
          <w:sz w:val="24"/>
          <w:szCs w:val="22"/>
          <w:highlight w:val="none"/>
        </w:rPr>
        <w:t>。</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项目饲喂棚每天产生的粪便及时清出，清理的牛粪存放于</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w:t>
      </w:r>
      <w:r>
        <w:rPr>
          <w:rFonts w:hint="default" w:ascii="Times New Roman" w:hAnsi="Times New Roman" w:eastAsia="宋体" w:cs="Times New Roman"/>
          <w:color w:val="auto"/>
          <w:spacing w:val="0"/>
          <w:w w:val="100"/>
          <w:kern w:val="0"/>
          <w:position w:val="0"/>
          <w:sz w:val="24"/>
          <w:szCs w:val="22"/>
          <w:highlight w:val="none"/>
          <w:lang w:eastAsia="zh-CN"/>
        </w:rPr>
        <w:t>外售本地有机肥厂进行</w:t>
      </w:r>
      <w:r>
        <w:rPr>
          <w:rFonts w:hint="default" w:ascii="Times New Roman" w:hAnsi="Times New Roman" w:eastAsia="宋体" w:cs="Times New Roman"/>
          <w:color w:val="auto"/>
          <w:spacing w:val="0"/>
          <w:w w:val="100"/>
          <w:kern w:val="0"/>
          <w:position w:val="0"/>
          <w:sz w:val="24"/>
          <w:szCs w:val="22"/>
          <w:highlight w:val="none"/>
        </w:rPr>
        <w:t>有机肥生产，将其变废为宝，实现粪便无害化处置。</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GB3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②</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处理、处置方法可行性分析</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eastAsia" w:ascii="Times New Roman" w:hAnsi="Times New Roman" w:cs="Times New Roman"/>
          <w:color w:val="auto"/>
          <w:spacing w:val="0"/>
          <w:w w:val="100"/>
          <w:kern w:val="0"/>
          <w:position w:val="0"/>
          <w:sz w:val="24"/>
          <w:szCs w:val="24"/>
          <w:highlight w:val="none"/>
          <w:lang w:eastAsia="zh-CN"/>
        </w:rPr>
        <w:t>国家</w:t>
      </w:r>
      <w:r>
        <w:rPr>
          <w:rFonts w:hint="default" w:ascii="Times New Roman" w:hAnsi="Times New Roman" w:eastAsia="宋体" w:cs="Times New Roman"/>
          <w:color w:val="auto"/>
          <w:spacing w:val="0"/>
          <w:w w:val="100"/>
          <w:kern w:val="0"/>
          <w:position w:val="0"/>
          <w:sz w:val="24"/>
          <w:szCs w:val="24"/>
          <w:highlight w:val="none"/>
        </w:rPr>
        <w:t>鼓励发展专业化集中式畜禽养殖废弃物无害化处理模式，实现畜禽养殖废弃物的社会化集中处理与规模化利用。鼓励畜禽养殖废弃物的能源化利用和肥料化利用。本项目固体废物采取的措施符合相关要求。</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综上，根据现行规范、政策等相关要求，本项目的处理、处置方法均能够满足要求。</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③</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主要污染防治措施：</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应进行专业设计，</w:t>
      </w:r>
      <w:r>
        <w:rPr>
          <w:rFonts w:hint="default" w:ascii="Times New Roman" w:hAnsi="Times New Roman" w:eastAsia="宋体" w:cs="Times New Roman"/>
          <w:color w:val="auto"/>
          <w:spacing w:val="0"/>
          <w:w w:val="100"/>
          <w:kern w:val="0"/>
          <w:position w:val="0"/>
          <w:sz w:val="24"/>
          <w:szCs w:val="24"/>
          <w:highlight w:val="none"/>
          <w:lang w:eastAsia="zh-CN"/>
        </w:rPr>
        <w:t>晒</w:t>
      </w:r>
      <w:r>
        <w:rPr>
          <w:rFonts w:hint="default" w:ascii="Times New Roman" w:hAnsi="Times New Roman" w:eastAsia="宋体" w:cs="Times New Roman"/>
          <w:color w:val="auto"/>
          <w:spacing w:val="0"/>
          <w:w w:val="100"/>
          <w:kern w:val="0"/>
          <w:position w:val="0"/>
          <w:sz w:val="24"/>
          <w:szCs w:val="24"/>
          <w:highlight w:val="none"/>
        </w:rPr>
        <w:t>场地进行防渗、防冲刷等措施。</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堆肥地面做硬化处理，地面采取抗渗混凝土结构，铺设1.5mmHDPE防渗膜，渗透系数≤1.0×10</w:t>
      </w:r>
      <w:r>
        <w:rPr>
          <w:rFonts w:hint="default" w:ascii="Times New Roman" w:hAnsi="Times New Roman" w:eastAsia="宋体" w:cs="Times New Roman"/>
          <w:color w:val="auto"/>
          <w:spacing w:val="0"/>
          <w:w w:val="100"/>
          <w:kern w:val="0"/>
          <w:position w:val="0"/>
          <w:sz w:val="24"/>
          <w:szCs w:val="24"/>
          <w:highlight w:val="none"/>
          <w:vertAlign w:val="superscript"/>
        </w:rPr>
        <w:t>-7</w:t>
      </w:r>
      <w:r>
        <w:rPr>
          <w:rFonts w:hint="default" w:ascii="Times New Roman" w:hAnsi="Times New Roman" w:eastAsia="宋体" w:cs="Times New Roman"/>
          <w:color w:val="auto"/>
          <w:spacing w:val="0"/>
          <w:w w:val="100"/>
          <w:kern w:val="0"/>
          <w:position w:val="0"/>
          <w:sz w:val="24"/>
          <w:szCs w:val="24"/>
          <w:highlight w:val="none"/>
        </w:rPr>
        <w:t>cm/s。</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建设防雨彩钢顶棚，四周设置导流槽，将堆粪过程中产生的渗滤液导流至污水处理站进行处理；同时</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周围设置100cm挡雨墙及雨水导排系统，防止雨水进入</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与场区之间设隔离带和挡风墙，以减小堆肥过程中产生的恶臭气体的影响。加强对牛粪便收集储运的管理。在运输过程中，必须采取防渗、防流失措施，并对运输车辆</w:t>
      </w:r>
      <w:r>
        <w:rPr>
          <w:rFonts w:hint="default" w:ascii="Times New Roman" w:hAnsi="Times New Roman" w:eastAsia="宋体" w:cs="Times New Roman"/>
          <w:color w:val="auto"/>
          <w:spacing w:val="0"/>
          <w:w w:val="100"/>
          <w:kern w:val="0"/>
          <w:position w:val="0"/>
          <w:sz w:val="24"/>
          <w:szCs w:val="24"/>
          <w:highlight w:val="none"/>
          <w:lang w:eastAsia="zh-CN"/>
        </w:rPr>
        <w:t>加强管理。</w:t>
      </w:r>
    </w:p>
    <w:p>
      <w:pPr>
        <w:pStyle w:val="16"/>
        <w:numPr>
          <w:ilvl w:val="0"/>
          <w:numId w:val="0"/>
        </w:numPr>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bookmarkStart w:id="1035" w:name="_Toc23911"/>
      <w:r>
        <w:rPr>
          <w:rFonts w:hint="default" w:ascii="Times New Roman" w:hAnsi="Times New Roman" w:eastAsia="宋体" w:cs="Times New Roman"/>
          <w:color w:val="auto"/>
          <w:spacing w:val="0"/>
          <w:w w:val="100"/>
          <w:kern w:val="0"/>
          <w:position w:val="0"/>
          <w:sz w:val="24"/>
          <w:szCs w:val="22"/>
          <w:highlight w:val="none"/>
          <w:lang w:val="en-US" w:eastAsia="zh-CN"/>
        </w:rPr>
        <w:t>(2)</w:t>
      </w:r>
      <w:r>
        <w:rPr>
          <w:rFonts w:hint="default" w:ascii="Times New Roman" w:hAnsi="Times New Roman" w:eastAsia="宋体" w:cs="Times New Roman"/>
          <w:color w:val="auto"/>
          <w:spacing w:val="0"/>
          <w:w w:val="100"/>
          <w:kern w:val="0"/>
          <w:position w:val="0"/>
          <w:sz w:val="24"/>
          <w:szCs w:val="22"/>
          <w:highlight w:val="none"/>
        </w:rPr>
        <w:t>病死牛尸体及胎盘</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本项目根据现已运行的奶牛养殖场病死尸产生情况估算病死尸体产生情况，病死尸体产生量约</w:t>
      </w:r>
      <w:r>
        <w:rPr>
          <w:rFonts w:hint="default" w:ascii="Times New Roman" w:hAnsi="Times New Roman" w:cs="Times New Roman"/>
          <w:color w:val="auto"/>
          <w:spacing w:val="0"/>
          <w:w w:val="100"/>
          <w:kern w:val="0"/>
          <w:position w:val="0"/>
          <w:sz w:val="24"/>
          <w:szCs w:val="22"/>
          <w:highlight w:val="none"/>
          <w:lang w:val="en-US" w:eastAsia="zh-CN"/>
        </w:rPr>
        <w:t>3</w:t>
      </w:r>
      <w:r>
        <w:rPr>
          <w:rFonts w:hint="default" w:ascii="Times New Roman" w:hAnsi="Times New Roman" w:eastAsia="宋体" w:cs="Times New Roman"/>
          <w:color w:val="auto"/>
          <w:spacing w:val="0"/>
          <w:w w:val="100"/>
          <w:kern w:val="0"/>
          <w:position w:val="0"/>
          <w:sz w:val="24"/>
          <w:szCs w:val="22"/>
          <w:highlight w:val="none"/>
          <w:lang w:val="en-US" w:eastAsia="zh-CN"/>
        </w:rPr>
        <w:t>0</w:t>
      </w:r>
      <w:r>
        <w:rPr>
          <w:rFonts w:hint="default" w:ascii="Times New Roman" w:hAnsi="Times New Roman" w:eastAsia="宋体" w:cs="Times New Roman"/>
          <w:color w:val="auto"/>
          <w:spacing w:val="0"/>
          <w:w w:val="100"/>
          <w:kern w:val="0"/>
          <w:position w:val="0"/>
          <w:sz w:val="24"/>
          <w:szCs w:val="22"/>
          <w:highlight w:val="none"/>
        </w:rPr>
        <w:t>t/a，胎盘产生量为</w:t>
      </w:r>
      <w:r>
        <w:rPr>
          <w:rFonts w:hint="default" w:ascii="Times New Roman" w:hAnsi="Times New Roman" w:cs="Times New Roman"/>
          <w:color w:val="auto"/>
          <w:spacing w:val="0"/>
          <w:w w:val="100"/>
          <w:kern w:val="0"/>
          <w:position w:val="0"/>
          <w:sz w:val="24"/>
          <w:szCs w:val="22"/>
          <w:highlight w:val="none"/>
          <w:lang w:val="en-US" w:eastAsia="zh-CN"/>
        </w:rPr>
        <w:t>6.3</w:t>
      </w:r>
      <w:r>
        <w:rPr>
          <w:rFonts w:hint="default" w:ascii="Times New Roman" w:hAnsi="Times New Roman" w:eastAsia="宋体" w:cs="Times New Roman"/>
          <w:color w:val="auto"/>
          <w:spacing w:val="0"/>
          <w:w w:val="100"/>
          <w:kern w:val="0"/>
          <w:position w:val="0"/>
          <w:sz w:val="24"/>
          <w:szCs w:val="22"/>
          <w:highlight w:val="none"/>
          <w:lang w:val="en-US" w:eastAsia="zh-CN"/>
        </w:rPr>
        <w:t>t</w:t>
      </w:r>
      <w:r>
        <w:rPr>
          <w:rFonts w:hint="default" w:ascii="Times New Roman" w:hAnsi="Times New Roman" w:eastAsia="宋体" w:cs="Times New Roman"/>
          <w:color w:val="auto"/>
          <w:spacing w:val="0"/>
          <w:w w:val="100"/>
          <w:kern w:val="0"/>
          <w:position w:val="0"/>
          <w:sz w:val="24"/>
          <w:szCs w:val="22"/>
          <w:highlight w:val="none"/>
        </w:rPr>
        <w:t>/a。按照《国家危险废物名录》（</w:t>
      </w:r>
      <w:r>
        <w:rPr>
          <w:rFonts w:hint="default" w:ascii="Times New Roman" w:hAnsi="Times New Roman" w:eastAsia="宋体" w:cs="Times New Roman"/>
          <w:color w:val="auto"/>
          <w:spacing w:val="0"/>
          <w:w w:val="100"/>
          <w:kern w:val="0"/>
          <w:position w:val="0"/>
          <w:sz w:val="24"/>
          <w:szCs w:val="22"/>
          <w:highlight w:val="none"/>
          <w:lang w:val="en-US" w:eastAsia="zh-CN"/>
        </w:rPr>
        <w:t>2021版</w:t>
      </w:r>
      <w:r>
        <w:rPr>
          <w:rFonts w:hint="default" w:ascii="Times New Roman" w:hAnsi="Times New Roman" w:eastAsia="宋体" w:cs="Times New Roman"/>
          <w:color w:val="auto"/>
          <w:spacing w:val="0"/>
          <w:w w:val="100"/>
          <w:kern w:val="0"/>
          <w:position w:val="0"/>
          <w:sz w:val="24"/>
          <w:szCs w:val="22"/>
          <w:highlight w:val="none"/>
        </w:rPr>
        <w:t>），病死牛尸体属危险废物，危险废物类别为HW01医疗废物，废物代码</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-001-01（为防治动物传染病而需要收集和处置的废物）。本项目将病死牛尸体及胎盘由</w:t>
      </w:r>
      <w:r>
        <w:rPr>
          <w:rFonts w:hint="default" w:ascii="Times New Roman" w:hAnsi="Times New Roman" w:eastAsia="宋体" w:cs="Times New Roman"/>
          <w:color w:val="auto"/>
          <w:spacing w:val="0"/>
          <w:w w:val="100"/>
          <w:kern w:val="0"/>
          <w:position w:val="0"/>
          <w:sz w:val="24"/>
          <w:szCs w:val="22"/>
          <w:highlight w:val="none"/>
          <w:lang w:eastAsia="zh-CN"/>
        </w:rPr>
        <w:t>防疫部门</w:t>
      </w:r>
      <w:r>
        <w:rPr>
          <w:rFonts w:hint="default" w:ascii="Times New Roman" w:hAnsi="Times New Roman" w:eastAsia="宋体" w:cs="Times New Roman"/>
          <w:color w:val="auto"/>
          <w:spacing w:val="0"/>
          <w:w w:val="100"/>
          <w:kern w:val="0"/>
          <w:position w:val="0"/>
          <w:sz w:val="24"/>
          <w:szCs w:val="22"/>
          <w:highlight w:val="none"/>
        </w:rPr>
        <w:t>专用车辆送往无害化处置中心处置。</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(3)污水处理站污泥</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kern w:val="0"/>
          <w:position w:val="0"/>
          <w:sz w:val="24"/>
          <w:szCs w:val="22"/>
          <w:highlight w:val="none"/>
          <w:lang w:val="en-US" w:eastAsia="zh-CN" w:bidi="ar-SA"/>
        </w:rPr>
      </w:pPr>
      <w:r>
        <w:rPr>
          <w:rFonts w:hint="default" w:ascii="Times New Roman" w:hAnsi="Times New Roman" w:eastAsia="宋体" w:cs="Times New Roman"/>
          <w:color w:val="auto"/>
          <w:spacing w:val="0"/>
          <w:w w:val="100"/>
          <w:kern w:val="0"/>
          <w:position w:val="0"/>
          <w:sz w:val="24"/>
          <w:szCs w:val="22"/>
          <w:highlight w:val="none"/>
        </w:rPr>
        <w:t>污水处理站污泥的主要成分为粪渣，产生量约为</w:t>
      </w:r>
      <w:r>
        <w:rPr>
          <w:rFonts w:hint="default" w:ascii="Times New Roman" w:hAnsi="Times New Roman" w:cs="Times New Roman"/>
          <w:color w:val="auto"/>
          <w:spacing w:val="0"/>
          <w:w w:val="100"/>
          <w:kern w:val="0"/>
          <w:position w:val="0"/>
          <w:sz w:val="24"/>
          <w:szCs w:val="22"/>
          <w:highlight w:val="none"/>
          <w:lang w:val="en-US" w:eastAsia="zh-CN"/>
        </w:rPr>
        <w:t>43.46t/a</w:t>
      </w:r>
      <w:r>
        <w:rPr>
          <w:rFonts w:hint="default" w:ascii="Times New Roman" w:hAnsi="Times New Roman" w:eastAsia="宋体" w:cs="Times New Roman"/>
          <w:color w:val="auto"/>
          <w:spacing w:val="0"/>
          <w:w w:val="100"/>
          <w:kern w:val="0"/>
          <w:position w:val="0"/>
          <w:sz w:val="24"/>
          <w:szCs w:val="22"/>
          <w:highlight w:val="none"/>
        </w:rPr>
        <w:t>，定期清运，将其进行脱水处理后，运至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储存，</w:t>
      </w:r>
      <w:r>
        <w:rPr>
          <w:rFonts w:hint="default" w:ascii="Times New Roman" w:hAnsi="Times New Roman" w:eastAsia="宋体" w:cs="Times New Roman"/>
          <w:color w:val="auto"/>
          <w:spacing w:val="0"/>
          <w:w w:val="100"/>
          <w:kern w:val="0"/>
          <w:position w:val="0"/>
          <w:sz w:val="24"/>
          <w:szCs w:val="22"/>
          <w:highlight w:val="none"/>
          <w:lang w:val="en-US" w:eastAsia="zh-CN" w:bidi="ar-SA"/>
        </w:rPr>
        <w:t>与牛粪一同临时堆存后外售至本地有机肥厂进行有机肥生产</w:t>
      </w:r>
      <w:r>
        <w:rPr>
          <w:rFonts w:hint="default" w:ascii="Times New Roman" w:hAnsi="Times New Roman" w:eastAsia="宋体" w:cs="Times New Roman"/>
          <w:color w:val="auto"/>
          <w:spacing w:val="0"/>
          <w:w w:val="100"/>
          <w:kern w:val="0"/>
          <w:position w:val="0"/>
          <w:sz w:val="24"/>
          <w:szCs w:val="24"/>
          <w:highlight w:val="none"/>
          <w:lang w:eastAsia="zh-CN"/>
        </w:rPr>
        <w:t>。</w:t>
      </w:r>
    </w:p>
    <w:p>
      <w:pPr>
        <w:pStyle w:val="16"/>
        <w:adjustRightInd w:val="0"/>
        <w:spacing w:line="360" w:lineRule="auto"/>
        <w:ind w:left="420" w:left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(4)</w:t>
      </w:r>
      <w:r>
        <w:rPr>
          <w:rFonts w:hint="default" w:ascii="Times New Roman" w:hAnsi="Times New Roman" w:eastAsia="宋体" w:cs="Times New Roman"/>
          <w:color w:val="auto"/>
          <w:spacing w:val="0"/>
          <w:w w:val="100"/>
          <w:kern w:val="0"/>
          <w:position w:val="0"/>
          <w:sz w:val="24"/>
          <w:szCs w:val="22"/>
          <w:highlight w:val="none"/>
          <w:lang w:eastAsia="zh-CN"/>
        </w:rPr>
        <w:t>收尘灰</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本项目玉米秸秆、苜蓿、稻草等饲草料在加工过程会产生一定量的粉尘，本项目搅拌车和侧草机自带除尘器（除尘效率为95%），除尘器收集下来的粉尘量为</w:t>
      </w:r>
      <w:r>
        <w:rPr>
          <w:rFonts w:hint="default" w:ascii="Times New Roman" w:hAnsi="Times New Roman" w:cs="Times New Roman"/>
          <w:color w:val="auto"/>
          <w:spacing w:val="0"/>
          <w:w w:val="100"/>
          <w:kern w:val="0"/>
          <w:position w:val="0"/>
          <w:sz w:val="24"/>
          <w:szCs w:val="22"/>
          <w:highlight w:val="none"/>
          <w:lang w:val="en-US" w:eastAsia="zh-CN"/>
        </w:rPr>
        <w:t>1.085</w:t>
      </w:r>
      <w:r>
        <w:rPr>
          <w:rFonts w:hint="default" w:ascii="Times New Roman" w:hAnsi="Times New Roman" w:eastAsia="宋体" w:cs="Times New Roman"/>
          <w:color w:val="auto"/>
          <w:spacing w:val="0"/>
          <w:w w:val="100"/>
          <w:kern w:val="0"/>
          <w:position w:val="0"/>
          <w:sz w:val="24"/>
          <w:szCs w:val="22"/>
          <w:highlight w:val="none"/>
        </w:rPr>
        <w:t>t/a，可全部重新混入原料中加工成饲料，综合利用。</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(5)医疗废物</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lang w:val="en-US" w:eastAsia="zh-CN"/>
        </w:rPr>
      </w:pPr>
      <w:r>
        <w:rPr>
          <w:rFonts w:hint="default" w:ascii="Times New Roman" w:hAnsi="Times New Roman" w:eastAsia="宋体" w:cs="Times New Roman"/>
          <w:color w:val="auto"/>
          <w:spacing w:val="0"/>
          <w:w w:val="100"/>
          <w:kern w:val="0"/>
          <w:position w:val="0"/>
          <w:sz w:val="24"/>
          <w:szCs w:val="22"/>
          <w:highlight w:val="none"/>
        </w:rPr>
        <w:t>项目产生的医疗废物主要为废一次性注射器以及废弃的药品等，根据建设单位提供的资料及类比同类养殖场就诊规模，项目建成后，在防治奶牛传染病医治过程中产生的医疗废物约为</w:t>
      </w:r>
      <w:r>
        <w:rPr>
          <w:rFonts w:hint="default" w:ascii="Times New Roman" w:hAnsi="Times New Roman" w:cs="Times New Roman"/>
          <w:color w:val="auto"/>
          <w:spacing w:val="0"/>
          <w:w w:val="100"/>
          <w:kern w:val="0"/>
          <w:position w:val="0"/>
          <w:sz w:val="24"/>
          <w:szCs w:val="22"/>
          <w:highlight w:val="none"/>
          <w:lang w:val="en-US" w:eastAsia="zh-CN"/>
        </w:rPr>
        <w:t>1.67</w:t>
      </w:r>
      <w:r>
        <w:rPr>
          <w:rFonts w:hint="default" w:ascii="Times New Roman" w:hAnsi="Times New Roman" w:eastAsia="宋体" w:cs="Times New Roman"/>
          <w:color w:val="auto"/>
          <w:spacing w:val="0"/>
          <w:w w:val="100"/>
          <w:kern w:val="0"/>
          <w:position w:val="0"/>
          <w:sz w:val="24"/>
          <w:szCs w:val="22"/>
          <w:highlight w:val="none"/>
        </w:rPr>
        <w:t>t/a。这部分医疗废物属于《国家危险废物名录》（2016年8月1日实施，废物类别为HW01，废物代码为</w:t>
      </w:r>
      <w:r>
        <w:rPr>
          <w:rFonts w:hint="default" w:ascii="Times New Roman" w:hAnsi="Times New Roman" w:eastAsia="宋体" w:cs="Times New Roman"/>
          <w:color w:val="auto"/>
          <w:spacing w:val="0"/>
          <w:w w:val="100"/>
          <w:kern w:val="0"/>
          <w:position w:val="0"/>
          <w:sz w:val="24"/>
          <w:szCs w:val="22"/>
          <w:highlight w:val="none"/>
          <w:lang w:val="en-US" w:eastAsia="zh-CN"/>
        </w:rPr>
        <w:t>841</w:t>
      </w:r>
      <w:r>
        <w:rPr>
          <w:rFonts w:hint="default" w:ascii="Times New Roman" w:hAnsi="Times New Roman" w:eastAsia="宋体" w:cs="Times New Roman"/>
          <w:color w:val="auto"/>
          <w:spacing w:val="0"/>
          <w:w w:val="100"/>
          <w:kern w:val="0"/>
          <w:position w:val="0"/>
          <w:sz w:val="24"/>
          <w:szCs w:val="22"/>
          <w:highlight w:val="none"/>
        </w:rPr>
        <w:t>-001-01）所规定的危险废物。医疗废物集中收集后委托有危废处理资质的单位集中处理。</w:t>
      </w:r>
    </w:p>
    <w:p>
      <w:pPr>
        <w:pStyle w:val="16"/>
        <w:adjustRightInd w:val="0"/>
        <w:spacing w:line="360" w:lineRule="auto"/>
        <w:ind w:firstLine="482" w:firstLineChars="200"/>
        <w:rPr>
          <w:rFonts w:hint="default" w:ascii="Times New Roman" w:hAnsi="Times New Roman" w:eastAsia="宋体" w:cs="Times New Roman"/>
          <w:b/>
          <w:bCs/>
          <w:color w:val="auto"/>
          <w:spacing w:val="0"/>
          <w:w w:val="100"/>
          <w:kern w:val="0"/>
          <w:position w:val="0"/>
          <w:sz w:val="24"/>
          <w:szCs w:val="24"/>
          <w:highlight w:val="none"/>
        </w:rPr>
      </w:pPr>
      <w:r>
        <w:rPr>
          <w:rFonts w:hint="default" w:ascii="Times New Roman" w:hAnsi="Times New Roman" w:eastAsia="宋体" w:cs="Times New Roman"/>
          <w:b/>
          <w:bCs/>
          <w:color w:val="auto"/>
          <w:spacing w:val="0"/>
          <w:w w:val="100"/>
          <w:kern w:val="0"/>
          <w:position w:val="0"/>
          <w:sz w:val="24"/>
          <w:szCs w:val="24"/>
          <w:highlight w:val="none"/>
        </w:rPr>
        <w:t>医疗废物贮存场所分析</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本项目在</w:t>
      </w:r>
      <w:r>
        <w:rPr>
          <w:rFonts w:hint="default" w:ascii="Times New Roman" w:hAnsi="Times New Roman" w:eastAsia="宋体" w:cs="Times New Roman"/>
          <w:color w:val="auto"/>
          <w:spacing w:val="0"/>
          <w:w w:val="100"/>
          <w:kern w:val="0"/>
          <w:position w:val="0"/>
          <w:sz w:val="24"/>
          <w:szCs w:val="24"/>
          <w:highlight w:val="none"/>
          <w:lang w:eastAsia="zh-CN"/>
        </w:rPr>
        <w:t>场</w:t>
      </w:r>
      <w:r>
        <w:rPr>
          <w:rFonts w:hint="default" w:ascii="Times New Roman" w:hAnsi="Times New Roman" w:eastAsia="宋体" w:cs="Times New Roman"/>
          <w:color w:val="auto"/>
          <w:spacing w:val="0"/>
          <w:w w:val="100"/>
          <w:kern w:val="0"/>
          <w:position w:val="0"/>
          <w:sz w:val="24"/>
          <w:szCs w:val="24"/>
          <w:highlight w:val="none"/>
        </w:rPr>
        <w:t>区北侧兽医站旁边建设一座占地面积</w:t>
      </w:r>
      <w:r>
        <w:rPr>
          <w:rFonts w:hint="default" w:ascii="Times New Roman" w:hAnsi="Times New Roman" w:eastAsia="宋体" w:cs="Times New Roman"/>
          <w:color w:val="auto"/>
          <w:spacing w:val="0"/>
          <w:w w:val="100"/>
          <w:kern w:val="0"/>
          <w:position w:val="0"/>
          <w:sz w:val="24"/>
          <w:szCs w:val="24"/>
          <w:highlight w:val="none"/>
          <w:lang w:val="en-US" w:eastAsia="zh-CN"/>
        </w:rPr>
        <w:t>10</w:t>
      </w:r>
      <w:r>
        <w:rPr>
          <w:rFonts w:hint="default" w:ascii="Times New Roman" w:hAnsi="Times New Roman" w:eastAsia="宋体" w:cs="Times New Roman"/>
          <w:color w:val="auto"/>
          <w:spacing w:val="0"/>
          <w:w w:val="100"/>
          <w:kern w:val="0"/>
          <w:position w:val="0"/>
          <w:sz w:val="24"/>
          <w:szCs w:val="24"/>
          <w:highlight w:val="none"/>
        </w:rPr>
        <w:t>m</w:t>
      </w:r>
      <w:r>
        <w:rPr>
          <w:rFonts w:hint="default" w:ascii="Times New Roman" w:hAnsi="Times New Roman" w:eastAsia="宋体" w:cs="Times New Roman"/>
          <w:color w:val="auto"/>
          <w:spacing w:val="0"/>
          <w:w w:val="100"/>
          <w:kern w:val="0"/>
          <w:position w:val="0"/>
          <w:sz w:val="24"/>
          <w:szCs w:val="24"/>
          <w:highlight w:val="none"/>
          <w:vertAlign w:val="superscript"/>
        </w:rPr>
        <w:t>2</w:t>
      </w:r>
      <w:r>
        <w:rPr>
          <w:rFonts w:hint="default" w:ascii="Times New Roman" w:hAnsi="Times New Roman" w:eastAsia="宋体" w:cs="Times New Roman"/>
          <w:color w:val="auto"/>
          <w:spacing w:val="0"/>
          <w:w w:val="100"/>
          <w:kern w:val="0"/>
          <w:position w:val="0"/>
          <w:sz w:val="24"/>
          <w:szCs w:val="24"/>
          <w:highlight w:val="none"/>
        </w:rPr>
        <w:t>的危险废物暂存间，贮存项目</w:t>
      </w:r>
      <w:r>
        <w:rPr>
          <w:rFonts w:hint="default" w:ascii="Times New Roman" w:hAnsi="Times New Roman" w:eastAsia="宋体" w:cs="Times New Roman"/>
          <w:color w:val="auto"/>
          <w:spacing w:val="0"/>
          <w:w w:val="100"/>
          <w:kern w:val="0"/>
          <w:position w:val="0"/>
          <w:sz w:val="24"/>
          <w:szCs w:val="24"/>
          <w:highlight w:val="none"/>
          <w:lang w:eastAsia="zh-CN"/>
        </w:rPr>
        <w:t>场</w:t>
      </w:r>
      <w:r>
        <w:rPr>
          <w:rFonts w:hint="default" w:ascii="Times New Roman" w:hAnsi="Times New Roman" w:eastAsia="宋体" w:cs="Times New Roman"/>
          <w:color w:val="auto"/>
          <w:spacing w:val="0"/>
          <w:w w:val="100"/>
          <w:kern w:val="0"/>
          <w:position w:val="0"/>
          <w:sz w:val="24"/>
          <w:szCs w:val="24"/>
          <w:highlight w:val="none"/>
        </w:rPr>
        <w:t>区医疗废物。</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危险废物暂存间相关要求：</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项目建设单位拟建的医疗废物废物暂存间必须按照《危险废物贮存污染控制标准》（GB18597-2001）及2013年修改单的要求执行；危废处置过程必须按照国家《危险废物转移联单管理办法》（1999年10月1日）执行。</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该贮存间的设计、施工和管理必须进行危险废物的储存必须按照《危险废物贮存污染控制标准》（GB18597-2001）及2013年修改单的要求执行，相关要求为：</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①在常温常压下不水解、不挥发的固体危险废物可在贮存设施内分别堆放。危险废物贮存设施都必须按GB15562.2的规定设置警示标志。</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②堆放危险废物的高度应根据地面承载能力确定。应建在易燃、易爆等危险品仓库、高压输电线路防护区域以外。</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③应位于居民中心区常年最大风频的下风向。设施底部必须高于地下水最高水位。</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④门地面与裙脚要用坚固、防渗的材料建造，材料必须与危险废物相容。设施底部必须高于地下水最高水位。基础必须防渗，铺设2.0mmHDPE防渗膜，渗透系数≤1.0×10</w:t>
      </w:r>
      <w:r>
        <w:rPr>
          <w:rFonts w:hint="default" w:ascii="Times New Roman" w:hAnsi="Times New Roman" w:eastAsia="宋体" w:cs="Times New Roman"/>
          <w:color w:val="auto"/>
          <w:spacing w:val="0"/>
          <w:w w:val="100"/>
          <w:kern w:val="0"/>
          <w:position w:val="0"/>
          <w:sz w:val="24"/>
          <w:szCs w:val="24"/>
          <w:highlight w:val="none"/>
          <w:vertAlign w:val="superscript"/>
        </w:rPr>
        <w:t>-10</w:t>
      </w:r>
      <w:r>
        <w:rPr>
          <w:rFonts w:hint="default" w:ascii="Times New Roman" w:hAnsi="Times New Roman" w:eastAsia="宋体" w:cs="Times New Roman"/>
          <w:color w:val="auto"/>
          <w:spacing w:val="0"/>
          <w:w w:val="100"/>
          <w:kern w:val="0"/>
          <w:position w:val="0"/>
          <w:sz w:val="24"/>
          <w:szCs w:val="24"/>
          <w:highlight w:val="none"/>
        </w:rPr>
        <w:t>cm/s。应建造径流疏导系统，保证25a一遇的暴雨不会流到危险废物堆里。</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⑤危险废物贮存设施周围应设置围墙或其他防护栅栏。危险废物贮存设施应配备通讯设备、照明设施、安全防护服装及工具，并设有应急防护设施。</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⑥危险废物贮存设施内清理出来的废渣，一律按危险废物处理。</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⑦按国家污染源管理要求对危险废物贮存设施进行监测。</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⑧建设单位必须做好危险废物的记录，记录上须注明危险废物的名称、来源、数量、特性和包装容器的类别、入库日期、存放库位、废物出库日期及接收单位名称。且记录和货单在危险废物回收后应继续保留三年。</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⑨必须定期对所贮存的容器设施进行检查，发现破损，应及时采取措施清理更换。拟建项目在生产过程中产生的固体废物，按</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资源化、减量化、无害化</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的原则，根据其性质按类别进行回收或综合利用、</w:t>
      </w:r>
      <w:r>
        <w:rPr>
          <w:rFonts w:hint="default" w:ascii="Times New Roman" w:hAnsi="Times New Roman" w:eastAsia="宋体" w:cs="Times New Roman"/>
          <w:color w:val="auto"/>
          <w:spacing w:val="0"/>
          <w:w w:val="100"/>
          <w:kern w:val="0"/>
          <w:position w:val="0"/>
          <w:sz w:val="24"/>
          <w:szCs w:val="24"/>
          <w:highlight w:val="none"/>
          <w:lang w:eastAsia="zh-CN"/>
        </w:rPr>
        <w:t>场</w:t>
      </w:r>
      <w:r>
        <w:rPr>
          <w:rFonts w:hint="default" w:ascii="Times New Roman" w:hAnsi="Times New Roman" w:eastAsia="宋体" w:cs="Times New Roman"/>
          <w:color w:val="auto"/>
          <w:spacing w:val="0"/>
          <w:w w:val="100"/>
          <w:kern w:val="0"/>
          <w:position w:val="0"/>
          <w:sz w:val="24"/>
          <w:szCs w:val="24"/>
          <w:highlight w:val="none"/>
        </w:rPr>
        <w:t>外铺路、外委处置等，最终实现无固体废物直接排入环境的目标。</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(6)生活垃圾</w:t>
      </w:r>
    </w:p>
    <w:p>
      <w:pPr>
        <w:pStyle w:val="16"/>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本项目劳动定员</w:t>
      </w:r>
      <w:r>
        <w:rPr>
          <w:rFonts w:hint="default" w:ascii="Times New Roman" w:hAnsi="Times New Roman" w:eastAsia="宋体" w:cs="Times New Roman"/>
          <w:color w:val="auto"/>
          <w:spacing w:val="0"/>
          <w:w w:val="100"/>
          <w:kern w:val="0"/>
          <w:position w:val="0"/>
          <w:sz w:val="24"/>
          <w:szCs w:val="22"/>
          <w:highlight w:val="none"/>
          <w:lang w:val="en-US" w:eastAsia="zh-CN"/>
        </w:rPr>
        <w:t>100</w:t>
      </w:r>
      <w:r>
        <w:rPr>
          <w:rFonts w:hint="default" w:ascii="Times New Roman" w:hAnsi="Times New Roman" w:eastAsia="宋体" w:cs="Times New Roman"/>
          <w:color w:val="auto"/>
          <w:spacing w:val="0"/>
          <w:w w:val="100"/>
          <w:kern w:val="0"/>
          <w:position w:val="0"/>
          <w:sz w:val="24"/>
          <w:szCs w:val="22"/>
          <w:highlight w:val="none"/>
        </w:rPr>
        <w:t>人，人均生活垃圾产生量按照0.5kg/d计算，则生活垃圾的产生量为</w:t>
      </w:r>
      <w:r>
        <w:rPr>
          <w:rFonts w:hint="default" w:ascii="Times New Roman" w:hAnsi="Times New Roman" w:eastAsia="宋体" w:cs="Times New Roman"/>
          <w:color w:val="auto"/>
          <w:spacing w:val="0"/>
          <w:w w:val="100"/>
          <w:kern w:val="0"/>
          <w:position w:val="0"/>
          <w:sz w:val="24"/>
          <w:szCs w:val="22"/>
          <w:highlight w:val="none"/>
          <w:lang w:val="en-US" w:eastAsia="zh-CN"/>
        </w:rPr>
        <w:t>18.25</w:t>
      </w:r>
      <w:r>
        <w:rPr>
          <w:rFonts w:hint="default" w:ascii="Times New Roman" w:hAnsi="Times New Roman" w:eastAsia="宋体" w:cs="Times New Roman"/>
          <w:color w:val="auto"/>
          <w:spacing w:val="0"/>
          <w:w w:val="100"/>
          <w:kern w:val="0"/>
          <w:position w:val="0"/>
          <w:sz w:val="24"/>
          <w:szCs w:val="22"/>
          <w:highlight w:val="none"/>
        </w:rPr>
        <w:t>t/a，设垃圾收集设施，收集后送至</w:t>
      </w:r>
      <w:r>
        <w:rPr>
          <w:rFonts w:hint="default" w:ascii="Times New Roman" w:hAnsi="Times New Roman" w:eastAsia="宋体" w:cs="Times New Roman"/>
          <w:color w:val="auto"/>
          <w:spacing w:val="0"/>
          <w:w w:val="100"/>
          <w:kern w:val="0"/>
          <w:position w:val="0"/>
          <w:sz w:val="24"/>
          <w:szCs w:val="22"/>
          <w:highlight w:val="none"/>
          <w:lang w:eastAsia="zh-CN"/>
        </w:rPr>
        <w:t>附近</w:t>
      </w:r>
      <w:r>
        <w:rPr>
          <w:rFonts w:hint="default" w:ascii="Times New Roman" w:hAnsi="Times New Roman" w:eastAsia="宋体" w:cs="Times New Roman"/>
          <w:color w:val="auto"/>
          <w:spacing w:val="0"/>
          <w:w w:val="100"/>
          <w:kern w:val="0"/>
          <w:position w:val="0"/>
          <w:sz w:val="24"/>
          <w:szCs w:val="22"/>
          <w:highlight w:val="none"/>
        </w:rPr>
        <w:t>生活垃圾填埋场处理。</w:t>
      </w:r>
    </w:p>
    <w:p>
      <w:pPr>
        <w:pStyle w:val="16"/>
        <w:adjustRightInd w:val="0"/>
        <w:spacing w:line="360" w:lineRule="auto"/>
        <w:ind w:firstLine="480" w:firstLineChars="200"/>
        <w:rPr>
          <w:rFonts w:hint="default" w:ascii="Times New Roman" w:hAnsi="Times New Roman" w:eastAsia="宋体" w:cs="Times New Roman"/>
          <w:b/>
          <w:bCs/>
          <w:color w:val="auto"/>
          <w:spacing w:val="0"/>
          <w:w w:val="100"/>
          <w:kern w:val="0"/>
          <w:position w:val="0"/>
          <w:sz w:val="24"/>
          <w:szCs w:val="24"/>
          <w:highlight w:val="none"/>
        </w:rPr>
      </w:pPr>
      <w:r>
        <w:rPr>
          <w:rFonts w:hint="default" w:ascii="Times New Roman" w:hAnsi="Times New Roman" w:eastAsia="宋体" w:cs="Times New Roman"/>
          <w:b w:val="0"/>
          <w:bCs w:val="0"/>
          <w:color w:val="auto"/>
          <w:spacing w:val="0"/>
          <w:w w:val="100"/>
          <w:kern w:val="0"/>
          <w:position w:val="0"/>
          <w:sz w:val="24"/>
          <w:szCs w:val="24"/>
          <w:highlight w:val="none"/>
        </w:rPr>
        <w:t>通过以上措施后，项目产生的本项目固体废物均得到妥善处置。因此本项目固废采取的污染防治措施是可行的。</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36" w:name="_Toc1276"/>
      <w:bookmarkStart w:id="1037" w:name="_Toc22422"/>
      <w:bookmarkStart w:id="1038" w:name="_Toc3068"/>
      <w:bookmarkStart w:id="1039" w:name="_Toc18082"/>
      <w:r>
        <w:rPr>
          <w:rFonts w:hint="default" w:ascii="Times New Roman" w:hAnsi="Times New Roman" w:eastAsia="宋体" w:cs="Times New Roman"/>
          <w:snapToGrid w:val="0"/>
          <w:color w:val="auto"/>
          <w:spacing w:val="0"/>
          <w:w w:val="100"/>
          <w:kern w:val="0"/>
          <w:position w:val="0"/>
          <w:sz w:val="28"/>
          <w:szCs w:val="28"/>
          <w:highlight w:val="none"/>
          <w:lang w:val="en-US" w:eastAsia="zh-CN"/>
        </w:rPr>
        <w:t>6.2.6其他污染防治措施评述</w:t>
      </w:r>
      <w:bookmarkEnd w:id="1035"/>
      <w:bookmarkEnd w:id="1036"/>
      <w:bookmarkEnd w:id="1037"/>
      <w:bookmarkEnd w:id="1038"/>
      <w:bookmarkEnd w:id="1039"/>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饲料和饲养管理</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本项目通过合理配方，提高蛋白质及其它营养物质的吸收效率，减少了氮的排放量和粪的产生量。食物中由于添加了微生物制剂等物质，也减少了污染物的排放和恶臭气体的产生。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⑵</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发生疫情时的紧急防制措施</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①应立即组成防疫小组，尽快做出确切诊断，并在第一时间迅速向有关上级部门（区兽医卫生监督所）报告疫情。</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②迅速隔离病牛，对危害较重的传染病应及时划区封锁，建立封锁带，出入人员和车辆要严格消毒，同时严格消毒污染环境。解除封锁的条件是在最后一头病牛痊愈，或隔离后两个潜伏期内牛群再无新病例出现，经过全面大消毒，报上级主管部门批准，方可解除封锁。</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4"/>
          <w:highlight w:val="none"/>
        </w:rPr>
        <w:t>③对病牛及封锁区内的牛实行合理的</w:t>
      </w:r>
      <w:r>
        <w:rPr>
          <w:rFonts w:hint="default" w:ascii="Times New Roman" w:hAnsi="Times New Roman" w:eastAsia="宋体" w:cs="Times New Roman"/>
          <w:color w:val="auto"/>
          <w:spacing w:val="0"/>
          <w:w w:val="100"/>
          <w:kern w:val="0"/>
          <w:position w:val="0"/>
          <w:sz w:val="24"/>
          <w:highlight w:val="none"/>
        </w:rPr>
        <w:t>综合防治措施，包括疫苗的紧急接种、抗生素疗法、高免血清的特异性疗法、化学疗法、增强体质和生理机能的辅助疗法等。</w:t>
      </w:r>
    </w:p>
    <w:p>
      <w:pPr>
        <w:pStyle w:val="12"/>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highlight w:val="none"/>
        </w:rPr>
        <w:t>④病死牛尸体要严格按照《畜禽养殖业污染防治管理办法》、《畜禽养殖业污染治理工程技术规范》（HJ497-2009）和《病害动物和病害动物产品生物安全处理规程》（GB16548-2006）进行管理、处置。</w:t>
      </w:r>
    </w:p>
    <w:p>
      <w:pPr>
        <w:pStyle w:val="37"/>
        <w:keepNext/>
        <w:keepLines/>
        <w:pageBreakBefore w:val="0"/>
        <w:widowControl w:val="0"/>
        <w:kinsoku/>
        <w:wordWrap/>
        <w:overflowPunct/>
        <w:topLinePunct w:val="0"/>
        <w:autoSpaceDE/>
        <w:autoSpaceDN/>
        <w:bidi w:val="0"/>
        <w:adjustRightInd/>
        <w:snapToGrid w:val="0"/>
        <w:spacing w:before="312" w:beforeLines="100" w:after="156" w:afterLines="50"/>
        <w:contextualSpacing/>
        <w:textAlignment w:val="auto"/>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1040" w:name="_Toc32711"/>
      <w:bookmarkStart w:id="1041" w:name="_Toc6232"/>
      <w:bookmarkStart w:id="1042" w:name="_Toc9802"/>
      <w:bookmarkStart w:id="1043" w:name="_Toc22844"/>
      <w:bookmarkStart w:id="1044" w:name="_Toc8612"/>
      <w:bookmarkStart w:id="1045" w:name="_Toc6929"/>
      <w:bookmarkStart w:id="1046" w:name="_Toc28664"/>
      <w:bookmarkStart w:id="1047" w:name="_Toc7124"/>
      <w:bookmarkStart w:id="1048" w:name="_Toc19290"/>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7环境风险分析</w:t>
      </w:r>
      <w:bookmarkEnd w:id="1040"/>
      <w:bookmarkEnd w:id="1041"/>
      <w:bookmarkEnd w:id="1042"/>
      <w:bookmarkEnd w:id="1043"/>
      <w:bookmarkEnd w:id="1044"/>
      <w:bookmarkEnd w:id="1045"/>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049" w:name="_Toc1472"/>
      <w:bookmarkStart w:id="1050" w:name="_Toc9306"/>
      <w:bookmarkStart w:id="1051" w:name="_Toc32754"/>
      <w:bookmarkStart w:id="1052" w:name="_Toc9372"/>
      <w:bookmarkStart w:id="1053" w:name="_Toc2122"/>
      <w:r>
        <w:rPr>
          <w:rFonts w:hint="default" w:ascii="Times New Roman" w:hAnsi="Times New Roman" w:eastAsia="宋体" w:cs="Times New Roman"/>
          <w:snapToGrid w:val="0"/>
          <w:color w:val="auto"/>
          <w:spacing w:val="0"/>
          <w:w w:val="100"/>
          <w:kern w:val="0"/>
          <w:position w:val="0"/>
          <w:highlight w:val="none"/>
          <w:lang w:val="en-US" w:eastAsia="zh-CN"/>
        </w:rPr>
        <w:t>7.1环境风险评价依据</w:t>
      </w:r>
      <w:bookmarkEnd w:id="1049"/>
      <w:bookmarkEnd w:id="1050"/>
      <w:bookmarkEnd w:id="1051"/>
      <w:bookmarkEnd w:id="1052"/>
      <w:bookmarkEnd w:id="1053"/>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54" w:name="_Toc5303"/>
      <w:bookmarkStart w:id="1055" w:name="_Toc20004"/>
      <w:bookmarkStart w:id="1056" w:name="_Toc8765"/>
      <w:bookmarkStart w:id="1057" w:name="_Toc11934"/>
      <w:r>
        <w:rPr>
          <w:rFonts w:hint="default" w:ascii="Times New Roman" w:hAnsi="Times New Roman" w:eastAsia="宋体" w:cs="Times New Roman"/>
          <w:snapToGrid w:val="0"/>
          <w:color w:val="auto"/>
          <w:spacing w:val="0"/>
          <w:w w:val="100"/>
          <w:kern w:val="0"/>
          <w:position w:val="0"/>
          <w:sz w:val="28"/>
          <w:szCs w:val="28"/>
          <w:highlight w:val="none"/>
          <w:lang w:val="en-US" w:eastAsia="zh-CN"/>
        </w:rPr>
        <w:t>7.1.1风险调查</w:t>
      </w:r>
      <w:bookmarkEnd w:id="1054"/>
      <w:bookmarkEnd w:id="1055"/>
      <w:bookmarkEnd w:id="1056"/>
      <w:bookmarkEnd w:id="1057"/>
    </w:p>
    <w:p>
      <w:pPr>
        <w:pStyle w:val="9"/>
        <w:adjustRightInd w:val="0"/>
        <w:snapToGrid w:val="0"/>
        <w:spacing w:line="360" w:lineRule="auto"/>
        <w:ind w:firstLine="48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本项目为奶牛养殖项目，生产过程中使用的原辅材料主要有青贮、饲料、除臭剂，消毒剂等，最终产品为鲜奶、淘汰牛、</w:t>
      </w:r>
      <w:r>
        <w:rPr>
          <w:rFonts w:hint="default" w:ascii="Times New Roman" w:hAnsi="Times New Roman" w:cs="Times New Roman"/>
          <w:color w:val="auto"/>
          <w:spacing w:val="0"/>
          <w:w w:val="100"/>
          <w:kern w:val="0"/>
          <w:position w:val="0"/>
          <w:sz w:val="24"/>
          <w:highlight w:val="none"/>
          <w:lang w:eastAsia="zh-CN"/>
        </w:rPr>
        <w:t>犊牛</w:t>
      </w:r>
      <w:r>
        <w:rPr>
          <w:rFonts w:hint="default" w:ascii="Times New Roman" w:hAnsi="Times New Roman" w:eastAsia="宋体" w:cs="Times New Roman"/>
          <w:color w:val="auto"/>
          <w:spacing w:val="0"/>
          <w:w w:val="100"/>
          <w:kern w:val="0"/>
          <w:position w:val="0"/>
          <w:sz w:val="24"/>
          <w:highlight w:val="none"/>
        </w:rPr>
        <w:t>等。根据本项目特点，在运营过程中发生可能造成环境风险的因素主要有以下三方面：</w:t>
      </w:r>
    </w:p>
    <w:p>
      <w:pPr>
        <w:pStyle w:val="9"/>
        <w:adjustRightInd w:val="0"/>
        <w:snapToGrid w:val="0"/>
        <w:spacing w:line="360" w:lineRule="auto"/>
        <w:ind w:firstLine="48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养殖过程中，产生的粪污如果处理不当，渗入地下，对区域地下水环境造成污染隐患，具有一定的环境风险。</w:t>
      </w:r>
    </w:p>
    <w:p>
      <w:pPr>
        <w:pStyle w:val="9"/>
        <w:adjustRightInd w:val="0"/>
        <w:snapToGrid w:val="0"/>
        <w:spacing w:line="360" w:lineRule="auto"/>
        <w:ind w:firstLine="48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养殖场发生疫情，养殖场如果管理不善，会诱发传染性疾病，如口蹄疫、炭疽等，且传播很快，若不及时、合理地处理，将会疫情蔓延，感染牛群及人类，危害人体健康。</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58" w:name="_Toc4815"/>
      <w:bookmarkStart w:id="1059" w:name="_Toc15969"/>
      <w:r>
        <w:rPr>
          <w:rFonts w:hint="default" w:ascii="Times New Roman" w:hAnsi="Times New Roman" w:eastAsia="宋体" w:cs="Times New Roman"/>
          <w:snapToGrid w:val="0"/>
          <w:color w:val="auto"/>
          <w:spacing w:val="0"/>
          <w:w w:val="100"/>
          <w:kern w:val="0"/>
          <w:position w:val="0"/>
          <w:sz w:val="28"/>
          <w:szCs w:val="28"/>
          <w:highlight w:val="none"/>
          <w:lang w:val="en-US" w:eastAsia="zh-CN"/>
        </w:rPr>
        <w:t>7.1.2环境风险潜势初判</w:t>
      </w:r>
      <w:bookmarkEnd w:id="1058"/>
      <w:bookmarkEnd w:id="1059"/>
    </w:p>
    <w:p>
      <w:pPr>
        <w:widowControl w:val="0"/>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危险物质及工艺系统危险性（P）的分级，由危险物质数量与临界量比值（Q），与行业及生产工艺（M）确定。</w:t>
      </w:r>
    </w:p>
    <w:p>
      <w:pPr>
        <w:widowControl w:val="0"/>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snapToGrid w:val="0"/>
          <w:color w:val="auto"/>
          <w:spacing w:val="0"/>
          <w:w w:val="100"/>
          <w:kern w:val="0"/>
          <w:position w:val="0"/>
          <w:sz w:val="24"/>
          <w:highlight w:val="none"/>
        </w:rPr>
        <w:t>危险物质数量与临界量比值（Q）</w:t>
      </w:r>
    </w:p>
    <w:p>
      <w:pPr>
        <w:widowControl w:val="0"/>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Q为项目所涉及的每种危险物质在厂界内的最大存在总量与其在附录B中对应临界量的比值。当存在多种危险物质时，按照下式进行计算：</w:t>
      </w:r>
    </w:p>
    <w:p>
      <w:pPr>
        <w:keepNext w:val="0"/>
        <w:keepLines w:val="0"/>
        <w:pageBreakBefore w:val="0"/>
        <w:widowControl w:val="0"/>
        <w:tabs>
          <w:tab w:val="left" w:pos="3320"/>
        </w:tabs>
        <w:kinsoku/>
        <w:wordWrap/>
        <w:overflowPunct w:val="0"/>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snapToGrid w:val="0"/>
          <w:color w:val="auto"/>
          <w:spacing w:val="0"/>
          <w:w w:val="100"/>
          <w:kern w:val="0"/>
          <w:position w:val="0"/>
          <w:sz w:val="24"/>
          <w:highlight w:val="none"/>
        </w:rPr>
      </w:pPr>
      <w:bookmarkStart w:id="1060" w:name="_Toc19224"/>
      <w:bookmarkStart w:id="1061" w:name="_Toc7155"/>
      <w:r>
        <w:rPr>
          <w:rFonts w:hint="default" w:ascii="Times New Roman" w:hAnsi="Times New Roman" w:eastAsia="宋体" w:cs="Times New Roman"/>
          <w:snapToGrid w:val="0"/>
          <w:color w:val="auto"/>
          <w:spacing w:val="0"/>
          <w:w w:val="100"/>
          <w:kern w:val="0"/>
          <w:position w:val="0"/>
          <w:sz w:val="24"/>
          <w:highlight w:val="none"/>
        </w:rPr>
        <w:t>Q=q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bookmarkEnd w:id="1060"/>
      <w:bookmarkEnd w:id="1061"/>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式中：q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2</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——每种危险物质的最大存在量，t；</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1</w:t>
      </w:r>
      <w:r>
        <w:rPr>
          <w:rFonts w:hint="default" w:ascii="Times New Roman" w:hAnsi="Times New Roman" w:eastAsia="宋体" w:cs="Times New Roman"/>
          <w:snapToGrid w:val="0"/>
          <w:color w:val="auto"/>
          <w:spacing w:val="0"/>
          <w:w w:val="100"/>
          <w:kern w:val="0"/>
          <w:position w:val="0"/>
          <w:sz w:val="24"/>
          <w:highlight w:val="none"/>
        </w:rPr>
        <w:t>，…，Q</w:t>
      </w:r>
      <w:r>
        <w:rPr>
          <w:rFonts w:hint="default" w:ascii="Times New Roman" w:hAnsi="Times New Roman" w:eastAsia="宋体" w:cs="Times New Roman"/>
          <w:snapToGrid w:val="0"/>
          <w:color w:val="auto"/>
          <w:spacing w:val="0"/>
          <w:w w:val="100"/>
          <w:kern w:val="0"/>
          <w:position w:val="0"/>
          <w:sz w:val="24"/>
          <w:highlight w:val="none"/>
          <w:vertAlign w:val="subscript"/>
        </w:rPr>
        <w:t>n</w:t>
      </w:r>
      <w:r>
        <w:rPr>
          <w:rFonts w:hint="default" w:ascii="Times New Roman" w:hAnsi="Times New Roman" w:eastAsia="宋体" w:cs="Times New Roman"/>
          <w:snapToGrid w:val="0"/>
          <w:color w:val="auto"/>
          <w:spacing w:val="0"/>
          <w:w w:val="100"/>
          <w:kern w:val="0"/>
          <w:position w:val="0"/>
          <w:sz w:val="24"/>
          <w:highlight w:val="none"/>
        </w:rPr>
        <w:t>——每种危险物质的临界量，t。</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当Q＜1时，该项目环境风险潜势为Ⅰ。</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 xml:space="preserve">      当Q≥1时，将Q值划分为：</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①1≤Q＜10；</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②10≤Q＜100；</w:t>
      </w:r>
    </w:p>
    <w:p>
      <w:pPr>
        <w:tabs>
          <w:tab w:val="left" w:pos="3320"/>
        </w:tabs>
        <w:overflowPunct w:val="0"/>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③Q≥100；</w:t>
      </w:r>
    </w:p>
    <w:p>
      <w:pPr>
        <w:pStyle w:val="9"/>
        <w:widowControl w:val="0"/>
        <w:snapToGrid w:val="0"/>
        <w:spacing w:line="360" w:lineRule="auto"/>
        <w:ind w:firstLine="48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本项目为</w:t>
      </w:r>
      <w:r>
        <w:rPr>
          <w:rFonts w:hint="default" w:ascii="Times New Roman" w:hAnsi="Times New Roman" w:eastAsia="宋体" w:cs="Times New Roman"/>
          <w:color w:val="auto"/>
          <w:spacing w:val="0"/>
          <w:w w:val="100"/>
          <w:kern w:val="0"/>
          <w:position w:val="0"/>
          <w:sz w:val="24"/>
          <w:highlight w:val="none"/>
          <w:lang w:eastAsia="zh-CN"/>
        </w:rPr>
        <w:t>奶</w:t>
      </w:r>
      <w:r>
        <w:rPr>
          <w:rFonts w:hint="default" w:ascii="Times New Roman" w:hAnsi="Times New Roman" w:eastAsia="宋体" w:cs="Times New Roman"/>
          <w:color w:val="auto"/>
          <w:spacing w:val="0"/>
          <w:w w:val="100"/>
          <w:kern w:val="0"/>
          <w:position w:val="0"/>
          <w:sz w:val="24"/>
          <w:highlight w:val="none"/>
        </w:rPr>
        <w:t>牛养殖建设项目，不涉及有毒有害和易燃易爆物质，不存在《建设项目环境风险评价技术导则》（HJ169-2018）附录B中重点关注的危险物质。本项目Q＜1，环境风险潜势为Ⅰ。综上分析，本项目Q＜1，环境风险潜势为Ⅰ。</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62" w:name="_Toc27613"/>
      <w:bookmarkStart w:id="1063" w:name="_Toc27180"/>
      <w:r>
        <w:rPr>
          <w:rFonts w:hint="default" w:ascii="Times New Roman" w:hAnsi="Times New Roman" w:eastAsia="宋体" w:cs="Times New Roman"/>
          <w:snapToGrid w:val="0"/>
          <w:color w:val="auto"/>
          <w:spacing w:val="0"/>
          <w:w w:val="100"/>
          <w:kern w:val="0"/>
          <w:position w:val="0"/>
          <w:sz w:val="28"/>
          <w:szCs w:val="28"/>
          <w:highlight w:val="none"/>
          <w:lang w:val="en-US" w:eastAsia="zh-CN"/>
        </w:rPr>
        <w:t>7.1.3评价工作等级</w:t>
      </w:r>
      <w:bookmarkEnd w:id="1062"/>
      <w:bookmarkEnd w:id="1063"/>
    </w:p>
    <w:p>
      <w:pPr>
        <w:adjustRightInd w:val="0"/>
        <w:snapToGrid w:val="0"/>
        <w:spacing w:line="360" w:lineRule="auto"/>
        <w:ind w:firstLine="480" w:firstLineChars="200"/>
        <w:rPr>
          <w:rFonts w:hint="default" w:ascii="Times New Roman" w:hAnsi="Times New Roman" w:eastAsia="宋体" w:cs="Times New Roman"/>
          <w:snapToGrid w:val="0"/>
          <w:color w:val="auto"/>
          <w:spacing w:val="0"/>
          <w:w w:val="100"/>
          <w:kern w:val="0"/>
          <w:position w:val="0"/>
          <w:sz w:val="24"/>
          <w:highlight w:val="none"/>
        </w:rPr>
      </w:pPr>
      <w:r>
        <w:rPr>
          <w:rFonts w:hint="default" w:ascii="Times New Roman" w:hAnsi="Times New Roman" w:eastAsia="宋体" w:cs="Times New Roman"/>
          <w:snapToGrid w:val="0"/>
          <w:color w:val="auto"/>
          <w:spacing w:val="0"/>
          <w:w w:val="100"/>
          <w:kern w:val="0"/>
          <w:position w:val="0"/>
          <w:sz w:val="24"/>
          <w:highlight w:val="none"/>
        </w:rPr>
        <w:t>项目环境风险潜势为I，按照下表确定评价工作等级。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表7.1-1 </w:t>
      </w:r>
      <w:r>
        <w:rPr>
          <w:rFonts w:hint="default" w:ascii="Times New Roman" w:hAnsi="Times New Roman" w:eastAsia="宋体" w:cs="Times New Roman"/>
          <w:b/>
          <w:bCs/>
          <w:color w:val="auto"/>
          <w:spacing w:val="0"/>
          <w:w w:val="100"/>
          <w:kern w:val="0"/>
          <w:position w:val="0"/>
          <w:sz w:val="24"/>
          <w:szCs w:val="24"/>
          <w:highlight w:val="none"/>
        </w:rPr>
        <w:t xml:space="preserve"> </w:t>
      </w:r>
      <w:r>
        <w:rPr>
          <w:rFonts w:hint="eastAsia" w:ascii="Times New Roman" w:hAnsi="Times New Roman" w:eastAsia="宋体" w:cs="Times New Roman"/>
          <w:b/>
          <w:bCs/>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b/>
          <w:bCs/>
          <w:color w:val="auto"/>
          <w:spacing w:val="0"/>
          <w:w w:val="100"/>
          <w:kern w:val="0"/>
          <w:position w:val="0"/>
          <w:sz w:val="24"/>
          <w:szCs w:val="24"/>
          <w:highlight w:val="none"/>
        </w:rPr>
        <w:t>评价工作等级划分表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4"/>
        <w:gridCol w:w="1742"/>
        <w:gridCol w:w="1741"/>
        <w:gridCol w:w="1539"/>
        <w:gridCol w:w="15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54"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风险潜势</w:t>
            </w:r>
          </w:p>
        </w:tc>
        <w:tc>
          <w:tcPr>
            <w:tcW w:w="1742"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Ⅳ、Ⅳ</w:t>
            </w:r>
            <w:r>
              <w:rPr>
                <w:rFonts w:hint="default" w:ascii="Times New Roman" w:hAnsi="Times New Roman" w:eastAsia="宋体" w:cs="Times New Roman"/>
                <w:b/>
                <w:color w:val="auto"/>
                <w:spacing w:val="0"/>
                <w:w w:val="100"/>
                <w:kern w:val="0"/>
                <w:position w:val="0"/>
                <w:sz w:val="21"/>
                <w:szCs w:val="21"/>
                <w:highlight w:val="none"/>
                <w:vertAlign w:val="superscript"/>
              </w:rPr>
              <w:t>+</w:t>
            </w:r>
          </w:p>
        </w:tc>
        <w:tc>
          <w:tcPr>
            <w:tcW w:w="1741"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Ⅲ</w:t>
            </w:r>
          </w:p>
        </w:tc>
        <w:tc>
          <w:tcPr>
            <w:tcW w:w="1539"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Ⅱ</w:t>
            </w:r>
          </w:p>
        </w:tc>
        <w:tc>
          <w:tcPr>
            <w:tcW w:w="1555"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54"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评价工作等级</w:t>
            </w:r>
          </w:p>
        </w:tc>
        <w:tc>
          <w:tcPr>
            <w:tcW w:w="1742"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一</w:t>
            </w:r>
          </w:p>
        </w:tc>
        <w:tc>
          <w:tcPr>
            <w:tcW w:w="1741"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二</w:t>
            </w:r>
          </w:p>
        </w:tc>
        <w:tc>
          <w:tcPr>
            <w:tcW w:w="1539"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三</w:t>
            </w:r>
          </w:p>
        </w:tc>
        <w:tc>
          <w:tcPr>
            <w:tcW w:w="1555"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54" w:type="dxa"/>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本项目</w:t>
            </w:r>
          </w:p>
        </w:tc>
        <w:tc>
          <w:tcPr>
            <w:tcW w:w="6577" w:type="dxa"/>
            <w:gridSpan w:val="4"/>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简单分析</w:t>
            </w:r>
          </w:p>
        </w:tc>
      </w:tr>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064" w:name="_Toc31194"/>
      <w:bookmarkStart w:id="1065" w:name="_Toc17239"/>
      <w:bookmarkStart w:id="1066" w:name="_Toc18316"/>
      <w:bookmarkStart w:id="1067" w:name="_Toc1272"/>
      <w:bookmarkStart w:id="1068" w:name="_Toc6133"/>
      <w:r>
        <w:rPr>
          <w:rFonts w:hint="default" w:ascii="Times New Roman" w:hAnsi="Times New Roman" w:eastAsia="宋体" w:cs="Times New Roman"/>
          <w:snapToGrid w:val="0"/>
          <w:color w:val="auto"/>
          <w:spacing w:val="0"/>
          <w:w w:val="100"/>
          <w:kern w:val="0"/>
          <w:position w:val="0"/>
          <w:highlight w:val="none"/>
          <w:lang w:val="en-US" w:eastAsia="zh-CN"/>
        </w:rPr>
        <w:t>7.2环境敏感目标调查</w:t>
      </w:r>
      <w:bookmarkEnd w:id="1064"/>
      <w:bookmarkEnd w:id="1065"/>
      <w:bookmarkEnd w:id="1066"/>
      <w:bookmarkEnd w:id="1067"/>
    </w:p>
    <w:p>
      <w:pPr>
        <w:pStyle w:val="16"/>
        <w:adjustRightInd w:val="0"/>
        <w:spacing w:line="360" w:lineRule="auto"/>
        <w:ind w:firstLine="480" w:firstLineChars="200"/>
        <w:jc w:val="both"/>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rPr>
        <w:t>本项目位于</w:t>
      </w:r>
      <w:r>
        <w:rPr>
          <w:rFonts w:hint="default" w:ascii="Times New Roman" w:hAnsi="Times New Roman" w:eastAsia="宋体" w:cs="Times New Roman"/>
          <w:b w:val="0"/>
          <w:bCs w:val="0"/>
          <w:color w:val="auto"/>
          <w:spacing w:val="0"/>
          <w:w w:val="100"/>
          <w:kern w:val="0"/>
          <w:position w:val="0"/>
          <w:sz w:val="24"/>
          <w:szCs w:val="24"/>
          <w:lang w:val="en-US" w:eastAsia="zh-CN"/>
        </w:rPr>
        <w:t>同心县下马关镇上垣村</w:t>
      </w:r>
      <w:r>
        <w:rPr>
          <w:rFonts w:hint="default" w:ascii="Times New Roman" w:hAnsi="Times New Roman" w:eastAsia="宋体" w:cs="Times New Roman"/>
          <w:snapToGrid w:val="0"/>
          <w:color w:val="auto"/>
          <w:spacing w:val="0"/>
          <w:w w:val="100"/>
          <w:kern w:val="0"/>
          <w:position w:val="0"/>
          <w:sz w:val="24"/>
          <w:szCs w:val="24"/>
          <w:highlight w:val="none"/>
        </w:rPr>
        <w:t>，结合前文确定的各环境要素评价范围及现场踏勘情况，</w:t>
      </w:r>
      <w:r>
        <w:rPr>
          <w:rFonts w:hint="default" w:ascii="Times New Roman" w:hAnsi="Times New Roman" w:eastAsia="宋体" w:cs="Times New Roman"/>
          <w:snapToGrid w:val="0"/>
          <w:color w:val="auto"/>
          <w:spacing w:val="0"/>
          <w:w w:val="100"/>
          <w:kern w:val="0"/>
          <w:position w:val="0"/>
          <w:sz w:val="24"/>
          <w:highlight w:val="none"/>
        </w:rPr>
        <w:t>本次评价</w:t>
      </w:r>
      <w:r>
        <w:rPr>
          <w:rFonts w:hint="default" w:ascii="Times New Roman" w:hAnsi="Times New Roman" w:eastAsia="宋体" w:cs="Times New Roman"/>
          <w:snapToGrid w:val="0"/>
          <w:color w:val="auto"/>
          <w:spacing w:val="0"/>
          <w:w w:val="100"/>
          <w:kern w:val="0"/>
          <w:position w:val="0"/>
          <w:sz w:val="24"/>
          <w:highlight w:val="none"/>
          <w:lang w:eastAsia="zh-CN"/>
        </w:rPr>
        <w:t>不</w:t>
      </w:r>
      <w:r>
        <w:rPr>
          <w:rFonts w:hint="default" w:ascii="Times New Roman" w:hAnsi="Times New Roman" w:eastAsia="宋体" w:cs="Times New Roman"/>
          <w:snapToGrid w:val="0"/>
          <w:color w:val="auto"/>
          <w:spacing w:val="0"/>
          <w:w w:val="100"/>
          <w:kern w:val="0"/>
          <w:position w:val="0"/>
          <w:sz w:val="24"/>
          <w:highlight w:val="none"/>
        </w:rPr>
        <w:t>涉及</w:t>
      </w:r>
      <w:r>
        <w:rPr>
          <w:rFonts w:hint="default" w:ascii="Times New Roman" w:hAnsi="Times New Roman" w:eastAsia="宋体" w:cs="Times New Roman"/>
          <w:snapToGrid w:val="0"/>
          <w:color w:val="auto"/>
          <w:spacing w:val="0"/>
          <w:w w:val="100"/>
          <w:kern w:val="0"/>
          <w:position w:val="0"/>
          <w:sz w:val="24"/>
          <w:highlight w:val="none"/>
          <w:lang w:eastAsia="zh-CN"/>
        </w:rPr>
        <w:t>环境风险</w:t>
      </w:r>
      <w:r>
        <w:rPr>
          <w:rFonts w:hint="default" w:ascii="Times New Roman" w:hAnsi="Times New Roman" w:eastAsia="宋体" w:cs="Times New Roman"/>
          <w:snapToGrid w:val="0"/>
          <w:color w:val="auto"/>
          <w:spacing w:val="0"/>
          <w:w w:val="100"/>
          <w:kern w:val="0"/>
          <w:position w:val="0"/>
          <w:sz w:val="24"/>
          <w:highlight w:val="none"/>
        </w:rPr>
        <w:t>敏感目标</w:t>
      </w:r>
      <w:r>
        <w:rPr>
          <w:rFonts w:hint="default" w:ascii="Times New Roman" w:hAnsi="Times New Roman" w:eastAsia="宋体" w:cs="Times New Roman"/>
          <w:snapToGrid w:val="0"/>
          <w:color w:val="auto"/>
          <w:spacing w:val="0"/>
          <w:w w:val="100"/>
          <w:kern w:val="0"/>
          <w:position w:val="0"/>
          <w:sz w:val="24"/>
          <w:szCs w:val="24"/>
          <w:highlight w:val="none"/>
        </w:rPr>
        <w:t>。</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069" w:name="_Toc3037"/>
      <w:bookmarkStart w:id="1070" w:name="_Toc10770"/>
      <w:bookmarkStart w:id="1071" w:name="_Toc13751"/>
      <w:bookmarkStart w:id="1072" w:name="_Toc10161"/>
      <w:r>
        <w:rPr>
          <w:rFonts w:hint="default" w:ascii="Times New Roman" w:hAnsi="Times New Roman" w:eastAsia="宋体" w:cs="Times New Roman"/>
          <w:snapToGrid w:val="0"/>
          <w:color w:val="auto"/>
          <w:spacing w:val="0"/>
          <w:w w:val="100"/>
          <w:kern w:val="0"/>
          <w:position w:val="0"/>
          <w:highlight w:val="none"/>
          <w:lang w:val="en-US" w:eastAsia="zh-CN"/>
        </w:rPr>
        <w:t>7.3环境风险识别</w:t>
      </w:r>
      <w:bookmarkEnd w:id="1068"/>
      <w:bookmarkEnd w:id="1069"/>
      <w:bookmarkEnd w:id="1070"/>
      <w:bookmarkEnd w:id="1071"/>
      <w:bookmarkEnd w:id="1072"/>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73" w:name="_Toc7901"/>
      <w:bookmarkStart w:id="1074" w:name="_Toc29715"/>
      <w:r>
        <w:rPr>
          <w:rFonts w:hint="default" w:ascii="Times New Roman" w:hAnsi="Times New Roman" w:eastAsia="宋体" w:cs="Times New Roman"/>
          <w:snapToGrid w:val="0"/>
          <w:color w:val="auto"/>
          <w:spacing w:val="0"/>
          <w:w w:val="100"/>
          <w:kern w:val="0"/>
          <w:position w:val="0"/>
          <w:sz w:val="28"/>
          <w:szCs w:val="28"/>
          <w:highlight w:val="none"/>
          <w:lang w:val="en-US" w:eastAsia="zh-CN"/>
        </w:rPr>
        <w:t>7.3.1物质风险识别</w:t>
      </w:r>
      <w:bookmarkEnd w:id="1073"/>
      <w:bookmarkEnd w:id="1074"/>
    </w:p>
    <w:p>
      <w:pPr>
        <w:pStyle w:val="58"/>
        <w:adjustRightInd w:val="0"/>
        <w:snapToGrid w:val="0"/>
        <w:spacing w:line="360" w:lineRule="auto"/>
        <w:ind w:firstLine="480"/>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highlight w:val="none"/>
          <w:lang w:val="zh-CN"/>
        </w:rPr>
        <w:t>物质风险识别范围：主要原材料及辅助材料、燃料、中间产品、最终产品以及生产过程排放的“三废”污染物等。本项目生产过程中不涉及风险物质。</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075" w:name="_Toc1656"/>
      <w:bookmarkStart w:id="1076" w:name="_Toc14287"/>
      <w:r>
        <w:rPr>
          <w:rFonts w:hint="default" w:ascii="Times New Roman" w:hAnsi="Times New Roman" w:eastAsia="宋体" w:cs="Times New Roman"/>
          <w:snapToGrid w:val="0"/>
          <w:color w:val="auto"/>
          <w:spacing w:val="0"/>
          <w:w w:val="100"/>
          <w:kern w:val="0"/>
          <w:position w:val="0"/>
          <w:sz w:val="28"/>
          <w:szCs w:val="28"/>
          <w:highlight w:val="none"/>
          <w:lang w:val="en-US" w:eastAsia="zh-CN"/>
        </w:rPr>
        <w:t>7.3.2生产过程潜在危险性识别</w:t>
      </w:r>
      <w:bookmarkEnd w:id="1075"/>
      <w:bookmarkEnd w:id="1076"/>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根据本项目特点，在运营过程中发生可能造成环境风险的因素主要有以下方面：</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生产系统风险分析</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bookmarkStart w:id="1077" w:name="_Toc29888"/>
      <w:bookmarkStart w:id="1078" w:name="_Toc31264"/>
      <w:bookmarkStart w:id="1079" w:name="_Toc13260"/>
      <w:bookmarkStart w:id="1080" w:name="_Toc4640"/>
      <w:bookmarkStart w:id="1081" w:name="_Toc495219692"/>
      <w:r>
        <w:rPr>
          <w:rFonts w:hint="default" w:ascii="Times New Roman" w:hAnsi="Times New Roman" w:eastAsia="宋体" w:cs="Times New Roman"/>
          <w:color w:val="auto"/>
          <w:spacing w:val="0"/>
          <w:w w:val="100"/>
          <w:kern w:val="0"/>
          <w:position w:val="0"/>
          <w:sz w:val="24"/>
          <w:highlight w:val="none"/>
        </w:rPr>
        <w:t>项目</w:t>
      </w:r>
      <w:r>
        <w:rPr>
          <w:rFonts w:hint="default" w:ascii="Times New Roman" w:hAnsi="Times New Roman" w:eastAsia="宋体" w:cs="Times New Roman"/>
          <w:color w:val="auto"/>
          <w:spacing w:val="0"/>
          <w:w w:val="100"/>
          <w:kern w:val="0"/>
          <w:position w:val="0"/>
          <w:sz w:val="24"/>
          <w:highlight w:val="none"/>
          <w:lang w:eastAsia="zh-CN"/>
        </w:rPr>
        <w:t>草料棚</w:t>
      </w:r>
      <w:r>
        <w:rPr>
          <w:rFonts w:hint="default" w:ascii="Times New Roman" w:hAnsi="Times New Roman" w:eastAsia="宋体" w:cs="Times New Roman"/>
          <w:color w:val="auto"/>
          <w:spacing w:val="0"/>
          <w:w w:val="100"/>
          <w:kern w:val="0"/>
          <w:position w:val="0"/>
          <w:sz w:val="24"/>
          <w:highlight w:val="none"/>
        </w:rPr>
        <w:t>引起火灾、爆炸，造成厂区及其周边的人员伤亡；对环境空气造成污染以及CO扩散造成人员中毒，具有一定的环境风险。</w:t>
      </w:r>
    </w:p>
    <w:p>
      <w:pPr>
        <w:pStyle w:val="32"/>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fldChar w:fldCharType="begin"/>
      </w:r>
      <w:r>
        <w:rPr>
          <w:rFonts w:hint="default" w:ascii="Times New Roman" w:hAnsi="Times New Roman" w:eastAsia="宋体" w:cs="Times New Roman"/>
          <w:color w:val="auto"/>
          <w:spacing w:val="0"/>
          <w:w w:val="100"/>
          <w:kern w:val="0"/>
          <w:position w:val="0"/>
          <w:highlight w:val="none"/>
        </w:rPr>
        <w:instrText xml:space="preserve"> = 2 \* GB2 \* MERGEFORMAT </w:instrText>
      </w:r>
      <w:r>
        <w:rPr>
          <w:rFonts w:hint="default" w:ascii="Times New Roman" w:hAnsi="Times New Roman" w:eastAsia="宋体" w:cs="Times New Roman"/>
          <w:color w:val="auto"/>
          <w:spacing w:val="0"/>
          <w:w w:val="100"/>
          <w:kern w:val="0"/>
          <w:position w:val="0"/>
          <w:highlight w:val="none"/>
        </w:rPr>
        <w:fldChar w:fldCharType="separate"/>
      </w:r>
      <w:r>
        <w:rPr>
          <w:rFonts w:hint="default" w:ascii="Times New Roman" w:hAnsi="Times New Roman" w:eastAsia="宋体" w:cs="Times New Roman"/>
          <w:color w:val="auto"/>
          <w:spacing w:val="0"/>
          <w:w w:val="100"/>
          <w:kern w:val="0"/>
          <w:position w:val="0"/>
          <w:highlight w:val="none"/>
        </w:rPr>
        <w:t>⑵</w:t>
      </w:r>
      <w:r>
        <w:rPr>
          <w:rFonts w:hint="default" w:ascii="Times New Roman" w:hAnsi="Times New Roman" w:eastAsia="宋体" w:cs="Times New Roman"/>
          <w:color w:val="auto"/>
          <w:spacing w:val="0"/>
          <w:w w:val="100"/>
          <w:kern w:val="0"/>
          <w:position w:val="0"/>
          <w:highlight w:val="none"/>
        </w:rPr>
        <w:fldChar w:fldCharType="end"/>
      </w:r>
      <w:r>
        <w:rPr>
          <w:rFonts w:hint="default" w:ascii="Times New Roman" w:hAnsi="Times New Roman" w:eastAsia="宋体" w:cs="Times New Roman"/>
          <w:color w:val="auto"/>
          <w:spacing w:val="0"/>
          <w:w w:val="100"/>
          <w:kern w:val="0"/>
          <w:position w:val="0"/>
          <w:highlight w:val="none"/>
        </w:rPr>
        <w:t>环保工程风险分析</w:t>
      </w:r>
    </w:p>
    <w:p>
      <w:pPr>
        <w:pStyle w:val="32"/>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项目各类池体、粪污收集管道防渗设施发生故障，废水渗入地下污染地下水、土壤。</w:t>
      </w:r>
    </w:p>
    <w:bookmarkEnd w:id="1077"/>
    <w:bookmarkEnd w:id="1078"/>
    <w:bookmarkEnd w:id="1079"/>
    <w:bookmarkEnd w:id="1080"/>
    <w:bookmarkEnd w:id="1081"/>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082" w:name="_Toc495219693"/>
      <w:bookmarkStart w:id="1083" w:name="_Toc17306"/>
      <w:bookmarkStart w:id="1084" w:name="_Toc14500"/>
      <w:bookmarkStart w:id="1085" w:name="_Toc31983"/>
      <w:bookmarkStart w:id="1086" w:name="_Toc25059"/>
      <w:bookmarkStart w:id="1087" w:name="_Toc31454"/>
      <w:bookmarkStart w:id="1088" w:name="_Toc27220"/>
      <w:bookmarkStart w:id="1089" w:name="_Toc24795"/>
      <w:bookmarkStart w:id="1090" w:name="_Toc6382"/>
      <w:bookmarkStart w:id="1091" w:name="_Toc21879"/>
      <w:r>
        <w:rPr>
          <w:rFonts w:hint="default" w:ascii="Times New Roman" w:hAnsi="Times New Roman" w:eastAsia="宋体" w:cs="Times New Roman"/>
          <w:snapToGrid w:val="0"/>
          <w:color w:val="auto"/>
          <w:spacing w:val="0"/>
          <w:w w:val="100"/>
          <w:kern w:val="0"/>
          <w:position w:val="0"/>
          <w:highlight w:val="none"/>
          <w:lang w:val="en-US" w:eastAsia="zh-CN"/>
        </w:rPr>
        <w:t>7.4环境风险防范措施</w:t>
      </w:r>
      <w:bookmarkEnd w:id="1082"/>
      <w:bookmarkEnd w:id="1083"/>
      <w:bookmarkEnd w:id="1084"/>
      <w:bookmarkEnd w:id="1085"/>
      <w:bookmarkEnd w:id="1086"/>
      <w:r>
        <w:rPr>
          <w:rFonts w:hint="default" w:ascii="Times New Roman" w:hAnsi="Times New Roman" w:eastAsia="宋体" w:cs="Times New Roman"/>
          <w:snapToGrid w:val="0"/>
          <w:color w:val="auto"/>
          <w:spacing w:val="0"/>
          <w:w w:val="100"/>
          <w:kern w:val="0"/>
          <w:position w:val="0"/>
          <w:highlight w:val="none"/>
          <w:lang w:val="en-US" w:eastAsia="zh-CN"/>
        </w:rPr>
        <w:t>及应急要求</w:t>
      </w:r>
      <w:bookmarkEnd w:id="1087"/>
      <w:bookmarkEnd w:id="1088"/>
      <w:bookmarkEnd w:id="1089"/>
      <w:bookmarkEnd w:id="1090"/>
      <w:bookmarkEnd w:id="1091"/>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7.4.1粪污发生泄漏的风险防范措施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本项目生产废水及办公生活区生活污水经厂区污水管网进入污水处理区进行处理。若废水管网发生泄漏，会对厂区地下水造成污染。因此需采取以下防范措施：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⑴对厂区废水管线采取严格的防渗措施，防止发生泄漏事件发生；</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⑵对厂区废水管线进行定期巡检；沿线设置明显标示，防止开挖等发生破坏；</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⑶厂区设立专门的安环部门及主管人员，制定相应的环保制度，对厂区环保设施进行专门的管理，防止发生泄漏等突发环境事件。</w:t>
      </w:r>
    </w:p>
    <w:p>
      <w:pPr>
        <w:pStyle w:val="16"/>
        <w:widowControl w:val="0"/>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⑷</w:t>
      </w:r>
      <w:r>
        <w:rPr>
          <w:rFonts w:hint="default" w:ascii="Times New Roman" w:hAnsi="Times New Roman" w:cs="Times New Roman"/>
          <w:color w:val="auto"/>
          <w:spacing w:val="0"/>
          <w:w w:val="100"/>
          <w:kern w:val="0"/>
          <w:position w:val="0"/>
          <w:sz w:val="24"/>
          <w:szCs w:val="24"/>
          <w:highlight w:val="none"/>
          <w:lang w:eastAsia="zh-CN"/>
        </w:rPr>
        <w:t>堆粪棚</w:t>
      </w:r>
      <w:r>
        <w:rPr>
          <w:rFonts w:hint="default" w:ascii="Times New Roman" w:hAnsi="Times New Roman" w:eastAsia="宋体" w:cs="Times New Roman"/>
          <w:color w:val="auto"/>
          <w:spacing w:val="0"/>
          <w:w w:val="100"/>
          <w:kern w:val="0"/>
          <w:position w:val="0"/>
          <w:sz w:val="24"/>
          <w:szCs w:val="24"/>
          <w:highlight w:val="none"/>
        </w:rPr>
        <w:t>设置防雨顶棚，周围设置围墙，地面进行防渗处理。</w:t>
      </w:r>
    </w:p>
    <w:p>
      <w:pPr>
        <w:pStyle w:val="44"/>
        <w:tabs>
          <w:tab w:val="left" w:pos="284"/>
        </w:tabs>
        <w:snapToGrid w:val="0"/>
        <w:spacing w:before="156" w:beforeLines="50" w:after="156" w:afterLines="50"/>
        <w:contextualSpacing/>
        <w:rPr>
          <w:rFonts w:hint="default" w:ascii="Times New Roman" w:hAnsi="Times New Roman" w:eastAsia="宋体" w:cs="Times New Roman"/>
          <w:snapToGrid w:val="0"/>
          <w:color w:val="auto"/>
          <w:spacing w:val="0"/>
          <w:w w:val="100"/>
          <w:kern w:val="0"/>
          <w:position w:val="0"/>
          <w:sz w:val="28"/>
          <w:szCs w:val="28"/>
          <w:highlight w:val="none"/>
          <w:lang w:val="en-US" w:eastAsia="zh-CN"/>
        </w:rPr>
      </w:pPr>
      <w:r>
        <w:rPr>
          <w:rFonts w:hint="default" w:ascii="Times New Roman" w:hAnsi="Times New Roman" w:eastAsia="宋体" w:cs="Times New Roman"/>
          <w:snapToGrid w:val="0"/>
          <w:color w:val="auto"/>
          <w:spacing w:val="0"/>
          <w:w w:val="100"/>
          <w:kern w:val="0"/>
          <w:position w:val="0"/>
          <w:sz w:val="28"/>
          <w:szCs w:val="28"/>
          <w:highlight w:val="none"/>
          <w:lang w:val="en-US" w:eastAsia="zh-CN"/>
        </w:rPr>
        <w:t>7.4.2养殖场发生疫情的风险防范措施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动物疫病防治工作关系食品安全和公共卫生安全，关系社会和谐稳定。在牧场生产中应坚持</w:t>
      </w:r>
      <w:r>
        <w:rPr>
          <w:rFonts w:hint="default" w:ascii="Times New Roman" w:hAnsi="Times New Roman" w:eastAsia="宋体" w:cs="Times New Roman"/>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szCs w:val="32"/>
          <w:highlight w:val="none"/>
        </w:rPr>
        <w:t>防病重于治病</w:t>
      </w:r>
      <w:r>
        <w:rPr>
          <w:rFonts w:hint="default" w:ascii="Times New Roman" w:hAnsi="Times New Roman" w:eastAsia="宋体" w:cs="Times New Roman"/>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szCs w:val="32"/>
          <w:highlight w:val="none"/>
        </w:rPr>
        <w:t>的方针，防止牛群疫病的发生，特别是传染病、代谢病，使牛群更好地发挥生长性能，提高养牛的经济效益。</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1、加强检疫</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⑴奶牛购买及检验</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购买的奶牛必须取得官方的检疫证和非疫区证明，防止口蹄疫、奶牛结核病及其它传染病传播。</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⑵同步检疫</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对牛厂常见传染病、我国已扑灭的疾病和外来病制定疫病监控方案；与当地畜牧兽医行政管理部门建立定期的疫病监督抽查报告制度。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每次免疫和检疫结果要有完整的记录，检疫与检测报告妥善保管。</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⑶操作人员体检</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定期进行从业人员的体检。从业人员上岗必须穿戴规定的服饰并做到定期清洗和消毒。加强从业人员的职业卫生教育，严格操作的规章制度，从而减少人为的影响产品卫生的因素。</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⑷应急措施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经检验不合格的奶牛应遵循《畜禽养殖业污染防治技术规范》（HJ/T81-2001）进行处理。检疫时如发现传染病传播，立即将其隔离，装袋，按有关规定进行处理。本项目病死牛均按照该规则进行安全处置，如果养殖场发生疫情，应立即对养殖场进行隔离，并采取消毒措施，同时对染病牛只采取深埋处理，并同步报告畜牧局、环保局、农业局、卫生防疫站等相关部门，以便采取进一步的措施，防治疫情的扩散。</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2、免疫接种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按要求进行免疫接种，预防疫病发生。</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3、疫病预防</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⑴牛场应将生产区与生活区分开。生产区门口应设置消毒池和消毒室（内设紫外线灯等消毒设施），消毒池内应常年保持2%～4%氢氧化钠溶液等消毒药。</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⑵严格控制非生产人员进入生产区，必须进入时应更换工作服及鞋帽，经消毒室消毒后才能进入。</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⑶饲养人员每年应至少进行一次体格检查，如发现患有危害人、牛的传染病者，应及时调离，以防传染。</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⑷及时清扫</w:t>
      </w:r>
      <w:r>
        <w:rPr>
          <w:rFonts w:hint="eastAsia" w:ascii="Times New Roman" w:hAnsi="Times New Roman" w:cs="Times New Roman"/>
          <w:color w:val="auto"/>
          <w:spacing w:val="0"/>
          <w:w w:val="100"/>
          <w:kern w:val="0"/>
          <w:position w:val="0"/>
          <w:sz w:val="24"/>
          <w:szCs w:val="32"/>
          <w:highlight w:val="none"/>
          <w:lang w:eastAsia="zh-CN"/>
        </w:rPr>
        <w:t>牛舍</w:t>
      </w:r>
      <w:r>
        <w:rPr>
          <w:rFonts w:hint="default" w:ascii="Times New Roman" w:hAnsi="Times New Roman" w:eastAsia="宋体" w:cs="Times New Roman"/>
          <w:color w:val="auto"/>
          <w:spacing w:val="0"/>
          <w:w w:val="100"/>
          <w:kern w:val="0"/>
          <w:position w:val="0"/>
          <w:sz w:val="24"/>
          <w:szCs w:val="32"/>
          <w:highlight w:val="none"/>
        </w:rPr>
        <w:t>，经常保持</w:t>
      </w:r>
      <w:r>
        <w:rPr>
          <w:rFonts w:hint="eastAsia" w:ascii="Times New Roman" w:hAnsi="Times New Roman" w:cs="Times New Roman"/>
          <w:color w:val="auto"/>
          <w:spacing w:val="0"/>
          <w:w w:val="100"/>
          <w:kern w:val="0"/>
          <w:position w:val="0"/>
          <w:sz w:val="24"/>
          <w:szCs w:val="32"/>
          <w:highlight w:val="none"/>
          <w:lang w:eastAsia="zh-CN"/>
        </w:rPr>
        <w:t>牛舍</w:t>
      </w:r>
      <w:r>
        <w:rPr>
          <w:rFonts w:hint="default" w:ascii="Times New Roman" w:hAnsi="Times New Roman" w:eastAsia="宋体" w:cs="Times New Roman"/>
          <w:color w:val="auto"/>
          <w:spacing w:val="0"/>
          <w:w w:val="100"/>
          <w:kern w:val="0"/>
          <w:position w:val="0"/>
          <w:sz w:val="24"/>
          <w:szCs w:val="32"/>
          <w:highlight w:val="none"/>
        </w:rPr>
        <w:t>、牛体的清洁，</w:t>
      </w:r>
      <w:r>
        <w:rPr>
          <w:rFonts w:hint="eastAsia" w:ascii="Times New Roman" w:hAnsi="Times New Roman" w:cs="Times New Roman"/>
          <w:color w:val="auto"/>
          <w:spacing w:val="0"/>
          <w:w w:val="100"/>
          <w:kern w:val="0"/>
          <w:position w:val="0"/>
          <w:sz w:val="24"/>
          <w:szCs w:val="32"/>
          <w:highlight w:val="none"/>
          <w:lang w:eastAsia="zh-CN"/>
        </w:rPr>
        <w:t>牛舍</w:t>
      </w:r>
      <w:r>
        <w:rPr>
          <w:rFonts w:hint="default" w:ascii="Times New Roman" w:hAnsi="Times New Roman" w:eastAsia="宋体" w:cs="Times New Roman"/>
          <w:color w:val="auto"/>
          <w:spacing w:val="0"/>
          <w:w w:val="100"/>
          <w:kern w:val="0"/>
          <w:position w:val="0"/>
          <w:sz w:val="24"/>
          <w:szCs w:val="32"/>
          <w:highlight w:val="none"/>
        </w:rPr>
        <w:t>还应保持平整、干燥、无污物(如砖块、石头、炉渣、废弃塑料袋等)。牛栏大小设计要合理，牛床设计尽量考虑牛卧床时的舒适，牛床应铺上垫草，沙子，锯末等材料以保持松软，坚硬的牛床易损伤乳房，引起感染。</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⑸每年春、秋季各检查和整蹄一次，对患有肢蹄病的牛要及时治疗。蹄病高发季节，应每周用5%硫酸铜溶液喷洒蹄部2次，以减少蹄病的发生，对蹄病高发牛群要关注整个牛群状况。</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⑹定期检测各类饲料成分，经常检查、调整、平衡奶牛日粮的营养，特别是蹄病发生率达15%以上时。</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⑺</w:t>
      </w:r>
      <w:r>
        <w:rPr>
          <w:rFonts w:hint="default" w:ascii="Times New Roman" w:hAnsi="Times New Roman" w:cs="Times New Roman"/>
          <w:color w:val="auto"/>
          <w:spacing w:val="0"/>
          <w:w w:val="100"/>
          <w:kern w:val="0"/>
          <w:position w:val="0"/>
          <w:sz w:val="24"/>
          <w:szCs w:val="32"/>
          <w:highlight w:val="none"/>
          <w:lang w:eastAsia="zh-CN"/>
        </w:rPr>
        <w:t>堆粪棚</w:t>
      </w:r>
      <w:r>
        <w:rPr>
          <w:rFonts w:hint="default" w:ascii="Times New Roman" w:hAnsi="Times New Roman" w:eastAsia="宋体" w:cs="Times New Roman"/>
          <w:color w:val="auto"/>
          <w:spacing w:val="0"/>
          <w:w w:val="100"/>
          <w:kern w:val="0"/>
          <w:position w:val="0"/>
          <w:sz w:val="24"/>
          <w:szCs w:val="32"/>
          <w:highlight w:val="none"/>
        </w:rPr>
        <w:t>夏季时易滋生蚊虫，在场区安装灭蚊灯，防止蚊虫叮咬造成疾病的传播。</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⑻健全检验、检疫制度，强化检验、检疫手段，场部设技术科、实验室，配备兽医，加强对疾病的预防和医治。</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4、疫病的扑灭</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在养殖厂发生疫病或怀疑发生疫病时根据《中华人民共和国动物防疫法》及时采取措施、及时诊断、及时报告。如发现传染疫情，对牛群实施严格的隔离、扑杀措施并追踪调查病牛的亲代和子代，对牛群实施清群和净化措施。对患有传染性疾病的奶牛，应及时隔离并尽快确诊，同时对病牛的分泌物、粪便、剩余饲料、褥草及剖析的病变部分等焚烧深埋无害化处理。</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5、建立并保存奶牛用药档案</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免疫与检疫时仔细看清各种生物制剂的名称、批号、有效期、免疫单位、剂量等，以防影响免疫效期。严格把握允许使用药物、慎用药物和禁用药物的规定。</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企业建立完善的防治防疫体系并按照疫病防治措施严格执行，可保证疫病风险降低在可接受的范围之内。</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6、发生疫情时的紧急防制措施</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⑴应立即组成防疫小组，尽快做出确切诊断，并在第一时间迅速向有关上级部门（区兽医卫生监督所、区动物疾病预防控制中心和兽医行政主管部门）报告疫情。</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⑵迅速隔离病牛，对危害较重的传染病应及时划区封锁，建立封锁带，出入人员和车辆要严格消毒，同时严格消毒污染环境。解除封锁的条件是在最后一头病牛痊愈或安全处置后两个潜伏期内再无新病例出现，经过全面大消毒，报上级主管部门批准，方可解除封锁。</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⑶对病牛及封锁区内的牛只实行合理的综合防制措施，包括疫苗的紧急接种、抗生素疗法、高免血清的特异性疗法、化学疗法、增强体质和生理机能的辅助疗法等。</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⑷病死牛尸体要严格按照防疫条例进行处置。同时根据《畜禽养殖业污染治理工程技术规范》（HJ497-2009）和《畜禽养殖业污染防治技术规范》（HJ/T81-2001）中的有关规定，病死禽尸体要及时处理，严禁随意丢弃、严禁出售或作为饲料再利用，应合理处理。</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32"/>
          <w:highlight w:val="none"/>
        </w:rPr>
        <w:t>⑸出现重大疫情时必须严格执行《重大动物疫情应急条例》中相关规定。</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092" w:name="_Toc13316"/>
      <w:bookmarkStart w:id="1093" w:name="_Toc23948"/>
      <w:bookmarkStart w:id="1094" w:name="_Toc9493"/>
      <w:bookmarkStart w:id="1095" w:name="_Toc10046"/>
      <w:bookmarkStart w:id="1096" w:name="_Toc495219694"/>
      <w:bookmarkStart w:id="1097" w:name="_Toc19012"/>
      <w:bookmarkStart w:id="1098" w:name="_Toc30932"/>
      <w:bookmarkStart w:id="1099" w:name="_Toc25720"/>
      <w:bookmarkStart w:id="1100" w:name="_Toc2578"/>
      <w:bookmarkStart w:id="1101" w:name="_Toc10678"/>
      <w:r>
        <w:rPr>
          <w:rFonts w:hint="default" w:ascii="Times New Roman" w:hAnsi="Times New Roman" w:eastAsia="宋体" w:cs="Times New Roman"/>
          <w:snapToGrid w:val="0"/>
          <w:color w:val="auto"/>
          <w:spacing w:val="0"/>
          <w:w w:val="100"/>
          <w:kern w:val="0"/>
          <w:position w:val="0"/>
          <w:highlight w:val="none"/>
          <w:lang w:val="en-US" w:eastAsia="zh-CN"/>
        </w:rPr>
        <w:t>7.5风险事故应急预案</w:t>
      </w:r>
      <w:bookmarkEnd w:id="1092"/>
      <w:bookmarkEnd w:id="1093"/>
      <w:bookmarkEnd w:id="1094"/>
      <w:bookmarkEnd w:id="1095"/>
      <w:bookmarkEnd w:id="1096"/>
      <w:bookmarkEnd w:id="1097"/>
      <w:bookmarkEnd w:id="1098"/>
      <w:bookmarkEnd w:id="1099"/>
      <w:bookmarkEnd w:id="1100"/>
      <w:bookmarkEnd w:id="1101"/>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rPr>
        <w:t>为保证风险事故的应急工作能及时有序地开展，本环评要求项目建设单位制定风险应急预案。通过预案的编制，建立反应灵敏，运转有效的应对突发事故的指挥系统和处置体系，力求预案贴近实际，可操作性强，一旦突发风险事故，能按本预案协同联动，果断处置，将损失降至最低。</w:t>
      </w:r>
    </w:p>
    <w:p>
      <w:pPr>
        <w:widowControl w:val="0"/>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Cs w:val="22"/>
          <w:highlight w:val="none"/>
          <w:lang w:val="en-US" w:eastAsia="zh-CN"/>
        </w:rPr>
      </w:pPr>
      <w:r>
        <w:rPr>
          <w:rFonts w:hint="default" w:ascii="Times New Roman" w:hAnsi="Times New Roman" w:eastAsia="宋体" w:cs="Times New Roman"/>
          <w:color w:val="auto"/>
          <w:spacing w:val="0"/>
          <w:w w:val="100"/>
          <w:kern w:val="0"/>
          <w:position w:val="0"/>
          <w:sz w:val="24"/>
          <w:szCs w:val="32"/>
          <w:highlight w:val="none"/>
        </w:rPr>
        <w:t>应急预案应包括表</w:t>
      </w:r>
      <w:r>
        <w:rPr>
          <w:rFonts w:hint="default" w:ascii="Times New Roman" w:hAnsi="Times New Roman" w:eastAsia="宋体" w:cs="Times New Roman"/>
          <w:color w:val="auto"/>
          <w:spacing w:val="0"/>
          <w:w w:val="100"/>
          <w:kern w:val="0"/>
          <w:position w:val="0"/>
          <w:sz w:val="24"/>
          <w:szCs w:val="32"/>
          <w:highlight w:val="none"/>
          <w:lang w:val="en-US" w:eastAsia="zh-CN"/>
        </w:rPr>
        <w:t>7.</w:t>
      </w:r>
      <w:r>
        <w:rPr>
          <w:rFonts w:hint="eastAsia" w:ascii="Times New Roman" w:hAnsi="Times New Roman" w:cs="Times New Roman"/>
          <w:color w:val="auto"/>
          <w:spacing w:val="0"/>
          <w:w w:val="100"/>
          <w:kern w:val="0"/>
          <w:position w:val="0"/>
          <w:sz w:val="24"/>
          <w:szCs w:val="32"/>
          <w:highlight w:val="none"/>
          <w:lang w:val="en-US" w:eastAsia="zh-CN"/>
        </w:rPr>
        <w:t>5</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的内容</w:t>
      </w:r>
      <w:r>
        <w:rPr>
          <w:rFonts w:hint="default" w:ascii="Times New Roman" w:hAnsi="Times New Roman" w:eastAsia="宋体" w:cs="Times New Roman"/>
          <w:color w:val="auto"/>
          <w:spacing w:val="0"/>
          <w:w w:val="100"/>
          <w:kern w:val="0"/>
          <w:position w:val="0"/>
          <w:sz w:val="24"/>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表7.</w:t>
      </w:r>
      <w:r>
        <w:rPr>
          <w:rFonts w:hint="eastAsia" w:ascii="Times New Roman" w:hAnsi="Times New Roman" w:cs="Times New Roman"/>
          <w:b/>
          <w:bCs/>
          <w:color w:val="auto"/>
          <w:spacing w:val="0"/>
          <w:w w:val="100"/>
          <w:kern w:val="0"/>
          <w:position w:val="0"/>
          <w:sz w:val="24"/>
          <w:szCs w:val="24"/>
          <w:highlight w:val="none"/>
          <w:lang w:val="en-US" w:eastAsia="zh-CN" w:bidi="ar-SA"/>
        </w:rPr>
        <w:t>5</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-1   环境风险应急预案内容一览表</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140"/>
        <w:gridCol w:w="6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序号</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项目</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
                <w:iCs/>
                <w:color w:val="auto"/>
                <w:spacing w:val="0"/>
                <w:w w:val="100"/>
                <w:kern w:val="0"/>
                <w:position w:val="0"/>
                <w:szCs w:val="21"/>
                <w:highlight w:val="none"/>
              </w:rPr>
            </w:pPr>
            <w:r>
              <w:rPr>
                <w:rFonts w:hint="default" w:ascii="Times New Roman" w:hAnsi="Times New Roman" w:eastAsia="宋体" w:cs="Times New Roman"/>
                <w:b/>
                <w:iCs/>
                <w:color w:val="auto"/>
                <w:spacing w:val="0"/>
                <w:w w:val="100"/>
                <w:kern w:val="0"/>
                <w:position w:val="0"/>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1</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应急计划区</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危险目标：厂区废水收集管线、各类池体、发酵罐、油库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2</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应急组织机构、人员</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3</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预案分级响应条件</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规定预案的级别及分级相应程序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4</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应急救援保障</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5</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报警、通讯联络方式</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6</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应急环境监测、抢险、救援及控制措施</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由专业队伍负责对事故现场进行侦查监测，对事故性质、参数与后果进行评估，为指挥部门提供决策依据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7</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应急检测、防护措施、清除措施和器材</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8</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人员紧急撤离、疏散、撤离组织计划</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9</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事故应急救援关闭程序与恢复措施</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规定应急状态终止程序；事故现场善后处理，恢复措施；邻近区域解除事故警戒及善后恢复措施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10</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应急培训计划</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11</w:t>
            </w:r>
          </w:p>
        </w:tc>
        <w:tc>
          <w:tcPr>
            <w:tcW w:w="2073"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公众教育和信息</w:t>
            </w:r>
          </w:p>
        </w:tc>
        <w:tc>
          <w:tcPr>
            <w:tcW w:w="5978" w:type="dxa"/>
            <w:noWrap w:val="0"/>
            <w:vAlign w:val="center"/>
          </w:tcPr>
          <w:p>
            <w:pPr>
              <w:widowControl w:val="0"/>
              <w:adjustRightInd w:val="0"/>
              <w:snapToGrid w:val="0"/>
              <w:jc w:val="center"/>
              <w:outlineLvl w:val="4"/>
              <w:rPr>
                <w:rFonts w:hint="default" w:ascii="Times New Roman" w:hAnsi="Times New Roman" w:eastAsia="宋体" w:cs="Times New Roman"/>
                <w:bCs/>
                <w:iCs/>
                <w:color w:val="auto"/>
                <w:spacing w:val="0"/>
                <w:w w:val="100"/>
                <w:kern w:val="0"/>
                <w:position w:val="0"/>
                <w:szCs w:val="21"/>
                <w:highlight w:val="none"/>
              </w:rPr>
            </w:pPr>
            <w:r>
              <w:rPr>
                <w:rFonts w:hint="default" w:ascii="Times New Roman" w:hAnsi="Times New Roman" w:eastAsia="宋体" w:cs="Times New Roman"/>
                <w:bCs/>
                <w:iCs/>
                <w:color w:val="auto"/>
                <w:spacing w:val="0"/>
                <w:w w:val="100"/>
                <w:kern w:val="0"/>
                <w:position w:val="0"/>
                <w:szCs w:val="21"/>
                <w:highlight w:val="none"/>
              </w:rPr>
              <w:t>对场地邻近地区开展公众教育、培训和发布有关信息</w:t>
            </w:r>
          </w:p>
        </w:tc>
      </w:tr>
    </w:tbl>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02" w:name="_Toc21420"/>
      <w:bookmarkStart w:id="1103" w:name="_Toc1480"/>
      <w:bookmarkStart w:id="1104" w:name="_Toc23070"/>
      <w:bookmarkStart w:id="1105" w:name="_Toc495219695"/>
      <w:bookmarkStart w:id="1106" w:name="_Toc29317"/>
      <w:bookmarkStart w:id="1107" w:name="_Toc27577"/>
      <w:bookmarkStart w:id="1108" w:name="_Toc14845"/>
      <w:bookmarkStart w:id="1109" w:name="_Toc14896"/>
      <w:bookmarkStart w:id="1110" w:name="_Toc30585"/>
      <w:bookmarkStart w:id="1111" w:name="_Toc31664"/>
      <w:r>
        <w:rPr>
          <w:rFonts w:hint="default" w:ascii="Times New Roman" w:hAnsi="Times New Roman" w:eastAsia="宋体" w:cs="Times New Roman"/>
          <w:snapToGrid w:val="0"/>
          <w:color w:val="auto"/>
          <w:spacing w:val="0"/>
          <w:w w:val="100"/>
          <w:kern w:val="0"/>
          <w:position w:val="0"/>
          <w:highlight w:val="none"/>
          <w:lang w:val="en-US" w:eastAsia="zh-CN"/>
        </w:rPr>
        <w:t>7.6风险评价</w:t>
      </w:r>
      <w:bookmarkEnd w:id="1102"/>
      <w:bookmarkEnd w:id="1103"/>
      <w:bookmarkEnd w:id="1104"/>
      <w:bookmarkEnd w:id="1105"/>
      <w:bookmarkEnd w:id="1106"/>
      <w:r>
        <w:rPr>
          <w:rFonts w:hint="default" w:ascii="Times New Roman" w:hAnsi="Times New Roman" w:eastAsia="宋体" w:cs="Times New Roman"/>
          <w:snapToGrid w:val="0"/>
          <w:color w:val="auto"/>
          <w:spacing w:val="0"/>
          <w:w w:val="100"/>
          <w:kern w:val="0"/>
          <w:position w:val="0"/>
          <w:highlight w:val="none"/>
          <w:lang w:val="en-US" w:eastAsia="zh-CN"/>
        </w:rPr>
        <w:t>小结</w:t>
      </w:r>
      <w:bookmarkEnd w:id="1107"/>
      <w:bookmarkEnd w:id="1108"/>
      <w:bookmarkEnd w:id="1109"/>
      <w:bookmarkEnd w:id="1110"/>
      <w:bookmarkEnd w:id="1111"/>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32"/>
          <w:highlight w:val="none"/>
        </w:rPr>
      </w:pPr>
      <w:r>
        <w:rPr>
          <w:rFonts w:hint="default" w:ascii="Times New Roman" w:hAnsi="Times New Roman" w:eastAsia="宋体" w:cs="Times New Roman"/>
          <w:color w:val="auto"/>
          <w:spacing w:val="0"/>
          <w:w w:val="100"/>
          <w:kern w:val="0"/>
          <w:position w:val="0"/>
          <w:sz w:val="24"/>
          <w:szCs w:val="32"/>
          <w:highlight w:val="none"/>
          <w:lang w:eastAsia="zh-CN"/>
        </w:rPr>
        <w:t>综合上述评价工作结论，在严格落实本次评价所提出的风险防范措施、严格环境管理、做好公司突发环境事件应急预案并加强风险应急演练的前提下，本项目环境风险可防可控</w:t>
      </w:r>
      <w:r>
        <w:rPr>
          <w:rFonts w:hint="default" w:ascii="Times New Roman" w:hAnsi="Times New Roman" w:eastAsia="宋体" w:cs="Times New Roman"/>
          <w:color w:val="auto"/>
          <w:spacing w:val="0"/>
          <w:w w:val="100"/>
          <w:kern w:val="0"/>
          <w:position w:val="0"/>
          <w:sz w:val="24"/>
          <w:szCs w:val="32"/>
          <w:highlight w:val="none"/>
        </w:rPr>
        <w:t>。建设项目环境风险简单分析内容见表</w:t>
      </w:r>
      <w:r>
        <w:rPr>
          <w:rFonts w:hint="default" w:ascii="Times New Roman" w:hAnsi="Times New Roman" w:eastAsia="宋体" w:cs="Times New Roman"/>
          <w:color w:val="auto"/>
          <w:spacing w:val="0"/>
          <w:w w:val="100"/>
          <w:kern w:val="0"/>
          <w:position w:val="0"/>
          <w:sz w:val="24"/>
          <w:szCs w:val="32"/>
          <w:highlight w:val="none"/>
          <w:lang w:val="en-US" w:eastAsia="zh-CN"/>
        </w:rPr>
        <w:t>7.</w:t>
      </w:r>
      <w:r>
        <w:rPr>
          <w:rFonts w:hint="eastAsia" w:ascii="Times New Roman" w:hAnsi="Times New Roman" w:cs="Times New Roman"/>
          <w:color w:val="auto"/>
          <w:spacing w:val="0"/>
          <w:w w:val="100"/>
          <w:kern w:val="0"/>
          <w:position w:val="0"/>
          <w:sz w:val="24"/>
          <w:szCs w:val="32"/>
          <w:highlight w:val="none"/>
          <w:lang w:val="en-US" w:eastAsia="zh-CN"/>
        </w:rPr>
        <w:t>6</w:t>
      </w:r>
      <w:r>
        <w:rPr>
          <w:rFonts w:hint="default" w:ascii="Times New Roman" w:hAnsi="Times New Roman" w:eastAsia="宋体" w:cs="Times New Roman"/>
          <w:color w:val="auto"/>
          <w:spacing w:val="0"/>
          <w:w w:val="100"/>
          <w:kern w:val="0"/>
          <w:position w:val="0"/>
          <w:sz w:val="24"/>
          <w:szCs w:val="32"/>
          <w:highlight w:val="none"/>
          <w:lang w:val="en-US" w:eastAsia="zh-CN"/>
        </w:rPr>
        <w:t>-1</w:t>
      </w:r>
      <w:r>
        <w:rPr>
          <w:rFonts w:hint="default" w:ascii="Times New Roman" w:hAnsi="Times New Roman" w:eastAsia="宋体" w:cs="Times New Roman"/>
          <w:color w:val="auto"/>
          <w:spacing w:val="0"/>
          <w:w w:val="100"/>
          <w:kern w:val="0"/>
          <w:position w:val="0"/>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表7.</w:t>
      </w:r>
      <w:r>
        <w:rPr>
          <w:rFonts w:hint="eastAsia" w:ascii="Times New Roman" w:hAnsi="Times New Roman" w:cs="Times New Roman"/>
          <w:b/>
          <w:bCs/>
          <w:color w:val="auto"/>
          <w:spacing w:val="0"/>
          <w:w w:val="100"/>
          <w:kern w:val="0"/>
          <w:position w:val="0"/>
          <w:sz w:val="24"/>
          <w:szCs w:val="24"/>
          <w:highlight w:val="none"/>
          <w:lang w:val="en-US" w:eastAsia="zh-CN" w:bidi="ar-SA"/>
        </w:rPr>
        <w:t>6</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-1</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 建设项目环境风险简单分析内容表</w:t>
      </w:r>
    </w:p>
    <w:tbl>
      <w:tblPr>
        <w:tblStyle w:val="25"/>
        <w:tblW w:w="48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783"/>
        <w:gridCol w:w="1783"/>
        <w:gridCol w:w="1784"/>
        <w:gridCol w:w="17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15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建设项目名称</w:t>
            </w:r>
          </w:p>
        </w:tc>
        <w:tc>
          <w:tcPr>
            <w:tcW w:w="7141" w:type="dxa"/>
            <w:gridSpan w:val="4"/>
            <w:noWrap w:val="0"/>
            <w:vAlign w:val="center"/>
          </w:tcPr>
          <w:p>
            <w:pPr>
              <w:adjustRightInd w:val="0"/>
              <w:snapToGrid w:val="0"/>
              <w:jc w:val="center"/>
              <w:rPr>
                <w:rFonts w:hint="default" w:ascii="Times New Roman" w:hAnsi="Times New Roman" w:eastAsia="宋体" w:cs="Times New Roman"/>
                <w:b/>
                <w:color w:val="auto"/>
                <w:spacing w:val="0"/>
                <w:w w:val="100"/>
                <w:kern w:val="0"/>
                <w:position w:val="0"/>
                <w:highlight w:val="none"/>
              </w:rPr>
            </w:pPr>
            <w:r>
              <w:rPr>
                <w:rFonts w:hint="default" w:ascii="Times New Roman" w:hAnsi="Times New Roman" w:cs="Times New Roman"/>
                <w:b w:val="0"/>
                <w:bCs/>
                <w:i w:val="0"/>
                <w:iCs/>
                <w:color w:val="auto"/>
                <w:spacing w:val="0"/>
                <w:w w:val="100"/>
                <w:kern w:val="0"/>
                <w:position w:val="0"/>
                <w:highlight w:val="none"/>
                <w:lang w:eastAsia="zh-CN"/>
              </w:rPr>
              <w:t>5000头奶牛扶贫养殖基地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5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建设地点</w:t>
            </w:r>
          </w:p>
        </w:tc>
        <w:tc>
          <w:tcPr>
            <w:tcW w:w="7141" w:type="dxa"/>
            <w:gridSpan w:val="4"/>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cs="Times New Roman"/>
                <w:color w:val="auto"/>
                <w:spacing w:val="0"/>
                <w:w w:val="100"/>
                <w:kern w:val="0"/>
                <w:position w:val="0"/>
                <w:highlight w:val="none"/>
                <w:lang w:eastAsia="zh-CN"/>
              </w:rPr>
              <w:t>宁夏</w:t>
            </w:r>
            <w:r>
              <w:rPr>
                <w:rFonts w:hint="default" w:ascii="Times New Roman" w:hAnsi="Times New Roman" w:cs="Times New Roman"/>
                <w:b w:val="0"/>
                <w:bCs/>
                <w:i w:val="0"/>
                <w:iCs/>
                <w:color w:val="auto"/>
                <w:spacing w:val="0"/>
                <w:w w:val="100"/>
                <w:kern w:val="0"/>
                <w:position w:val="0"/>
                <w:highlight w:val="none"/>
                <w:lang w:eastAsia="zh-CN"/>
              </w:rPr>
              <w:t>吴忠同心县</w:t>
            </w:r>
            <w:r>
              <w:rPr>
                <w:rFonts w:hint="default" w:ascii="Times New Roman" w:hAnsi="Times New Roman" w:cs="Times New Roman"/>
                <w:color w:val="auto"/>
                <w:spacing w:val="0"/>
                <w:w w:val="100"/>
                <w:kern w:val="0"/>
                <w:position w:val="0"/>
                <w:highlight w:val="none"/>
                <w:lang w:eastAsia="zh-CN"/>
              </w:rPr>
              <w:t>下马关镇上垣村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5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地理坐标</w:t>
            </w:r>
          </w:p>
        </w:tc>
        <w:tc>
          <w:tcPr>
            <w:tcW w:w="1783" w:type="dxa"/>
            <w:tcBorders>
              <w:right w:val="single" w:color="auto" w:sz="8"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经度</w:t>
            </w:r>
          </w:p>
        </w:tc>
        <w:tc>
          <w:tcPr>
            <w:tcW w:w="1783" w:type="dxa"/>
            <w:tcBorders>
              <w:left w:val="single" w:color="auto" w:sz="8" w:space="0"/>
              <w:right w:val="single" w:color="auto" w:sz="8"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p>
        </w:tc>
        <w:tc>
          <w:tcPr>
            <w:tcW w:w="1784" w:type="dxa"/>
            <w:tcBorders>
              <w:right w:val="single" w:color="auto" w:sz="8"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纬度</w:t>
            </w:r>
          </w:p>
        </w:tc>
        <w:tc>
          <w:tcPr>
            <w:tcW w:w="1791" w:type="dxa"/>
            <w:tcBorders>
              <w:left w:val="single" w:color="auto" w:sz="8" w:space="0"/>
            </w:tcBorders>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8" w:hRule="atLeast"/>
          <w:jc w:val="center"/>
        </w:trPr>
        <w:tc>
          <w:tcPr>
            <w:tcW w:w="15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环境影响途径及危害后果</w:t>
            </w:r>
          </w:p>
          <w:p>
            <w:pPr>
              <w:pStyle w:val="32"/>
              <w:spacing w:line="240" w:lineRule="auto"/>
              <w:ind w:firstLine="0" w:firstLineChars="0"/>
              <w:jc w:val="center"/>
              <w:rPr>
                <w:rFonts w:hint="default" w:ascii="Times New Roman" w:hAnsi="Times New Roman" w:eastAsia="宋体" w:cs="Times New Roman"/>
                <w:color w:val="auto"/>
                <w:spacing w:val="0"/>
                <w:w w:val="100"/>
                <w:kern w:val="0"/>
                <w:position w:val="0"/>
                <w:sz w:val="21"/>
                <w:highlight w:val="none"/>
              </w:rPr>
            </w:pPr>
            <w:r>
              <w:rPr>
                <w:rFonts w:hint="default" w:ascii="Times New Roman" w:hAnsi="Times New Roman" w:eastAsia="宋体" w:cs="Times New Roman"/>
                <w:color w:val="auto"/>
                <w:spacing w:val="0"/>
                <w:w w:val="100"/>
                <w:kern w:val="0"/>
                <w:position w:val="0"/>
                <w:sz w:val="21"/>
                <w:highlight w:val="none"/>
              </w:rPr>
              <w:t>（大气、地表水、地下水等）</w:t>
            </w:r>
          </w:p>
        </w:tc>
        <w:tc>
          <w:tcPr>
            <w:tcW w:w="7141" w:type="dxa"/>
            <w:gridSpan w:val="4"/>
            <w:noWrap w:val="0"/>
            <w:vAlign w:val="center"/>
          </w:tcPr>
          <w:p>
            <w:pPr>
              <w:pStyle w:val="32"/>
              <w:spacing w:line="240" w:lineRule="auto"/>
              <w:ind w:firstLine="420"/>
              <w:rPr>
                <w:rFonts w:hint="default" w:ascii="Times New Roman" w:hAnsi="Times New Roman" w:eastAsia="宋体" w:cs="Times New Roman"/>
                <w:color w:val="auto"/>
                <w:spacing w:val="0"/>
                <w:w w:val="100"/>
                <w:kern w:val="0"/>
                <w:position w:val="0"/>
                <w:sz w:val="21"/>
                <w:highlight w:val="none"/>
              </w:rPr>
            </w:pPr>
            <w:r>
              <w:rPr>
                <w:rFonts w:hint="default" w:ascii="Times New Roman" w:hAnsi="Times New Roman" w:eastAsia="宋体" w:cs="Times New Roman"/>
                <w:color w:val="auto"/>
                <w:spacing w:val="0"/>
                <w:w w:val="100"/>
                <w:kern w:val="0"/>
                <w:position w:val="0"/>
                <w:sz w:val="21"/>
                <w:highlight w:val="none"/>
              </w:rPr>
              <w:t>项目污水</w:t>
            </w:r>
            <w:r>
              <w:rPr>
                <w:rFonts w:hint="default" w:ascii="Times New Roman" w:hAnsi="Times New Roman" w:cs="Times New Roman"/>
                <w:color w:val="auto"/>
                <w:spacing w:val="0"/>
                <w:w w:val="100"/>
                <w:kern w:val="0"/>
                <w:position w:val="0"/>
                <w:sz w:val="21"/>
                <w:highlight w:val="none"/>
                <w:lang w:eastAsia="zh-CN"/>
              </w:rPr>
              <w:t>堆粪棚</w:t>
            </w:r>
            <w:r>
              <w:rPr>
                <w:rFonts w:hint="default" w:ascii="Times New Roman" w:hAnsi="Times New Roman" w:eastAsia="宋体" w:cs="Times New Roman"/>
                <w:color w:val="auto"/>
                <w:spacing w:val="0"/>
                <w:w w:val="100"/>
                <w:kern w:val="0"/>
                <w:position w:val="0"/>
                <w:sz w:val="21"/>
                <w:highlight w:val="none"/>
              </w:rPr>
              <w:t>粪污泄露渗入地下，对区域地下水环境造成污染。</w:t>
            </w:r>
          </w:p>
          <w:p>
            <w:pPr>
              <w:pStyle w:val="32"/>
              <w:spacing w:line="240" w:lineRule="auto"/>
              <w:ind w:firstLine="420"/>
              <w:rPr>
                <w:rFonts w:hint="default" w:ascii="Times New Roman" w:hAnsi="Times New Roman" w:eastAsia="宋体" w:cs="Times New Roman"/>
                <w:color w:val="auto"/>
                <w:spacing w:val="0"/>
                <w:w w:val="100"/>
                <w:kern w:val="0"/>
                <w:position w:val="0"/>
                <w:sz w:val="21"/>
                <w:highlight w:val="none"/>
              </w:rPr>
            </w:pPr>
            <w:r>
              <w:rPr>
                <w:rFonts w:hint="default" w:ascii="Times New Roman" w:hAnsi="Times New Roman" w:eastAsia="宋体" w:cs="Times New Roman"/>
                <w:color w:val="auto"/>
                <w:spacing w:val="0"/>
                <w:w w:val="100"/>
                <w:kern w:val="0"/>
                <w:position w:val="0"/>
                <w:sz w:val="21"/>
                <w:highlight w:val="none"/>
              </w:rPr>
              <w:t>项目养殖场发生疫情，养殖场如果管理不善，会诱发传染性疾病，如口蹄疫、炭疽等，且传播很快，若不及时、合理地处理，将会疫情蔓延，感染牛群及人类，危害人体健康。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2" w:hRule="atLeast"/>
          <w:jc w:val="center"/>
        </w:trPr>
        <w:tc>
          <w:tcPr>
            <w:tcW w:w="1598"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风险防范措施要求</w:t>
            </w:r>
          </w:p>
        </w:tc>
        <w:tc>
          <w:tcPr>
            <w:tcW w:w="7141" w:type="dxa"/>
            <w:gridSpan w:val="4"/>
            <w:noWrap w:val="0"/>
            <w:vAlign w:val="center"/>
          </w:tcPr>
          <w:p>
            <w:pPr>
              <w:adjustRightInd w:val="0"/>
              <w:snapToGrid w:val="0"/>
              <w:ind w:firstLine="420" w:firstLineChars="20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防渗措施：采取分区防渗措施，对危险废物暂存间、</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、氧化塘</w:t>
            </w:r>
            <w:r>
              <w:rPr>
                <w:rFonts w:hint="default" w:ascii="Times New Roman" w:hAnsi="Times New Roman" w:eastAsia="宋体" w:cs="Times New Roman"/>
                <w:color w:val="auto"/>
                <w:spacing w:val="0"/>
                <w:w w:val="100"/>
                <w:kern w:val="0"/>
                <w:position w:val="0"/>
                <w:szCs w:val="21"/>
                <w:highlight w:val="none"/>
              </w:rPr>
              <w:t>做重点防渗，其中危废暂存间防渗性能需满足《危险废物贮存污染控制标准》（GB 18597-2001）要求，地面、裙角采取防渗措施，相当于防渗系数小于1×10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cm/s，至少2mm厚的其他人工材料的防渗性能；</w:t>
            </w:r>
          </w:p>
          <w:p>
            <w:pPr>
              <w:adjustRightInd w:val="0"/>
              <w:snapToGrid w:val="0"/>
              <w:ind w:firstLine="420" w:firstLineChars="200"/>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对</w:t>
            </w:r>
            <w:r>
              <w:rPr>
                <w:rFonts w:hint="eastAsia" w:ascii="Times New Roman" w:hAnsi="Times New Roman" w:cs="Times New Roman"/>
                <w:color w:val="auto"/>
                <w:spacing w:val="0"/>
                <w:w w:val="100"/>
                <w:kern w:val="0"/>
                <w:position w:val="0"/>
                <w:szCs w:val="21"/>
                <w:highlight w:val="none"/>
                <w:lang w:eastAsia="zh-CN"/>
              </w:rPr>
              <w:t>牛舍</w:t>
            </w:r>
            <w:r>
              <w:rPr>
                <w:rFonts w:hint="default" w:ascii="Times New Roman" w:hAnsi="Times New Roman" w:eastAsia="宋体" w:cs="Times New Roman"/>
                <w:color w:val="auto"/>
                <w:spacing w:val="0"/>
                <w:w w:val="100"/>
                <w:kern w:val="0"/>
                <w:position w:val="0"/>
                <w:szCs w:val="21"/>
                <w:highlight w:val="none"/>
              </w:rPr>
              <w:t>做一般防渗，其防渗层的防渗性能不低于1.5m厚渗透系数为1.0×10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p>
            <w:pPr>
              <w:pStyle w:val="32"/>
              <w:spacing w:line="240" w:lineRule="auto"/>
              <w:ind w:firstLine="420"/>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防止疫情发生措施：加强检疫、免疫接种、加强厂区消毒和牛舍内卫生环境、制定疫情发生应急预案等。</w:t>
            </w:r>
          </w:p>
          <w:p>
            <w:pPr>
              <w:pStyle w:val="32"/>
              <w:spacing w:line="240" w:lineRule="auto"/>
              <w:ind w:firstLine="420"/>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防火防爆措施：从总平面布置、建/构筑物防火、电气防火、消防系统、等方面采取防火、防爆控制措施。</w:t>
            </w:r>
          </w:p>
          <w:p>
            <w:pPr>
              <w:pStyle w:val="32"/>
              <w:spacing w:line="240" w:lineRule="auto"/>
              <w:ind w:firstLine="420"/>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安全管理措施：设置安全管理机构，建立安全管理制度，加强人员培训，预防安全事故发生。</w:t>
            </w:r>
          </w:p>
        </w:tc>
      </w:tr>
    </w:tbl>
    <w:p>
      <w:pPr>
        <w:pStyle w:val="37"/>
        <w:snapToGrid w:val="0"/>
        <w:spacing w:before="312" w:beforeLines="100" w:after="156" w:afterLines="50"/>
        <w:contextualSpacing/>
        <w:outlineLvl w:val="9"/>
        <w:rPr>
          <w:rFonts w:hint="default" w:ascii="Times New Roman" w:hAnsi="Times New Roman" w:eastAsia="宋体" w:cs="Times New Roman"/>
          <w:bCs/>
          <w:snapToGrid w:val="0"/>
          <w:color w:val="auto"/>
          <w:spacing w:val="0"/>
          <w:w w:val="100"/>
          <w:kern w:val="0"/>
          <w:position w:val="0"/>
          <w:sz w:val="28"/>
          <w:szCs w:val="28"/>
          <w:highlight w:val="none"/>
          <w:lang w:val="en-US" w:eastAsia="zh-CN"/>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1112" w:name="_Toc9039"/>
      <w:bookmarkStart w:id="1113" w:name="_Toc3686"/>
      <w:bookmarkStart w:id="1114" w:name="_Toc30749"/>
      <w:bookmarkStart w:id="1115" w:name="_Toc23124"/>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8环境影响经济损益分析</w:t>
      </w:r>
      <w:bookmarkEnd w:id="1046"/>
      <w:bookmarkEnd w:id="1047"/>
      <w:bookmarkEnd w:id="1048"/>
      <w:bookmarkEnd w:id="1112"/>
      <w:bookmarkEnd w:id="1113"/>
      <w:bookmarkEnd w:id="1114"/>
      <w:bookmarkEnd w:id="1115"/>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环境经济损益分析主要是评价建设项目实施后，对环境造成的损失费用和采取各种环保治理措施所能收到的环保效果及其带来的经济和社会效益，衡量建设项目的环保投资在经济上的合理水平。一个项目的开发建设，除对国民经济的发展起着促进作用外，同时，也在一定程度上影响着项目地区环境的变化。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通过对项目的经济、社会和环境效益分析，为项目决策者更好地考虑环境、经济和社会效益的统一提供依据。</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16" w:name="_Toc5254"/>
      <w:bookmarkStart w:id="1117" w:name="_Toc11415"/>
      <w:bookmarkStart w:id="1118" w:name="_Toc4559"/>
      <w:bookmarkStart w:id="1119" w:name="_Toc11887"/>
      <w:bookmarkStart w:id="1120" w:name="_Toc16516"/>
      <w:bookmarkStart w:id="1121" w:name="_Toc18012"/>
      <w:bookmarkStart w:id="1122" w:name="_Toc30398"/>
      <w:r>
        <w:rPr>
          <w:rFonts w:hint="default" w:ascii="Times New Roman" w:hAnsi="Times New Roman" w:eastAsia="宋体" w:cs="Times New Roman"/>
          <w:snapToGrid w:val="0"/>
          <w:color w:val="auto"/>
          <w:spacing w:val="0"/>
          <w:w w:val="100"/>
          <w:kern w:val="0"/>
          <w:position w:val="0"/>
          <w:highlight w:val="none"/>
          <w:lang w:val="en-US" w:eastAsia="zh-CN"/>
        </w:rPr>
        <w:t>8.1环境保护措施投资</w:t>
      </w:r>
      <w:bookmarkEnd w:id="1116"/>
      <w:bookmarkEnd w:id="1117"/>
      <w:bookmarkEnd w:id="1118"/>
      <w:bookmarkEnd w:id="1119"/>
      <w:bookmarkEnd w:id="1120"/>
      <w:bookmarkEnd w:id="1121"/>
      <w:bookmarkEnd w:id="1122"/>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⑴环境保护设施建设费用</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本项目运营期产生的环境污染物主要为生活和生产过程产生的废水、工艺废气、噪声和固体废物。本项目的环境保护设施费用合计约</w:t>
      </w:r>
      <w:r>
        <w:rPr>
          <w:rFonts w:hint="default" w:ascii="Times New Roman" w:hAnsi="Times New Roman" w:eastAsia="宋体" w:cs="Times New Roman"/>
          <w:color w:val="auto"/>
          <w:spacing w:val="0"/>
          <w:w w:val="100"/>
          <w:kern w:val="0"/>
          <w:position w:val="0"/>
          <w:sz w:val="24"/>
          <w:highlight w:val="none"/>
          <w:lang w:val="en-US" w:eastAsia="zh-CN"/>
        </w:rPr>
        <w:t>478.5</w:t>
      </w:r>
      <w:r>
        <w:rPr>
          <w:rFonts w:hint="default" w:ascii="Times New Roman" w:hAnsi="Times New Roman" w:eastAsia="宋体" w:cs="Times New Roman"/>
          <w:color w:val="auto"/>
          <w:spacing w:val="0"/>
          <w:w w:val="100"/>
          <w:kern w:val="0"/>
          <w:position w:val="0"/>
          <w:sz w:val="24"/>
          <w:highlight w:val="none"/>
          <w:lang w:val="zh-CN"/>
        </w:rPr>
        <w:t>万</w:t>
      </w:r>
      <w:r>
        <w:rPr>
          <w:rFonts w:hint="default" w:ascii="Times New Roman" w:hAnsi="Times New Roman" w:eastAsia="宋体" w:cs="Times New Roman"/>
          <w:color w:val="auto"/>
          <w:spacing w:val="0"/>
          <w:w w:val="100"/>
          <w:kern w:val="0"/>
          <w:position w:val="0"/>
          <w:sz w:val="24"/>
          <w:highlight w:val="none"/>
        </w:rPr>
        <w:t>元，由此可知项目的环保设施投资额约占项目投资总额</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rPr>
        <w:t>的</w:t>
      </w:r>
      <w:r>
        <w:rPr>
          <w:rFonts w:hint="eastAsia" w:ascii="Times New Roman" w:hAnsi="Times New Roman" w:cs="Times New Roman"/>
          <w:color w:val="auto"/>
          <w:spacing w:val="0"/>
          <w:w w:val="100"/>
          <w:kern w:val="0"/>
          <w:position w:val="0"/>
          <w:sz w:val="24"/>
          <w:highlight w:val="none"/>
          <w:lang w:val="en-US" w:eastAsia="zh-CN"/>
        </w:rPr>
        <w:t>6.42%</w:t>
      </w:r>
      <w:r>
        <w:rPr>
          <w:rFonts w:hint="default" w:ascii="Times New Roman" w:hAnsi="Times New Roman" w:eastAsia="宋体" w:cs="Times New Roman"/>
          <w:color w:val="auto"/>
          <w:spacing w:val="0"/>
          <w:w w:val="100"/>
          <w:kern w:val="0"/>
          <w:position w:val="0"/>
          <w:sz w:val="24"/>
          <w:highlight w:val="none"/>
        </w:rPr>
        <w:t>，其环保设施投资额度是基本合理的。</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⑵环境保护设施运转费用</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运营后环境保护设施的运转费用主要为废水及废气处理设施的运转费、折旧费、排污费和环境保护监测等管理费（包括工资和业务费）。根据国内同类项目的环保费用开支情况，结合本项目的实际情况，初步估算本工程建成投产后每年的环境保护运转费用开支约为</w:t>
      </w:r>
      <w:r>
        <w:rPr>
          <w:rFonts w:hint="default" w:ascii="Times New Roman" w:hAnsi="Times New Roman" w:cs="Times New Roman"/>
          <w:color w:val="auto"/>
          <w:spacing w:val="0"/>
          <w:w w:val="100"/>
          <w:kern w:val="0"/>
          <w:position w:val="0"/>
          <w:sz w:val="24"/>
          <w:highlight w:val="none"/>
          <w:lang w:val="en-US" w:eastAsia="zh-CN"/>
        </w:rPr>
        <w:t>75</w:t>
      </w:r>
      <w:r>
        <w:rPr>
          <w:rFonts w:hint="default" w:ascii="Times New Roman" w:hAnsi="Times New Roman" w:eastAsia="宋体" w:cs="Times New Roman"/>
          <w:color w:val="auto"/>
          <w:spacing w:val="0"/>
          <w:w w:val="100"/>
          <w:kern w:val="0"/>
          <w:position w:val="0"/>
          <w:sz w:val="24"/>
          <w:highlight w:val="none"/>
        </w:rPr>
        <w:t>万元。</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23" w:name="_Toc18807"/>
      <w:bookmarkStart w:id="1124" w:name="_Toc1355"/>
      <w:bookmarkStart w:id="1125" w:name="_Toc25079"/>
      <w:bookmarkStart w:id="1126" w:name="_Toc22856"/>
      <w:bookmarkStart w:id="1127" w:name="_Toc118"/>
      <w:bookmarkStart w:id="1128" w:name="_Toc17178"/>
      <w:bookmarkStart w:id="1129" w:name="_Toc29886"/>
      <w:r>
        <w:rPr>
          <w:rFonts w:hint="default" w:ascii="Times New Roman" w:hAnsi="Times New Roman" w:eastAsia="宋体" w:cs="Times New Roman"/>
          <w:snapToGrid w:val="0"/>
          <w:color w:val="auto"/>
          <w:spacing w:val="0"/>
          <w:w w:val="100"/>
          <w:kern w:val="0"/>
          <w:position w:val="0"/>
          <w:highlight w:val="none"/>
          <w:lang w:val="en-US" w:eastAsia="zh-CN"/>
        </w:rPr>
        <w:t>8.2环境经济损失</w:t>
      </w:r>
      <w:bookmarkEnd w:id="1123"/>
      <w:bookmarkEnd w:id="1124"/>
      <w:bookmarkEnd w:id="1125"/>
      <w:bookmarkEnd w:id="1126"/>
      <w:bookmarkEnd w:id="1127"/>
      <w:bookmarkEnd w:id="1128"/>
      <w:bookmarkEnd w:id="1129"/>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30" w:name="_Toc7436"/>
      <w:bookmarkStart w:id="1131" w:name="_Toc7792"/>
      <w:bookmarkStart w:id="1132" w:name="_Toc2597"/>
      <w:r>
        <w:rPr>
          <w:rFonts w:hint="default" w:ascii="Times New Roman" w:hAnsi="Times New Roman" w:eastAsia="宋体" w:cs="Times New Roman"/>
          <w:snapToGrid w:val="0"/>
          <w:color w:val="auto"/>
          <w:spacing w:val="0"/>
          <w:w w:val="100"/>
          <w:kern w:val="0"/>
          <w:position w:val="0"/>
          <w:sz w:val="28"/>
          <w:szCs w:val="28"/>
          <w:highlight w:val="none"/>
          <w:lang w:val="en-US" w:eastAsia="zh-CN"/>
        </w:rPr>
        <w:t>8.2.1资源损失</w:t>
      </w:r>
      <w:bookmarkEnd w:id="1130"/>
      <w:bookmarkEnd w:id="1131"/>
      <w:bookmarkEnd w:id="1132"/>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本项目的资源损失主要是能源的消耗损失，资源损失约为38</w:t>
      </w:r>
      <w:r>
        <w:rPr>
          <w:rFonts w:hint="default" w:ascii="Times New Roman" w:hAnsi="Times New Roman" w:eastAsia="宋体" w:cs="Times New Roman"/>
          <w:color w:val="auto"/>
          <w:spacing w:val="0"/>
          <w:w w:val="100"/>
          <w:kern w:val="0"/>
          <w:position w:val="0"/>
          <w:sz w:val="24"/>
          <w:highlight w:val="none"/>
          <w:lang w:val="en-US" w:eastAsia="zh-CN"/>
        </w:rPr>
        <w:t>0</w:t>
      </w:r>
      <w:r>
        <w:rPr>
          <w:rFonts w:hint="default" w:ascii="Times New Roman" w:hAnsi="Times New Roman" w:eastAsia="宋体" w:cs="Times New Roman"/>
          <w:color w:val="auto"/>
          <w:spacing w:val="0"/>
          <w:w w:val="100"/>
          <w:kern w:val="0"/>
          <w:position w:val="0"/>
          <w:sz w:val="24"/>
          <w:highlight w:val="none"/>
        </w:rPr>
        <w:t>万元/年。本项目用水</w:t>
      </w:r>
      <w:r>
        <w:rPr>
          <w:rFonts w:hint="default" w:ascii="Times New Roman" w:hAnsi="Times New Roman" w:eastAsia="宋体" w:cs="Times New Roman"/>
          <w:color w:val="auto"/>
          <w:spacing w:val="0"/>
          <w:w w:val="100"/>
          <w:kern w:val="0"/>
          <w:position w:val="0"/>
          <w:sz w:val="24"/>
          <w:highlight w:val="none"/>
          <w:lang w:eastAsia="zh-CN"/>
        </w:rPr>
        <w:t>由项目打井</w:t>
      </w:r>
      <w:r>
        <w:rPr>
          <w:rFonts w:hint="default" w:ascii="Times New Roman" w:hAnsi="Times New Roman" w:eastAsia="宋体" w:cs="Times New Roman"/>
          <w:color w:val="auto"/>
          <w:spacing w:val="0"/>
          <w:w w:val="100"/>
          <w:kern w:val="0"/>
          <w:position w:val="0"/>
          <w:sz w:val="24"/>
          <w:highlight w:val="none"/>
        </w:rPr>
        <w:t>提供，用电由</w:t>
      </w:r>
      <w:r>
        <w:rPr>
          <w:rFonts w:hint="default" w:ascii="Times New Roman" w:hAnsi="Times New Roman" w:eastAsia="宋体" w:cs="Times New Roman"/>
          <w:b w:val="0"/>
          <w:bCs w:val="0"/>
          <w:color w:val="auto"/>
          <w:spacing w:val="0"/>
          <w:w w:val="100"/>
          <w:kern w:val="0"/>
          <w:position w:val="0"/>
          <w:sz w:val="24"/>
          <w:szCs w:val="24"/>
          <w:lang w:val="en-US" w:eastAsia="zh-CN"/>
        </w:rPr>
        <w:t>乡镇电网接入</w:t>
      </w:r>
      <w:r>
        <w:rPr>
          <w:rFonts w:hint="default" w:ascii="Times New Roman" w:hAnsi="Times New Roman" w:eastAsia="宋体" w:cs="Times New Roman"/>
          <w:color w:val="auto"/>
          <w:spacing w:val="0"/>
          <w:w w:val="100"/>
          <w:kern w:val="0"/>
          <w:position w:val="0"/>
          <w:sz w:val="24"/>
          <w:highlight w:val="none"/>
        </w:rPr>
        <w:t>统一供应，资源消耗量相对较小，占区域资源量也较小，整体对对周围环境影响不大。</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33" w:name="_Toc14332"/>
      <w:bookmarkStart w:id="1134" w:name="_Toc27973"/>
      <w:bookmarkStart w:id="1135" w:name="_Toc24382"/>
      <w:r>
        <w:rPr>
          <w:rFonts w:hint="default" w:ascii="Times New Roman" w:hAnsi="Times New Roman" w:eastAsia="宋体" w:cs="Times New Roman"/>
          <w:snapToGrid w:val="0"/>
          <w:color w:val="auto"/>
          <w:spacing w:val="0"/>
          <w:w w:val="100"/>
          <w:kern w:val="0"/>
          <w:position w:val="0"/>
          <w:sz w:val="28"/>
          <w:szCs w:val="28"/>
          <w:highlight w:val="none"/>
          <w:lang w:val="en-US" w:eastAsia="zh-CN"/>
        </w:rPr>
        <w:t>8.2.2环境影响损失</w:t>
      </w:r>
      <w:bookmarkEnd w:id="1133"/>
      <w:bookmarkEnd w:id="1134"/>
      <w:bookmarkEnd w:id="1135"/>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⑴正常运营环境影响损失</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正常运营过程中，本项目产生的主要污染物分别经过相应的治理设施处理后达标排放。</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bCs/>
          <w:color w:val="auto"/>
          <w:spacing w:val="0"/>
          <w:w w:val="100"/>
          <w:kern w:val="0"/>
          <w:position w:val="0"/>
          <w:sz w:val="24"/>
          <w:highlight w:val="none"/>
        </w:rPr>
        <w:t>对</w:t>
      </w:r>
      <w:r>
        <w:rPr>
          <w:rFonts w:hint="eastAsia" w:ascii="Times New Roman" w:hAnsi="Times New Roman" w:cs="Times New Roman"/>
          <w:bCs/>
          <w:color w:val="auto"/>
          <w:spacing w:val="0"/>
          <w:w w:val="100"/>
          <w:kern w:val="0"/>
          <w:position w:val="0"/>
          <w:sz w:val="24"/>
          <w:highlight w:val="none"/>
          <w:lang w:eastAsia="zh-CN"/>
        </w:rPr>
        <w:t>牛舍</w:t>
      </w:r>
      <w:r>
        <w:rPr>
          <w:rFonts w:hint="default" w:ascii="Times New Roman" w:hAnsi="Times New Roman" w:eastAsia="宋体" w:cs="Times New Roman"/>
          <w:bCs/>
          <w:color w:val="auto"/>
          <w:spacing w:val="0"/>
          <w:w w:val="100"/>
          <w:kern w:val="0"/>
          <w:position w:val="0"/>
          <w:sz w:val="24"/>
          <w:highlight w:val="none"/>
        </w:rPr>
        <w:t>定期喷洒除臭剂，牛粪及时清理，减少恶臭污染物的蓄积</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bCs/>
          <w:color w:val="auto"/>
          <w:spacing w:val="0"/>
          <w:w w:val="100"/>
          <w:kern w:val="0"/>
          <w:position w:val="0"/>
          <w:sz w:val="24"/>
          <w:highlight w:val="none"/>
        </w:rPr>
        <w:t>科学合理调控饲粮等措施降低恶臭气体产生，</w:t>
      </w:r>
      <w:r>
        <w:rPr>
          <w:rFonts w:hint="default" w:ascii="Times New Roman" w:hAnsi="Times New Roman" w:eastAsia="宋体" w:cs="Times New Roman"/>
          <w:color w:val="auto"/>
          <w:spacing w:val="0"/>
          <w:w w:val="100"/>
          <w:kern w:val="0"/>
          <w:position w:val="0"/>
          <w:sz w:val="24"/>
          <w:highlight w:val="none"/>
        </w:rPr>
        <w:t>从源头减缓恶臭，同时加强厂区绿化。</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项目产生噪声较大的设备如</w:t>
      </w:r>
      <w:r>
        <w:rPr>
          <w:rFonts w:hint="default" w:ascii="Times New Roman" w:hAnsi="Times New Roman" w:eastAsia="宋体" w:cs="Times New Roman"/>
          <w:color w:val="auto"/>
          <w:spacing w:val="0"/>
          <w:w w:val="100"/>
          <w:kern w:val="0"/>
          <w:position w:val="0"/>
          <w:sz w:val="24"/>
          <w:szCs w:val="22"/>
          <w:highlight w:val="none"/>
        </w:rPr>
        <w:t>饲料配料混合设备、粉碎机、沼气锅炉</w:t>
      </w:r>
      <w:r>
        <w:rPr>
          <w:rFonts w:hint="default" w:ascii="Times New Roman" w:hAnsi="Times New Roman" w:eastAsia="宋体" w:cs="Times New Roman"/>
          <w:color w:val="auto"/>
          <w:spacing w:val="0"/>
          <w:w w:val="100"/>
          <w:kern w:val="0"/>
          <w:position w:val="0"/>
          <w:sz w:val="24"/>
          <w:highlight w:val="none"/>
          <w:lang w:val="zh-CN"/>
        </w:rPr>
        <w:t>、泵、风机</w:t>
      </w:r>
      <w:r>
        <w:rPr>
          <w:rFonts w:hint="default" w:ascii="Times New Roman" w:hAnsi="Times New Roman" w:eastAsia="宋体" w:cs="Times New Roman"/>
          <w:color w:val="auto"/>
          <w:spacing w:val="0"/>
          <w:w w:val="100"/>
          <w:kern w:val="0"/>
          <w:position w:val="0"/>
          <w:sz w:val="24"/>
          <w:highlight w:val="none"/>
        </w:rPr>
        <w:t>等产生的噪声，均采取消音和减振等措施。</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牛粪</w:t>
      </w:r>
      <w:r>
        <w:rPr>
          <w:rFonts w:hint="default" w:ascii="Times New Roman" w:hAnsi="Times New Roman" w:eastAsia="宋体" w:cs="Times New Roman"/>
          <w:color w:val="auto"/>
          <w:spacing w:val="0"/>
          <w:w w:val="100"/>
          <w:kern w:val="0"/>
          <w:position w:val="0"/>
          <w:sz w:val="24"/>
          <w:highlight w:val="none"/>
          <w:lang w:eastAsia="zh-CN"/>
        </w:rPr>
        <w:t>外售本地有机肥厂</w:t>
      </w:r>
      <w:r>
        <w:rPr>
          <w:rFonts w:hint="default" w:ascii="Times New Roman" w:hAnsi="Times New Roman" w:eastAsia="宋体" w:cs="Times New Roman"/>
          <w:color w:val="auto"/>
          <w:spacing w:val="0"/>
          <w:w w:val="100"/>
          <w:kern w:val="0"/>
          <w:position w:val="0"/>
          <w:sz w:val="24"/>
          <w:highlight w:val="none"/>
        </w:rPr>
        <w:t>生产有机肥，污水经处理达标后全部用于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highlight w:val="none"/>
        </w:rPr>
        <w:t>，因此牛粪及污水均可实现无害化处理。</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如果对环境保护设施进行完善的管理，保证设施正常运行，使污染物达标排放，则对周围环境影响不大。达标排放的污染物不超出周围环境的自净能力，基本不造成经济损失。</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⑵事故性环境影响损失</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项目运营过程如发生突发事故，使产生污染物的量或种类超出本项目环境保护设施的处理范围，导致污染物直接排放时，则将对周围环境造成影响，产生较大的环境经济损失。</w:t>
      </w:r>
    </w:p>
    <w:p>
      <w:pPr>
        <w:pStyle w:val="32"/>
        <w:widowControl w:val="0"/>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事故性环境影响经济损失主要包括受污染环境的治理费用以及由于环境受污染导致的生态破坏和其它影响等。</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36" w:name="_Toc32073"/>
      <w:bookmarkStart w:id="1137" w:name="_Toc17681"/>
      <w:bookmarkStart w:id="1138" w:name="_Toc1713"/>
      <w:bookmarkStart w:id="1139" w:name="_Toc14044"/>
      <w:bookmarkStart w:id="1140" w:name="_Toc4968"/>
      <w:bookmarkStart w:id="1141" w:name="_Toc22482"/>
      <w:bookmarkStart w:id="1142" w:name="_Toc19530"/>
      <w:r>
        <w:rPr>
          <w:rFonts w:hint="default" w:ascii="Times New Roman" w:hAnsi="Times New Roman" w:eastAsia="宋体" w:cs="Times New Roman"/>
          <w:snapToGrid w:val="0"/>
          <w:color w:val="auto"/>
          <w:spacing w:val="0"/>
          <w:w w:val="100"/>
          <w:kern w:val="0"/>
          <w:position w:val="0"/>
          <w:highlight w:val="none"/>
          <w:lang w:val="en-US" w:eastAsia="zh-CN"/>
        </w:rPr>
        <w:t>8.3</w:t>
      </w:r>
      <w:bookmarkEnd w:id="1136"/>
      <w:bookmarkStart w:id="1143" w:name="_Toc25336"/>
      <w:r>
        <w:rPr>
          <w:rFonts w:hint="default" w:ascii="Times New Roman" w:hAnsi="Times New Roman" w:eastAsia="宋体" w:cs="Times New Roman"/>
          <w:snapToGrid w:val="0"/>
          <w:color w:val="auto"/>
          <w:spacing w:val="0"/>
          <w:w w:val="100"/>
          <w:kern w:val="0"/>
          <w:position w:val="0"/>
          <w:highlight w:val="none"/>
          <w:lang w:val="en-US" w:eastAsia="zh-CN"/>
        </w:rPr>
        <w:t>社会效益分析</w:t>
      </w:r>
      <w:bookmarkEnd w:id="1137"/>
      <w:bookmarkEnd w:id="1138"/>
      <w:bookmarkEnd w:id="1139"/>
      <w:bookmarkEnd w:id="1140"/>
      <w:bookmarkEnd w:id="1141"/>
      <w:bookmarkEnd w:id="1142"/>
      <w:bookmarkEnd w:id="1143"/>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本项目建设符合国家有关产业政策，顺应国内外市场发展的需要，符合当地国民经济发展和产业规划，该项目的建设，将带来多方面的社会综合效益，主要体现在如下：</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⑴对当地畜牧业发展的影响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本项目建设完成后，可带动周边农户发展奶牛养殖，对当地的经济和畜牧业发展起着极大的推动作用。</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⑵对当地种植业发展的影响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本项目建设成后，将需要大量的饲料及青贮饲料，使当地及周边农户种植的饲料作物有了可靠的销售渠道及较高的价位，提高种植经济效益，促进农民增收，提高农民对养殖业的信心和积极性。</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⑶对当地及周边居民的影响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随着我国经济体制改革的深化，城乡经济蓬勃发展，在广大人民群众温饱解决以后，便进一步要求改善人们日常生活中的食物结构，增加肉、奶在食物中的比重。本项目通过种养模式调整农业结构，发展畜牧养殖业，延长农业产业链条，实现产供销一体化，改善城乡群众的膳食结构，就是一条能够实现畜牧产业发展与农业增效和农民增收相统一的行之有效的途径。</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⑷对当地就业的影响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本项目建成后，提供</w:t>
      </w:r>
      <w:r>
        <w:rPr>
          <w:rFonts w:hint="default" w:ascii="Times New Roman" w:hAnsi="Times New Roman" w:cs="Times New Roman"/>
          <w:color w:val="auto"/>
          <w:spacing w:val="0"/>
          <w:w w:val="100"/>
          <w:kern w:val="0"/>
          <w:position w:val="0"/>
          <w:sz w:val="24"/>
          <w:highlight w:val="none"/>
          <w:lang w:val="en-US" w:eastAsia="zh-CN"/>
        </w:rPr>
        <w:t>6</w:t>
      </w:r>
      <w:r>
        <w:rPr>
          <w:rFonts w:hint="default" w:ascii="Times New Roman" w:hAnsi="Times New Roman" w:eastAsia="宋体" w:cs="Times New Roman"/>
          <w:color w:val="auto"/>
          <w:spacing w:val="0"/>
          <w:w w:val="100"/>
          <w:kern w:val="0"/>
          <w:position w:val="0"/>
          <w:sz w:val="24"/>
          <w:highlight w:val="none"/>
          <w:lang w:val="en-US" w:eastAsia="zh-CN"/>
        </w:rPr>
        <w:t>0</w:t>
      </w:r>
      <w:r>
        <w:rPr>
          <w:rFonts w:hint="default" w:ascii="Times New Roman" w:hAnsi="Times New Roman" w:eastAsia="宋体" w:cs="Times New Roman"/>
          <w:color w:val="auto"/>
          <w:spacing w:val="0"/>
          <w:w w:val="100"/>
          <w:kern w:val="0"/>
          <w:position w:val="0"/>
          <w:sz w:val="24"/>
          <w:highlight w:val="none"/>
        </w:rPr>
        <w:t>个工作岗位，为解决当地就业问题也起着一定的积极作用。</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综上分析，项目社会效益十分突出。</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44" w:name="_Toc24153"/>
      <w:bookmarkStart w:id="1145" w:name="_Toc27925"/>
      <w:bookmarkStart w:id="1146" w:name="_Toc13524"/>
      <w:bookmarkStart w:id="1147" w:name="_Toc26984"/>
      <w:bookmarkStart w:id="1148" w:name="_Toc28033"/>
      <w:bookmarkStart w:id="1149" w:name="_Toc20610"/>
      <w:bookmarkStart w:id="1150" w:name="_Toc25009"/>
      <w:r>
        <w:rPr>
          <w:rFonts w:hint="default" w:ascii="Times New Roman" w:hAnsi="Times New Roman" w:eastAsia="宋体" w:cs="Times New Roman"/>
          <w:snapToGrid w:val="0"/>
          <w:color w:val="auto"/>
          <w:spacing w:val="0"/>
          <w:w w:val="100"/>
          <w:kern w:val="0"/>
          <w:position w:val="0"/>
          <w:highlight w:val="none"/>
          <w:lang w:val="en-US" w:eastAsia="zh-CN"/>
        </w:rPr>
        <w:t>8.4经济效益</w:t>
      </w:r>
      <w:bookmarkEnd w:id="1144"/>
      <w:bookmarkEnd w:id="1145"/>
      <w:bookmarkEnd w:id="1146"/>
      <w:bookmarkEnd w:id="1147"/>
      <w:bookmarkEnd w:id="1148"/>
      <w:bookmarkEnd w:id="1149"/>
      <w:bookmarkEnd w:id="1150"/>
    </w:p>
    <w:p>
      <w:pPr>
        <w:widowControl w:val="0"/>
        <w:pBdr>
          <w:top w:val="none" w:color="auto" w:sz="0" w:space="1"/>
          <w:left w:val="none" w:color="auto" w:sz="0" w:space="4"/>
          <w:bottom w:val="none" w:color="auto" w:sz="0" w:space="1"/>
          <w:right w:val="none" w:color="auto" w:sz="0" w:space="4"/>
        </w:pBd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项目总投资为</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rPr>
        <w:t>，工程建成后年销售收入可达</w:t>
      </w:r>
      <w:r>
        <w:rPr>
          <w:rFonts w:hint="default" w:ascii="Times New Roman" w:hAnsi="Times New Roman" w:cs="Times New Roman"/>
          <w:color w:val="auto"/>
          <w:spacing w:val="0"/>
          <w:w w:val="100"/>
          <w:kern w:val="0"/>
          <w:position w:val="0"/>
          <w:sz w:val="24"/>
          <w:highlight w:val="none"/>
          <w:lang w:val="en-US" w:eastAsia="zh-CN"/>
        </w:rPr>
        <w:t>9000</w:t>
      </w:r>
      <w:r>
        <w:rPr>
          <w:rFonts w:hint="default" w:ascii="Times New Roman" w:hAnsi="Times New Roman" w:eastAsia="宋体" w:cs="Times New Roman"/>
          <w:color w:val="auto"/>
          <w:spacing w:val="0"/>
          <w:w w:val="100"/>
          <w:kern w:val="0"/>
          <w:position w:val="0"/>
          <w:sz w:val="24"/>
          <w:highlight w:val="none"/>
        </w:rPr>
        <w:t>万元，</w:t>
      </w:r>
      <w:r>
        <w:rPr>
          <w:rFonts w:hint="default" w:ascii="Times New Roman" w:hAnsi="Times New Roman" w:eastAsia="宋体" w:cs="Times New Roman"/>
          <w:color w:val="auto"/>
          <w:spacing w:val="0"/>
          <w:w w:val="100"/>
          <w:kern w:val="0"/>
          <w:position w:val="0"/>
          <w:sz w:val="24"/>
          <w:highlight w:val="none"/>
          <w:lang w:eastAsia="zh-CN"/>
        </w:rPr>
        <w:t>动态</w:t>
      </w:r>
      <w:r>
        <w:rPr>
          <w:rFonts w:hint="default" w:ascii="Times New Roman" w:hAnsi="Times New Roman" w:eastAsia="宋体" w:cs="Times New Roman"/>
          <w:color w:val="auto"/>
          <w:spacing w:val="0"/>
          <w:w w:val="100"/>
          <w:kern w:val="0"/>
          <w:position w:val="0"/>
          <w:sz w:val="24"/>
          <w:highlight w:val="none"/>
        </w:rPr>
        <w:t>投资回收期为</w:t>
      </w:r>
      <w:r>
        <w:rPr>
          <w:rFonts w:hint="default" w:ascii="Times New Roman" w:hAnsi="Times New Roman" w:eastAsia="宋体" w:cs="Times New Roman"/>
          <w:color w:val="auto"/>
          <w:spacing w:val="0"/>
          <w:w w:val="100"/>
          <w:kern w:val="0"/>
          <w:position w:val="0"/>
          <w:sz w:val="24"/>
          <w:highlight w:val="none"/>
          <w:lang w:val="en-US" w:eastAsia="zh-CN"/>
        </w:rPr>
        <w:t>4.5a</w:t>
      </w:r>
      <w:r>
        <w:rPr>
          <w:rFonts w:hint="default" w:ascii="Times New Roman" w:hAnsi="Times New Roman" w:eastAsia="宋体" w:cs="Times New Roman"/>
          <w:color w:val="auto"/>
          <w:spacing w:val="0"/>
          <w:w w:val="100"/>
          <w:kern w:val="0"/>
          <w:position w:val="0"/>
          <w:sz w:val="24"/>
          <w:highlight w:val="none"/>
        </w:rPr>
        <w:t>。从以上经济指标可以看出，本项目具有显著的经济效益和一定的抗风险能力，从经济效益角度讲是可行的。</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51" w:name="_Toc2767"/>
      <w:bookmarkStart w:id="1152" w:name="_Toc28669"/>
      <w:bookmarkStart w:id="1153" w:name="_Toc22337"/>
      <w:bookmarkStart w:id="1154" w:name="_Toc31446"/>
      <w:bookmarkStart w:id="1155" w:name="_Toc4550"/>
      <w:bookmarkStart w:id="1156" w:name="_Toc23736"/>
      <w:bookmarkStart w:id="1157" w:name="_Toc16360"/>
      <w:r>
        <w:rPr>
          <w:rFonts w:hint="default" w:ascii="Times New Roman" w:hAnsi="Times New Roman" w:eastAsia="宋体" w:cs="Times New Roman"/>
          <w:snapToGrid w:val="0"/>
          <w:color w:val="auto"/>
          <w:spacing w:val="0"/>
          <w:w w:val="100"/>
          <w:kern w:val="0"/>
          <w:position w:val="0"/>
          <w:highlight w:val="none"/>
          <w:lang w:val="en-US" w:eastAsia="zh-CN"/>
        </w:rPr>
        <w:t>8.</w:t>
      </w:r>
      <w:bookmarkEnd w:id="1151"/>
      <w:r>
        <w:rPr>
          <w:rFonts w:hint="default" w:ascii="Times New Roman" w:hAnsi="Times New Roman" w:eastAsia="宋体" w:cs="Times New Roman"/>
          <w:snapToGrid w:val="0"/>
          <w:color w:val="auto"/>
          <w:spacing w:val="0"/>
          <w:w w:val="100"/>
          <w:kern w:val="0"/>
          <w:position w:val="0"/>
          <w:highlight w:val="none"/>
          <w:lang w:val="en-US" w:eastAsia="zh-CN"/>
        </w:rPr>
        <w:t>5环境效益分析</w:t>
      </w:r>
      <w:bookmarkEnd w:id="1152"/>
      <w:bookmarkEnd w:id="1153"/>
      <w:bookmarkEnd w:id="1154"/>
      <w:bookmarkEnd w:id="1155"/>
      <w:bookmarkEnd w:id="1156"/>
      <w:bookmarkEnd w:id="1157"/>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本项目本身的实施会对环境有一定的影响，但采取环境保护措施后可使污染物排放大大减少，对环境影响轻微。具体有以下几个方面：</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⑴牛粪、污水实现全部无害化处理</w:t>
      </w:r>
    </w:p>
    <w:p>
      <w:pPr>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牛粪</w:t>
      </w:r>
      <w:r>
        <w:rPr>
          <w:rFonts w:hint="eastAsia" w:ascii="Times New Roman" w:hAnsi="Times New Roman" w:cs="Times New Roman"/>
          <w:color w:val="auto"/>
          <w:spacing w:val="0"/>
          <w:w w:val="100"/>
          <w:kern w:val="0"/>
          <w:position w:val="0"/>
          <w:sz w:val="24"/>
          <w:szCs w:val="22"/>
          <w:highlight w:val="none"/>
          <w:lang w:eastAsia="zh-CN"/>
        </w:rPr>
        <w:t>出售给周边农户，还田利用</w:t>
      </w:r>
      <w:r>
        <w:rPr>
          <w:rFonts w:hint="default" w:ascii="Times New Roman" w:hAnsi="Times New Roman" w:eastAsia="宋体" w:cs="Times New Roman"/>
          <w:color w:val="auto"/>
          <w:spacing w:val="0"/>
          <w:w w:val="100"/>
          <w:kern w:val="0"/>
          <w:position w:val="0"/>
          <w:sz w:val="24"/>
          <w:highlight w:val="none"/>
        </w:rPr>
        <w:t>，污水经处理达标后全部用于</w:t>
      </w:r>
      <w:r>
        <w:rPr>
          <w:rFonts w:hint="eastAsia" w:ascii="Times New Roman" w:hAnsi="Times New Roman" w:cs="Times New Roman"/>
          <w:bCs/>
          <w:color w:val="auto"/>
          <w:spacing w:val="0"/>
          <w:w w:val="100"/>
          <w:kern w:val="0"/>
          <w:position w:val="0"/>
          <w:sz w:val="24"/>
          <w:szCs w:val="24"/>
          <w:highlight w:val="none"/>
          <w:lang w:eastAsia="zh-CN"/>
        </w:rPr>
        <w:t>周边农田灌溉</w:t>
      </w:r>
      <w:r>
        <w:rPr>
          <w:rFonts w:hint="default" w:ascii="Times New Roman" w:hAnsi="Times New Roman" w:eastAsia="宋体" w:cs="Times New Roman"/>
          <w:color w:val="auto"/>
          <w:spacing w:val="0"/>
          <w:w w:val="100"/>
          <w:kern w:val="0"/>
          <w:position w:val="0"/>
          <w:sz w:val="24"/>
          <w:highlight w:val="none"/>
        </w:rPr>
        <w:t>，因此牛粪及污水均可实现无害化处理。</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⑵产生了经济效益</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 w:val="24"/>
          <w:highlight w:val="none"/>
        </w:rPr>
        <w:t>本项目运营过程中粪污</w:t>
      </w:r>
      <w:r>
        <w:rPr>
          <w:rFonts w:hint="eastAsia" w:ascii="Times New Roman" w:hAnsi="Times New Roman" w:cs="Times New Roman"/>
          <w:color w:val="auto"/>
          <w:spacing w:val="0"/>
          <w:w w:val="100"/>
          <w:kern w:val="0"/>
          <w:position w:val="0"/>
          <w:sz w:val="24"/>
          <w:szCs w:val="22"/>
          <w:highlight w:val="none"/>
          <w:lang w:eastAsia="zh-CN"/>
        </w:rPr>
        <w:t>出售给周边农户，还田利用</w:t>
      </w:r>
      <w:r>
        <w:rPr>
          <w:rFonts w:hint="default" w:ascii="Times New Roman" w:hAnsi="Times New Roman" w:eastAsia="宋体" w:cs="Times New Roman"/>
          <w:color w:val="auto"/>
          <w:spacing w:val="0"/>
          <w:w w:val="100"/>
          <w:kern w:val="0"/>
          <w:position w:val="0"/>
          <w:sz w:val="24"/>
          <w:highlight w:val="none"/>
        </w:rPr>
        <w:t>，既做到了资源的合理综合利用，创造了经济效益。</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158" w:name="_Toc11002"/>
      <w:bookmarkStart w:id="1159" w:name="_Toc6487"/>
      <w:bookmarkStart w:id="1160" w:name="_Toc6186"/>
      <w:bookmarkStart w:id="1161" w:name="_Toc1290"/>
      <w:bookmarkStart w:id="1162" w:name="_Toc21471"/>
      <w:bookmarkStart w:id="1163" w:name="_Toc9867"/>
      <w:r>
        <w:rPr>
          <w:rFonts w:hint="default" w:ascii="Times New Roman" w:hAnsi="Times New Roman" w:eastAsia="宋体" w:cs="Times New Roman"/>
          <w:snapToGrid w:val="0"/>
          <w:color w:val="auto"/>
          <w:spacing w:val="0"/>
          <w:w w:val="100"/>
          <w:kern w:val="0"/>
          <w:position w:val="0"/>
          <w:highlight w:val="none"/>
          <w:lang w:val="en-US" w:eastAsia="zh-CN"/>
        </w:rPr>
        <w:t>8.6环境经济效益综合评述</w:t>
      </w:r>
      <w:bookmarkEnd w:id="1158"/>
      <w:bookmarkEnd w:id="1159"/>
      <w:bookmarkEnd w:id="1160"/>
      <w:bookmarkEnd w:id="1161"/>
      <w:bookmarkEnd w:id="1162"/>
      <w:bookmarkEnd w:id="1163"/>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⑴本项目建成后，不仅增加了地方的财政收入，而且还能为企业积累大量资金，经济效益较好。</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⑵拟建工程完成后，增强了企业的生存竞争能力，促进了当地的经济发展并通过一系列的环境保护和生态恢复措施缓解了对区域的环境污染，增加了当地农牧民的经济收入，提高了公众的生活质量，维持了社会稳定，社会效益较好。</w:t>
      </w:r>
    </w:p>
    <w:p>
      <w:pPr>
        <w:pStyle w:val="12"/>
        <w:adjustRightInd w:val="0"/>
        <w:snapToGrid w:val="0"/>
        <w:spacing w:after="0"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⑶本项目在严格落实环评提出的各项污染防治措施后，能够保证达标排放，对环境影响轻微。</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2"/>
          <w:highlight w:val="none"/>
        </w:rPr>
        <w:t>通过对本项目在经济效益、环境效益和社会效益三方面的分析，可以看出，本项目的建设能够达到</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三效益</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的和谐统一发展，项目是可行的。</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lang w:eastAsia="zh-CN"/>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1164" w:name="_Toc10968"/>
      <w:bookmarkStart w:id="1165" w:name="_Toc3191"/>
      <w:bookmarkStart w:id="1166" w:name="_Toc5880"/>
      <w:bookmarkStart w:id="1167" w:name="_Toc14743"/>
      <w:bookmarkStart w:id="1168" w:name="_Toc12979"/>
      <w:bookmarkStart w:id="1169" w:name="_Toc16676"/>
      <w:bookmarkStart w:id="1170" w:name="_Toc14034"/>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9环境管理与监测计划</w:t>
      </w:r>
      <w:bookmarkEnd w:id="1164"/>
      <w:bookmarkEnd w:id="1165"/>
      <w:bookmarkEnd w:id="1166"/>
      <w:bookmarkEnd w:id="1167"/>
      <w:bookmarkEnd w:id="1168"/>
      <w:bookmarkEnd w:id="1169"/>
      <w:bookmarkEnd w:id="1170"/>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健全有效的环境管理与监控计划是搞好环境保护工作的基础。环境管理的目的是应用环境科学的理论和实践，对损害或破坏环境质量的人及其活动施加影响，以协调发展与环境保护之间的关系。因此，为确保本项目在建设期、运营期各阶段执行并遵守有关环保法规，建设单位需对环境管理工作予以重视，以确保各项治理措施正常有效地运行。</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环境保护管理与监控计划用于指导从项目设计、施工到运行阶段的环境保护工作，同时进行系统的环境监测，了解工程影响区域生态与环境系统变化规律，全面地反映环境质量现状及工程设施运转后环境情况，以验证和复核环境影响评价结果，预测其发展趋势，掌握污染源动态，及时发现潜在的不利影响，以便及时采取有效的减免措施。</w:t>
      </w:r>
    </w:p>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1171" w:name="_Toc18586"/>
      <w:bookmarkStart w:id="1172" w:name="_Toc6185"/>
      <w:bookmarkStart w:id="1173" w:name="_Toc11377"/>
      <w:bookmarkStart w:id="1174" w:name="_Toc3632"/>
      <w:bookmarkStart w:id="1175" w:name="_Toc6165"/>
      <w:bookmarkStart w:id="1176" w:name="_Toc20197"/>
      <w:bookmarkStart w:id="1177" w:name="_Toc29819"/>
      <w:r>
        <w:rPr>
          <w:rFonts w:hint="default" w:ascii="Times New Roman" w:hAnsi="Times New Roman" w:eastAsia="宋体" w:cs="Times New Roman"/>
          <w:snapToGrid w:val="0"/>
          <w:color w:val="auto"/>
          <w:spacing w:val="0"/>
          <w:w w:val="100"/>
          <w:kern w:val="0"/>
          <w:position w:val="0"/>
          <w:highlight w:val="none"/>
          <w:lang w:val="en-US" w:eastAsia="zh-CN"/>
        </w:rPr>
        <w:t>9.1环境管理</w:t>
      </w:r>
      <w:bookmarkEnd w:id="1171"/>
      <w:bookmarkEnd w:id="1172"/>
      <w:bookmarkEnd w:id="1173"/>
      <w:bookmarkEnd w:id="1174"/>
      <w:bookmarkEnd w:id="1175"/>
      <w:bookmarkEnd w:id="1176"/>
      <w:bookmarkEnd w:id="1177"/>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进入运营期后，要将环境管理纳入厂区管理的体系中。环境管理机构的设置，目的是为了贯彻执行中华人民共和国环境保护法的有关法律、法规，全面落实《国务院关于环境保护若干问题的决定》的有关规定，对项目</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三废</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排放实行监控，确保建设项目经济、环境和社会效益协调发展；协调地方环保部门工作，为企业的生产管理和环境管理提供保证，针对拟建项目的具体情况，为加强严格管理，企业应设置环境管理机构，并尽相应的职责。通过严格的环境管理，才能严格执行环评中提出的各项环保措施，真正达到保护环境的目的。</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78" w:name="_Toc27456"/>
      <w:bookmarkStart w:id="1179" w:name="_Toc19962"/>
      <w:bookmarkStart w:id="1180" w:name="_Toc6160"/>
      <w:bookmarkStart w:id="1181" w:name="_Toc10467"/>
      <w:r>
        <w:rPr>
          <w:rFonts w:hint="default" w:ascii="Times New Roman" w:hAnsi="Times New Roman" w:eastAsia="宋体" w:cs="Times New Roman"/>
          <w:snapToGrid w:val="0"/>
          <w:color w:val="auto"/>
          <w:spacing w:val="0"/>
          <w:w w:val="100"/>
          <w:kern w:val="0"/>
          <w:position w:val="0"/>
          <w:sz w:val="28"/>
          <w:szCs w:val="28"/>
          <w:highlight w:val="none"/>
          <w:lang w:val="en-US" w:eastAsia="zh-CN"/>
        </w:rPr>
        <w:t>9.1.1总体指导原则</w:t>
      </w:r>
      <w:bookmarkEnd w:id="1178"/>
      <w:bookmarkEnd w:id="1179"/>
      <w:bookmarkEnd w:id="1180"/>
      <w:bookmarkEnd w:id="1181"/>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环境管理的总体指导原则包括如下几点：</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⑴项目的设计应得到充分论证，使项目实施后尽可能地避免或减少在工程建设和运行中对环境带来的不利影响。当这种影响不可避免时，应采取技术经济可行的工程措施加以减缓。</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⑵项目的不利影响的防治，应由一系列的具体的措施和环境管理计划组成，这些措施和计划用来消除、抵消或减少施工和运行期间的不利于环境的影响。</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⑶环境保护措施应包括施工期和运行后的保护措施，并对常规情况和突发情况分别提出不同的保护措施和挽回不利影响的方法。</w:t>
      </w:r>
    </w:p>
    <w:p>
      <w:pPr>
        <w:widowControl w:val="0"/>
        <w:pBdr>
          <w:top w:val="none" w:color="auto" w:sz="0" w:space="1"/>
          <w:left w:val="none" w:color="auto" w:sz="0" w:space="4"/>
          <w:bottom w:val="none" w:color="auto" w:sz="0" w:space="1"/>
          <w:right w:val="none" w:color="auto" w:sz="0" w:space="4"/>
        </w:pBd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⑷环境管理计划应制定出机构上的安排以及执行各种防治措施的职责、实施进度、监测内容和报告程序以及资金投入和来源等内容。</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82" w:name="_Toc2503"/>
      <w:bookmarkStart w:id="1183" w:name="_Toc22765"/>
      <w:bookmarkStart w:id="1184" w:name="_Toc5982"/>
      <w:bookmarkStart w:id="1185" w:name="_Toc17754"/>
      <w:r>
        <w:rPr>
          <w:rFonts w:hint="default" w:ascii="Times New Roman" w:hAnsi="Times New Roman" w:eastAsia="宋体" w:cs="Times New Roman"/>
          <w:snapToGrid w:val="0"/>
          <w:color w:val="auto"/>
          <w:spacing w:val="0"/>
          <w:w w:val="100"/>
          <w:kern w:val="0"/>
          <w:position w:val="0"/>
          <w:sz w:val="28"/>
          <w:szCs w:val="28"/>
          <w:highlight w:val="none"/>
          <w:lang w:val="en-US" w:eastAsia="zh-CN"/>
        </w:rPr>
        <w:t>9.1.2环境管理体系</w:t>
      </w:r>
      <w:bookmarkEnd w:id="1182"/>
      <w:bookmarkEnd w:id="1183"/>
      <w:bookmarkEnd w:id="1184"/>
      <w:bookmarkEnd w:id="1185"/>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环境管理体系应作为企业管理体系中的一部分，并与之协调统一。项目实施后将成为独立的法人单位，并实行以</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一人主管，分工负责；职能部门，各负其责；落实基层，监督考核</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为原则，以企业领导为核心，相关职能部门为基础的全员责任制的环境管理体系。使环境管理贯穿于企业管理的整个过程，并落实到企业的各个层次，分解到生产的各个环节，把企业管理与环境管理紧密地结合起来，不但要建立完善的企业管理体系和各总规章制度，也要建立完善的环境管理体系和各总规章制度，使企业的环境管理工作真正落到实处。</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86" w:name="_Toc16424"/>
      <w:bookmarkStart w:id="1187" w:name="_Toc31420"/>
      <w:bookmarkStart w:id="1188" w:name="_Toc19852"/>
      <w:bookmarkStart w:id="1189" w:name="_Toc5135"/>
      <w:r>
        <w:rPr>
          <w:rFonts w:hint="default" w:ascii="Times New Roman" w:hAnsi="Times New Roman" w:eastAsia="宋体" w:cs="Times New Roman"/>
          <w:snapToGrid w:val="0"/>
          <w:color w:val="auto"/>
          <w:spacing w:val="0"/>
          <w:w w:val="100"/>
          <w:kern w:val="0"/>
          <w:position w:val="0"/>
          <w:sz w:val="28"/>
          <w:szCs w:val="28"/>
          <w:highlight w:val="none"/>
          <w:lang w:val="en-US" w:eastAsia="zh-CN"/>
        </w:rPr>
        <w:t>9.1.3环境管理机构设置</w:t>
      </w:r>
      <w:bookmarkEnd w:id="1186"/>
      <w:bookmarkEnd w:id="1187"/>
      <w:bookmarkEnd w:id="1188"/>
      <w:bookmarkEnd w:id="1189"/>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项目设专职环境保护管理人员，全面负责企业的环境保护管理工作，安全环保部内部建立计算机辅助管理系统，使之更好地利用经济、技术、行政和教育手段，对损害环境质量的生产活动加以限制，协调好企业经济发展与环境保护的关系，使经济效益、社会效益与环境效益相协调统一。工程运营后，环境管理机构由建设单位相应的环保部门负责，下设环境管理小组，负责环保措施的实施、环保设施运行以及日常环境管理监控工作，并受项目主管单位及环保局的监督和指导。</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90" w:name="_Toc9308"/>
      <w:bookmarkStart w:id="1191" w:name="_Toc4436"/>
      <w:bookmarkStart w:id="1192" w:name="_Toc4597"/>
      <w:bookmarkStart w:id="1193" w:name="_Toc15852"/>
      <w:r>
        <w:rPr>
          <w:rFonts w:hint="default" w:ascii="Times New Roman" w:hAnsi="Times New Roman" w:eastAsia="宋体" w:cs="Times New Roman"/>
          <w:snapToGrid w:val="0"/>
          <w:color w:val="auto"/>
          <w:spacing w:val="0"/>
          <w:w w:val="100"/>
          <w:kern w:val="0"/>
          <w:position w:val="0"/>
          <w:sz w:val="28"/>
          <w:szCs w:val="28"/>
          <w:highlight w:val="none"/>
          <w:lang w:val="en-US" w:eastAsia="zh-CN"/>
        </w:rPr>
        <w:t>9.1.4环境管理机构职责</w:t>
      </w:r>
      <w:bookmarkEnd w:id="1190"/>
      <w:bookmarkEnd w:id="1191"/>
      <w:bookmarkEnd w:id="1192"/>
      <w:bookmarkEnd w:id="1193"/>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环境保护管理机构的基本任务是负责组织、落实、监督本项目的环保工作。其主要职责如下：</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⑴贯彻、宣传国家、省及地方的各项环保方针、政策和法律法规，根据厂区的实际情况，编制环境保护规划和实施细则，并组织实施和监督实行；</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⑵制定本厂区的环保管理制度、环保技术经济政策、环境保护发展规划和年度实施计划；</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⑶监督检查本项目执行</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三同时</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规定的情况；</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⑷定期进行环保设备检查、维修和保养工作，确保环保设施长期、稳定、达标运转；</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⑸负责厂区环保设施的日常运行管理工作，制定事故防范措施，一旦发生事故，组织污染源调查及控制工作，并及时总结经验教训；</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⑹负责对厂区环保人员和居民进行环境保护教育，不断提高居民的环境意识和环保人员的业务素质；</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⑺负责向当地环保主管部门上报有关环保材料，贯彻环保主管部门下达的有关厂区环保工作的任务和要求；</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⑻组织宣传教育，与企业内部有关部门共同大力普及企业职工的环境法规及环境科学知识，提高职工的环境保护意识。宣传清洁生产理念，协同生产技术部门对生产设施进行技术改造，尽可能将污染控制在生产过程中。</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94" w:name="_Toc30172"/>
      <w:bookmarkStart w:id="1195" w:name="_Toc32545"/>
      <w:bookmarkStart w:id="1196" w:name="_Toc9211"/>
      <w:bookmarkStart w:id="1197" w:name="_Toc7244"/>
      <w:r>
        <w:rPr>
          <w:rFonts w:hint="default" w:ascii="Times New Roman" w:hAnsi="Times New Roman" w:eastAsia="宋体" w:cs="Times New Roman"/>
          <w:snapToGrid w:val="0"/>
          <w:color w:val="auto"/>
          <w:spacing w:val="0"/>
          <w:w w:val="100"/>
          <w:kern w:val="0"/>
          <w:position w:val="0"/>
          <w:sz w:val="28"/>
          <w:szCs w:val="28"/>
          <w:highlight w:val="none"/>
          <w:lang w:val="en-US" w:eastAsia="zh-CN"/>
        </w:rPr>
        <w:t>9.1.5环境管理制度</w:t>
      </w:r>
      <w:bookmarkEnd w:id="1194"/>
      <w:bookmarkEnd w:id="1195"/>
      <w:bookmarkEnd w:id="1196"/>
      <w:bookmarkEnd w:id="1197"/>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建设单位应制定一系列规章制度以促进环境保护工作，使环境保护工作规范化和程序化，并通过经济杠杆来保证环境保护管理制度的认真执行。根据需要，建议制定的环境保护工作条例有：</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⑴环境保护职责管理条例；</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⑵废水、废气、固体废物排放管理制度；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⑶处理装置日常运行管理制度；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⑷排污情况报告制度；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⑸污染事故处理制度；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⑹环保教育制度。</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⑺建议建设单位环保部门根据实际情况和上级主管部门以及环境保护部门的要求分别针对性地制订和完善上述环境管理制度，并严格执行。</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198" w:name="_Toc2201"/>
      <w:bookmarkStart w:id="1199" w:name="_Toc12021"/>
      <w:bookmarkStart w:id="1200" w:name="_Toc29797"/>
      <w:bookmarkStart w:id="1201" w:name="_Toc30271"/>
      <w:r>
        <w:rPr>
          <w:rFonts w:hint="default" w:ascii="Times New Roman" w:hAnsi="Times New Roman" w:eastAsia="宋体" w:cs="Times New Roman"/>
          <w:snapToGrid w:val="0"/>
          <w:color w:val="auto"/>
          <w:spacing w:val="0"/>
          <w:w w:val="100"/>
          <w:kern w:val="0"/>
          <w:position w:val="0"/>
          <w:sz w:val="28"/>
          <w:szCs w:val="28"/>
          <w:highlight w:val="none"/>
          <w:lang w:val="en-US" w:eastAsia="zh-CN"/>
        </w:rPr>
        <w:t>9.1.6环境管理目标</w:t>
      </w:r>
      <w:bookmarkEnd w:id="1198"/>
      <w:bookmarkEnd w:id="1199"/>
      <w:bookmarkEnd w:id="1200"/>
      <w:bookmarkEnd w:id="1201"/>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环境管理的主要目标是：控制污染物排放量，避免污染物对环境的危害。为了控制污染物的排放，应把环境管理渗透到整个厂区的管理中，将环境管理融合在一起，以减少厂区各个环境排出的污染物。</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本次环境影响评价针对项目特点、环境问题和主要污染物，分别提出了有效的污染防治措施，项目实施期间应认真落实，监督管理环保设施的运行情况，定期监测各污染物的排放浓度。</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02" w:name="_Toc11845"/>
      <w:bookmarkStart w:id="1203" w:name="_Toc14270"/>
      <w:bookmarkStart w:id="1204" w:name="_Toc11436"/>
      <w:bookmarkStart w:id="1205" w:name="_Toc7777"/>
      <w:r>
        <w:rPr>
          <w:rFonts w:hint="default" w:ascii="Times New Roman" w:hAnsi="Times New Roman" w:eastAsia="宋体" w:cs="Times New Roman"/>
          <w:snapToGrid w:val="0"/>
          <w:color w:val="auto"/>
          <w:spacing w:val="0"/>
          <w:w w:val="100"/>
          <w:kern w:val="0"/>
          <w:position w:val="0"/>
          <w:sz w:val="28"/>
          <w:szCs w:val="28"/>
          <w:highlight w:val="none"/>
          <w:lang w:val="en-US" w:eastAsia="zh-CN"/>
        </w:rPr>
        <w:t>9.1.7环境管理计划</w:t>
      </w:r>
      <w:bookmarkEnd w:id="1202"/>
      <w:bookmarkEnd w:id="1203"/>
      <w:bookmarkEnd w:id="1204"/>
      <w:bookmarkEnd w:id="1205"/>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本项目不同工作阶段的环境管理计划见表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.1-1。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表9.1-1</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 本项目环境管理主要内容</w:t>
      </w:r>
    </w:p>
    <w:tbl>
      <w:tblPr>
        <w:tblStyle w:val="25"/>
        <w:tblW w:w="0" w:type="auto"/>
        <w:jc w:val="center"/>
        <w:tblLayout w:type="fixed"/>
        <w:tblCellMar>
          <w:top w:w="0" w:type="dxa"/>
          <w:left w:w="28" w:type="dxa"/>
          <w:bottom w:w="0" w:type="dxa"/>
          <w:right w:w="28" w:type="dxa"/>
        </w:tblCellMar>
      </w:tblPr>
      <w:tblGrid>
        <w:gridCol w:w="823"/>
        <w:gridCol w:w="7908"/>
      </w:tblGrid>
      <w:tr>
        <w:tblPrEx>
          <w:tblCellMar>
            <w:top w:w="0" w:type="dxa"/>
            <w:left w:w="28" w:type="dxa"/>
            <w:bottom w:w="0" w:type="dxa"/>
            <w:right w:w="28" w:type="dxa"/>
          </w:tblCellMar>
        </w:tblPrEx>
        <w:trPr>
          <w:trHeight w:val="340" w:hRule="atLeast"/>
          <w:jc w:val="center"/>
        </w:trPr>
        <w:tc>
          <w:tcPr>
            <w:tcW w:w="823" w:type="dxa"/>
            <w:tcBorders>
              <w:top w:val="single" w:color="auto" w:sz="12" w:space="0"/>
              <w:left w:val="single" w:color="auto" w:sz="12" w:space="0"/>
              <w:bottom w:val="single" w:color="auto" w:sz="6" w:space="0"/>
              <w:right w:val="single" w:color="auto" w:sz="6" w:space="0"/>
            </w:tcBorders>
            <w:noWrap w:val="0"/>
            <w:vAlign w:val="center"/>
          </w:tcPr>
          <w:p>
            <w:pPr>
              <w:widowControl w:val="0"/>
              <w:adjustRightInd w:val="0"/>
              <w:snapToGrid w:val="0"/>
              <w:spacing w:line="240" w:lineRule="exact"/>
              <w:jc w:val="center"/>
              <w:rPr>
                <w:rFonts w:hint="default" w:ascii="Times New Roman" w:hAnsi="Times New Roman" w:eastAsia="宋体" w:cs="Times New Roman"/>
                <w:b/>
                <w:bCs/>
                <w:color w:val="auto"/>
                <w:spacing w:val="0"/>
                <w:w w:val="100"/>
                <w:kern w:val="0"/>
                <w:position w:val="0"/>
                <w:highlight w:val="none"/>
              </w:rPr>
            </w:pPr>
            <w:r>
              <w:rPr>
                <w:rFonts w:hint="default" w:ascii="Times New Roman" w:hAnsi="Times New Roman" w:eastAsia="宋体" w:cs="Times New Roman"/>
                <w:b/>
                <w:bCs/>
                <w:color w:val="auto"/>
                <w:spacing w:val="0"/>
                <w:w w:val="100"/>
                <w:kern w:val="0"/>
                <w:position w:val="0"/>
                <w:highlight w:val="none"/>
              </w:rPr>
              <w:t>阶段</w:t>
            </w:r>
          </w:p>
        </w:tc>
        <w:tc>
          <w:tcPr>
            <w:tcW w:w="7908" w:type="dxa"/>
            <w:tcBorders>
              <w:top w:val="single" w:color="auto" w:sz="12" w:space="0"/>
              <w:left w:val="single" w:color="auto" w:sz="6" w:space="0"/>
              <w:bottom w:val="single" w:color="auto" w:sz="6" w:space="0"/>
              <w:right w:val="single" w:color="auto" w:sz="12" w:space="0"/>
            </w:tcBorders>
            <w:noWrap w:val="0"/>
            <w:vAlign w:val="center"/>
          </w:tcPr>
          <w:p>
            <w:pPr>
              <w:widowControl w:val="0"/>
              <w:adjustRightInd w:val="0"/>
              <w:snapToGrid w:val="0"/>
              <w:spacing w:line="240" w:lineRule="exact"/>
              <w:jc w:val="center"/>
              <w:rPr>
                <w:rFonts w:hint="default" w:ascii="Times New Roman" w:hAnsi="Times New Roman" w:eastAsia="宋体" w:cs="Times New Roman"/>
                <w:b/>
                <w:bCs/>
                <w:color w:val="auto"/>
                <w:spacing w:val="0"/>
                <w:w w:val="100"/>
                <w:kern w:val="0"/>
                <w:position w:val="0"/>
                <w:highlight w:val="none"/>
              </w:rPr>
            </w:pPr>
            <w:r>
              <w:rPr>
                <w:rFonts w:hint="default" w:ascii="Times New Roman" w:hAnsi="Times New Roman" w:eastAsia="宋体" w:cs="Times New Roman"/>
                <w:b/>
                <w:bCs/>
                <w:color w:val="auto"/>
                <w:spacing w:val="0"/>
                <w:w w:val="100"/>
                <w:kern w:val="0"/>
                <w:position w:val="0"/>
                <w:highlight w:val="none"/>
              </w:rPr>
              <w:t>环境管理工作主要内容</w:t>
            </w:r>
          </w:p>
        </w:tc>
      </w:tr>
      <w:tr>
        <w:tblPrEx>
          <w:tblCellMar>
            <w:top w:w="0" w:type="dxa"/>
            <w:left w:w="28" w:type="dxa"/>
            <w:bottom w:w="0" w:type="dxa"/>
            <w:right w:w="28" w:type="dxa"/>
          </w:tblCellMar>
        </w:tblPrEx>
        <w:trPr>
          <w:trHeight w:val="340" w:hRule="atLeast"/>
          <w:jc w:val="center"/>
        </w:trPr>
        <w:tc>
          <w:tcPr>
            <w:tcW w:w="823" w:type="dxa"/>
            <w:tcBorders>
              <w:top w:val="single" w:color="auto" w:sz="6" w:space="0"/>
              <w:left w:val="single" w:color="auto" w:sz="12" w:space="0"/>
              <w:bottom w:val="single" w:color="auto" w:sz="6" w:space="0"/>
              <w:right w:val="single" w:color="auto" w:sz="6" w:space="0"/>
            </w:tcBorders>
            <w:noWrap w:val="0"/>
            <w:vAlign w:val="center"/>
          </w:tcPr>
          <w:p>
            <w:pPr>
              <w:widowControl w:val="0"/>
              <w:adjustRightInd w:val="0"/>
              <w:snapToGrid w:val="0"/>
              <w:spacing w:line="240" w:lineRule="exact"/>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管理机构职能</w:t>
            </w:r>
          </w:p>
        </w:tc>
        <w:tc>
          <w:tcPr>
            <w:tcW w:w="7908" w:type="dxa"/>
            <w:tcBorders>
              <w:top w:val="single" w:color="auto" w:sz="6" w:space="0"/>
              <w:left w:val="single" w:color="auto" w:sz="6" w:space="0"/>
              <w:bottom w:val="single" w:color="auto" w:sz="6" w:space="0"/>
              <w:right w:val="single" w:color="auto" w:sz="12" w:space="0"/>
            </w:tcBorders>
            <w:noWrap w:val="0"/>
            <w:vAlign w:val="center"/>
          </w:tcPr>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tblPrEx>
          <w:tblCellMar>
            <w:top w:w="0" w:type="dxa"/>
            <w:left w:w="28" w:type="dxa"/>
            <w:bottom w:w="0" w:type="dxa"/>
            <w:right w:w="28" w:type="dxa"/>
          </w:tblCellMar>
        </w:tblPrEx>
        <w:trPr>
          <w:trHeight w:val="340" w:hRule="atLeast"/>
          <w:jc w:val="center"/>
        </w:trPr>
        <w:tc>
          <w:tcPr>
            <w:tcW w:w="823" w:type="dxa"/>
            <w:tcBorders>
              <w:top w:val="single" w:color="auto" w:sz="6" w:space="0"/>
              <w:left w:val="single" w:color="auto" w:sz="12" w:space="0"/>
              <w:bottom w:val="single" w:color="auto" w:sz="12" w:space="0"/>
              <w:right w:val="single" w:color="auto" w:sz="6" w:space="0"/>
            </w:tcBorders>
            <w:noWrap w:val="0"/>
            <w:vAlign w:val="center"/>
          </w:tcPr>
          <w:p>
            <w:pPr>
              <w:widowControl w:val="0"/>
              <w:adjustRightInd w:val="0"/>
              <w:snapToGrid w:val="0"/>
              <w:spacing w:line="240" w:lineRule="exact"/>
              <w:jc w:val="center"/>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生产运行期</w:t>
            </w:r>
          </w:p>
        </w:tc>
        <w:tc>
          <w:tcPr>
            <w:tcW w:w="7908" w:type="dxa"/>
            <w:tcBorders>
              <w:top w:val="single" w:color="auto" w:sz="6" w:space="0"/>
              <w:left w:val="single" w:color="auto" w:sz="6" w:space="0"/>
              <w:bottom w:val="single" w:color="auto" w:sz="12" w:space="0"/>
              <w:right w:val="single" w:color="auto" w:sz="12" w:space="0"/>
            </w:tcBorders>
            <w:noWrap w:val="0"/>
            <w:vAlign w:val="center"/>
          </w:tcPr>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1.严格执行各项生产及环境管理制度，保证生产的正常进行；建立废气、固体废物产生和处置台帐，统计种类、产生量、处理方式、去向，存档备查；</w:t>
            </w:r>
          </w:p>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2.设立环保设施运行卡，对环保设施定期进行检查、维护，做到勤查、勤记、勤养护，按照监测计划定期组织进行厂内的污染源监测，对不达标环保设施寻找原因，及时处理；</w:t>
            </w:r>
          </w:p>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3.加强技术培训，组织企业内部之间技术交流，提高业务水平和企业内部职工素质水平；</w:t>
            </w:r>
          </w:p>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4.重视群众监督作用，提高企业职工环境意识，鼓励职工及外部人员对生产状况提出意见，并通过积极吸收宝贵意见，提高企业环境管理水平；</w:t>
            </w:r>
          </w:p>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5.不断完善环境风险应预案，定期进行演练；</w:t>
            </w:r>
          </w:p>
          <w:p>
            <w:pPr>
              <w:widowControl w:val="0"/>
              <w:adjustRightInd w:val="0"/>
              <w:snapToGrid w:val="0"/>
              <w:spacing w:line="240" w:lineRule="exact"/>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6.积极配合环保部门的检查、验收。</w:t>
            </w:r>
          </w:p>
          <w:p>
            <w:pPr>
              <w:pStyle w:val="32"/>
              <w:spacing w:line="240" w:lineRule="auto"/>
              <w:ind w:left="0" w:leftChars="0" w:firstLine="0" w:firstLineChars="0"/>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snapToGrid/>
                <w:color w:val="auto"/>
                <w:spacing w:val="0"/>
                <w:w w:val="100"/>
                <w:kern w:val="0"/>
                <w:position w:val="0"/>
                <w:sz w:val="21"/>
                <w:szCs w:val="24"/>
                <w:highlight w:val="none"/>
                <w:lang w:val="en-US" w:eastAsia="zh-CN" w:bidi="ar-SA"/>
              </w:rPr>
              <w:t>7.根据环境保护部部令第48号《排污许可管理办法》（试行）第一章总则第三条规定，纳入固定污染源排污许可分类管理名录的企业事业单位和其他生产经营者应当按照规定的时限申请并取得排污许可证。根据《固定污染源排污许可分类管理名录（2019版）》，本项目属于一、畜牧业03，1.牲畜饲养031，家禽饲养032登记管理（无污水排放口的规范化畜禽养殖场、养殖小区，设有污水排放口的规模以下畜禽养殖场、养殖小区），建设单位应按照相关要求取得排污许可证。</w:t>
            </w:r>
          </w:p>
        </w:tc>
      </w:tr>
    </w:tbl>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1206" w:name="_Toc29231"/>
      <w:bookmarkStart w:id="1207" w:name="_Toc15619"/>
      <w:bookmarkStart w:id="1208" w:name="_Toc11151"/>
      <w:bookmarkStart w:id="1209" w:name="_Toc18341"/>
      <w:bookmarkStart w:id="1210" w:name="_Toc5955"/>
      <w:bookmarkStart w:id="1211" w:name="_Toc20805"/>
      <w:bookmarkStart w:id="1212" w:name="_Toc30002"/>
      <w:r>
        <w:rPr>
          <w:rFonts w:hint="default" w:ascii="Times New Roman" w:hAnsi="Times New Roman" w:eastAsia="宋体" w:cs="Times New Roman"/>
          <w:snapToGrid w:val="0"/>
          <w:color w:val="auto"/>
          <w:spacing w:val="0"/>
          <w:w w:val="100"/>
          <w:kern w:val="0"/>
          <w:position w:val="0"/>
          <w:highlight w:val="none"/>
          <w:lang w:val="en-US" w:eastAsia="zh-CN"/>
        </w:rPr>
        <w:t>9.2监测计划</w:t>
      </w:r>
      <w:bookmarkEnd w:id="1206"/>
      <w:bookmarkEnd w:id="1207"/>
      <w:bookmarkEnd w:id="1208"/>
      <w:bookmarkEnd w:id="1209"/>
      <w:bookmarkEnd w:id="1210"/>
      <w:bookmarkEnd w:id="1211"/>
      <w:bookmarkEnd w:id="1212"/>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13" w:name="_Toc30880"/>
      <w:bookmarkStart w:id="1214" w:name="_Toc28927"/>
      <w:bookmarkStart w:id="1215" w:name="_Toc14342"/>
      <w:bookmarkStart w:id="1216" w:name="_Toc22418"/>
      <w:r>
        <w:rPr>
          <w:rFonts w:hint="default" w:ascii="Times New Roman" w:hAnsi="Times New Roman" w:eastAsia="宋体" w:cs="Times New Roman"/>
          <w:snapToGrid w:val="0"/>
          <w:color w:val="auto"/>
          <w:spacing w:val="0"/>
          <w:w w:val="100"/>
          <w:kern w:val="0"/>
          <w:position w:val="0"/>
          <w:sz w:val="28"/>
          <w:szCs w:val="28"/>
          <w:highlight w:val="none"/>
          <w:lang w:val="en-US" w:eastAsia="zh-CN"/>
        </w:rPr>
        <w:t>9.2.1监测计划内容</w:t>
      </w:r>
      <w:bookmarkEnd w:id="1213"/>
      <w:bookmarkEnd w:id="1214"/>
      <w:bookmarkEnd w:id="1215"/>
      <w:bookmarkEnd w:id="1216"/>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根据工程排污特点及实际情况，项目建设期及建成投产后，需要健全各项监测制度并保证其实施，根据《排污单位自行监测技术指南 总则》（HJ819-2017）</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szCs w:val="32"/>
          <w:highlight w:val="none"/>
          <w:lang w:val="zh-CN" w:eastAsia="zh-CN" w:bidi="ar-SA"/>
        </w:rPr>
        <w:t>《排污许可证申请与核发技术规范</w:t>
      </w:r>
      <w:r>
        <w:rPr>
          <w:rFonts w:hint="eastAsia" w:ascii="Times New Roman" w:hAnsi="Times New Roman" w:cs="Times New Roman"/>
          <w:color w:val="auto"/>
          <w:spacing w:val="0"/>
          <w:w w:val="100"/>
          <w:kern w:val="0"/>
          <w:position w:val="0"/>
          <w:sz w:val="24"/>
          <w:szCs w:val="32"/>
          <w:highlight w:val="none"/>
          <w:lang w:val="en-US" w:eastAsia="zh-CN" w:bidi="ar-SA"/>
        </w:rPr>
        <w:t xml:space="preserve"> </w:t>
      </w:r>
      <w:r>
        <w:rPr>
          <w:rFonts w:hint="default" w:ascii="Times New Roman" w:hAnsi="Times New Roman" w:eastAsia="宋体" w:cs="Times New Roman"/>
          <w:color w:val="auto"/>
          <w:spacing w:val="0"/>
          <w:w w:val="100"/>
          <w:kern w:val="0"/>
          <w:position w:val="0"/>
          <w:sz w:val="24"/>
          <w:szCs w:val="32"/>
          <w:highlight w:val="none"/>
          <w:lang w:val="zh-CN" w:eastAsia="zh-CN" w:bidi="ar-SA"/>
        </w:rPr>
        <w:t>畜禽养殖行业》</w:t>
      </w:r>
      <w:r>
        <w:rPr>
          <w:rFonts w:hint="default" w:ascii="Times New Roman" w:hAnsi="Times New Roman" w:eastAsia="宋体" w:cs="Times New Roman"/>
          <w:color w:val="auto"/>
          <w:spacing w:val="0"/>
          <w:w w:val="100"/>
          <w:kern w:val="0"/>
          <w:position w:val="0"/>
          <w:sz w:val="24"/>
          <w:szCs w:val="32"/>
          <w:highlight w:val="none"/>
          <w:lang w:val="en-US" w:eastAsia="zh-CN" w:bidi="ar-SA"/>
        </w:rPr>
        <w:t>（HJ1029-2019）</w:t>
      </w:r>
      <w:r>
        <w:rPr>
          <w:rFonts w:hint="default" w:ascii="Times New Roman" w:hAnsi="Times New Roman" w:eastAsia="宋体" w:cs="Times New Roman"/>
          <w:color w:val="auto"/>
          <w:spacing w:val="0"/>
          <w:w w:val="100"/>
          <w:kern w:val="0"/>
          <w:position w:val="0"/>
          <w:sz w:val="24"/>
          <w:highlight w:val="none"/>
        </w:rPr>
        <w:t>，营运期环境监测计划详见表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.2-1。</w:t>
      </w:r>
    </w:p>
    <w:p>
      <w:pPr>
        <w:pStyle w:val="8"/>
        <w:rPr>
          <w:rFonts w:hint="default" w:ascii="Times New Roman" w:hAnsi="Times New Roman" w:eastAsia="宋体" w:cs="Times New Roman"/>
          <w:color w:val="auto"/>
          <w:spacing w:val="0"/>
          <w:w w:val="100"/>
          <w:kern w:val="0"/>
          <w:position w:val="0"/>
          <w:sz w:val="24"/>
          <w:highlight w:val="none"/>
        </w:rPr>
      </w:pPr>
    </w:p>
    <w:p>
      <w:pPr>
        <w:rPr>
          <w:rFonts w:hint="default" w:ascii="Times New Roman" w:hAnsi="Times New Roman" w:eastAsia="宋体" w:cs="Times New Roman"/>
          <w:color w:val="auto"/>
          <w:spacing w:val="0"/>
          <w:w w:val="100"/>
          <w:kern w:val="0"/>
          <w:position w:val="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bookmarkStart w:id="1217" w:name="_Toc7601"/>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表9.2-1   本项目运营期环境监测计划一览表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666"/>
        <w:gridCol w:w="2620"/>
        <w:gridCol w:w="2323"/>
        <w:gridCol w:w="13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b/>
                <w:color w:val="auto"/>
                <w:spacing w:val="0"/>
                <w:w w:val="100"/>
                <w:kern w:val="0"/>
                <w:position w:val="0"/>
                <w:szCs w:val="21"/>
                <w:highlight w:val="none"/>
              </w:rPr>
            </w:pPr>
            <w:bookmarkStart w:id="1218" w:name="_Toc487010491"/>
            <w:bookmarkEnd w:id="1218"/>
            <w:bookmarkStart w:id="1219" w:name="_Toc486955470"/>
            <w:bookmarkEnd w:id="1219"/>
            <w:bookmarkStart w:id="1220" w:name="_Toc486955621"/>
            <w:bookmarkEnd w:id="1220"/>
            <w:bookmarkStart w:id="1221" w:name="_Toc490495632"/>
            <w:bookmarkEnd w:id="1221"/>
            <w:bookmarkStart w:id="1222" w:name="_Toc487036678"/>
            <w:bookmarkEnd w:id="1222"/>
            <w:r>
              <w:rPr>
                <w:rFonts w:hint="default" w:ascii="Times New Roman" w:hAnsi="Times New Roman" w:eastAsia="宋体" w:cs="Times New Roman"/>
                <w:b/>
                <w:color w:val="auto"/>
                <w:spacing w:val="0"/>
                <w:w w:val="100"/>
                <w:kern w:val="0"/>
                <w:position w:val="0"/>
                <w:szCs w:val="21"/>
                <w:highlight w:val="none"/>
              </w:rPr>
              <w:t>因素</w:t>
            </w:r>
          </w:p>
        </w:tc>
        <w:tc>
          <w:tcPr>
            <w:tcW w:w="1666" w:type="dxa"/>
            <w:noWrap w:val="0"/>
            <w:vAlign w:val="center"/>
          </w:tcPr>
          <w:p>
            <w:pPr>
              <w:widowControl w:val="0"/>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监测位置</w:t>
            </w:r>
          </w:p>
        </w:tc>
        <w:tc>
          <w:tcPr>
            <w:tcW w:w="2620" w:type="dxa"/>
            <w:noWrap w:val="0"/>
            <w:vAlign w:val="center"/>
          </w:tcPr>
          <w:p>
            <w:pPr>
              <w:widowControl w:val="0"/>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监测项目</w:t>
            </w:r>
          </w:p>
        </w:tc>
        <w:tc>
          <w:tcPr>
            <w:tcW w:w="2323" w:type="dxa"/>
            <w:noWrap w:val="0"/>
            <w:vAlign w:val="center"/>
          </w:tcPr>
          <w:p>
            <w:pPr>
              <w:widowControl w:val="0"/>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监测点</w:t>
            </w:r>
          </w:p>
        </w:tc>
        <w:tc>
          <w:tcPr>
            <w:tcW w:w="1319" w:type="dxa"/>
            <w:noWrap w:val="0"/>
            <w:vAlign w:val="center"/>
          </w:tcPr>
          <w:p>
            <w:pPr>
              <w:widowControl w:val="0"/>
              <w:adjustRightInd w:val="0"/>
              <w:snapToGrid w:val="0"/>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废气</w:t>
            </w:r>
          </w:p>
        </w:tc>
        <w:tc>
          <w:tcPr>
            <w:tcW w:w="166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厂界无组织</w:t>
            </w:r>
          </w:p>
        </w:tc>
        <w:tc>
          <w:tcPr>
            <w:tcW w:w="2620"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臭气浓度</w:t>
            </w:r>
          </w:p>
        </w:tc>
        <w:tc>
          <w:tcPr>
            <w:tcW w:w="2323"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厂界周边最高浓度上风向1个，下风向3个</w:t>
            </w:r>
          </w:p>
        </w:tc>
        <w:tc>
          <w:tcPr>
            <w:tcW w:w="1319" w:type="dxa"/>
            <w:tcBorders>
              <w:top w:val="single" w:color="auto" w:sz="8" w:space="0"/>
              <w:bottom w:val="single" w:color="auto" w:sz="8" w:space="0"/>
            </w:tcBorders>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噪声</w:t>
            </w:r>
          </w:p>
        </w:tc>
        <w:tc>
          <w:tcPr>
            <w:tcW w:w="166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厂界外1m处</w:t>
            </w:r>
          </w:p>
        </w:tc>
        <w:tc>
          <w:tcPr>
            <w:tcW w:w="2620"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L</w:t>
            </w:r>
            <w:r>
              <w:rPr>
                <w:rFonts w:hint="default" w:ascii="Times New Roman" w:hAnsi="Times New Roman" w:eastAsia="宋体" w:cs="Times New Roman"/>
                <w:color w:val="auto"/>
                <w:spacing w:val="0"/>
                <w:w w:val="100"/>
                <w:kern w:val="0"/>
                <w:position w:val="0"/>
                <w:szCs w:val="21"/>
                <w:highlight w:val="none"/>
                <w:vertAlign w:val="subscript"/>
              </w:rPr>
              <w:t>Aeq</w:t>
            </w:r>
          </w:p>
        </w:tc>
        <w:tc>
          <w:tcPr>
            <w:tcW w:w="2323"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厂界四周围墙外1m处</w:t>
            </w:r>
          </w:p>
        </w:tc>
        <w:tc>
          <w:tcPr>
            <w:tcW w:w="131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1次/季度，昼夜监测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固体废物</w:t>
            </w:r>
          </w:p>
        </w:tc>
        <w:tc>
          <w:tcPr>
            <w:tcW w:w="166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全厂各类固体废物产生点</w:t>
            </w:r>
          </w:p>
        </w:tc>
        <w:tc>
          <w:tcPr>
            <w:tcW w:w="2620"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统计种类、产生量</w:t>
            </w:r>
          </w:p>
        </w:tc>
        <w:tc>
          <w:tcPr>
            <w:tcW w:w="2323"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处理方式、去向</w:t>
            </w:r>
          </w:p>
        </w:tc>
        <w:tc>
          <w:tcPr>
            <w:tcW w:w="131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发生一次、统计一次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废水</w:t>
            </w:r>
          </w:p>
        </w:tc>
        <w:tc>
          <w:tcPr>
            <w:tcW w:w="166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eastAsia="zh-CN"/>
              </w:rPr>
              <w:t>厂区污水处理站进出水口</w:t>
            </w:r>
          </w:p>
        </w:tc>
        <w:tc>
          <w:tcPr>
            <w:tcW w:w="2620" w:type="dxa"/>
            <w:noWrap w:val="0"/>
            <w:vAlign w:val="center"/>
          </w:tcPr>
          <w:p>
            <w:pPr>
              <w:pStyle w:val="39"/>
              <w:spacing w:before="65" w:line="273" w:lineRule="exact"/>
              <w:ind w:left="0" w:leftChars="0" w:right="29" w:firstLine="0" w:firstLineChars="0"/>
              <w:jc w:val="center"/>
              <w:rPr>
                <w:rFonts w:hint="default" w:ascii="Times New Roman" w:hAnsi="Times New Roman" w:eastAsia="宋体" w:cs="Times New Roman"/>
                <w:color w:val="auto"/>
                <w:spacing w:val="0"/>
                <w:w w:val="100"/>
                <w:kern w:val="0"/>
                <w:position w:val="0"/>
                <w:szCs w:val="21"/>
                <w:highlight w:val="none"/>
                <w:lang w:eastAsia="zh-CN"/>
              </w:rPr>
            </w:pPr>
            <w:r>
              <w:rPr>
                <w:rFonts w:hint="eastAsia" w:hAnsi="Times New Roman" w:cs="Times New Roman"/>
                <w:color w:val="auto"/>
                <w:spacing w:val="0"/>
                <w:w w:val="100"/>
                <w:kern w:val="0"/>
                <w:position w:val="0"/>
                <w:sz w:val="21"/>
                <w:lang w:eastAsia="zh-CN"/>
              </w:rPr>
              <w:t>流量</w:t>
            </w:r>
            <w:r>
              <w:rPr>
                <w:rFonts w:hint="default" w:ascii="Times New Roman" w:hAnsi="Times New Roman" w:eastAsia="宋体" w:cs="Times New Roman"/>
                <w:color w:val="auto"/>
                <w:spacing w:val="0"/>
                <w:w w:val="100"/>
                <w:kern w:val="0"/>
                <w:position w:val="0"/>
                <w:sz w:val="21"/>
              </w:rPr>
              <w:t>、pH、COD、BOD</w:t>
            </w:r>
            <w:r>
              <w:rPr>
                <w:rFonts w:hint="default" w:ascii="Times New Roman" w:hAnsi="Times New Roman" w:eastAsia="宋体" w:cs="Times New Roman"/>
                <w:color w:val="auto"/>
                <w:spacing w:val="0"/>
                <w:w w:val="100"/>
                <w:kern w:val="0"/>
                <w:position w:val="0"/>
                <w:sz w:val="21"/>
                <w:vertAlign w:val="subscript"/>
              </w:rPr>
              <w:t>5</w:t>
            </w:r>
            <w:r>
              <w:rPr>
                <w:rFonts w:hint="default" w:ascii="Times New Roman" w:hAnsi="Times New Roman" w:eastAsia="宋体" w:cs="Times New Roman"/>
                <w:color w:val="auto"/>
                <w:spacing w:val="0"/>
                <w:w w:val="100"/>
                <w:kern w:val="0"/>
                <w:position w:val="0"/>
                <w:sz w:val="21"/>
                <w:vertAlign w:val="baseline"/>
              </w:rPr>
              <w:t>、SS、</w:t>
            </w:r>
            <w:r>
              <w:rPr>
                <w:rFonts w:hint="default" w:ascii="Times New Roman" w:hAnsi="Times New Roman" w:eastAsia="宋体" w:cs="Times New Roman"/>
                <w:color w:val="auto"/>
                <w:spacing w:val="0"/>
                <w:w w:val="100"/>
                <w:kern w:val="0"/>
                <w:position w:val="0"/>
                <w:sz w:val="21"/>
              </w:rPr>
              <w:t>NH</w:t>
            </w:r>
            <w:r>
              <w:rPr>
                <w:rFonts w:hint="default" w:ascii="Times New Roman" w:hAnsi="Times New Roman" w:eastAsia="宋体" w:cs="Times New Roman"/>
                <w:color w:val="auto"/>
                <w:spacing w:val="0"/>
                <w:w w:val="100"/>
                <w:kern w:val="0"/>
                <w:position w:val="0"/>
                <w:sz w:val="21"/>
                <w:vertAlign w:val="subscript"/>
              </w:rPr>
              <w:t>3</w:t>
            </w:r>
            <w:r>
              <w:rPr>
                <w:rFonts w:hint="default" w:ascii="Times New Roman" w:hAnsi="Times New Roman" w:eastAsia="宋体" w:cs="Times New Roman"/>
                <w:color w:val="auto"/>
                <w:spacing w:val="0"/>
                <w:w w:val="100"/>
                <w:kern w:val="0"/>
                <w:position w:val="0"/>
                <w:sz w:val="21"/>
                <w:vertAlign w:val="baseline"/>
              </w:rPr>
              <w:t>-N、TP及粪大肠菌群</w:t>
            </w:r>
            <w:r>
              <w:rPr>
                <w:rFonts w:hint="default" w:ascii="Times New Roman" w:hAnsi="Times New Roman" w:eastAsia="宋体" w:cs="Times New Roman"/>
                <w:color w:val="auto"/>
                <w:spacing w:val="0"/>
                <w:w w:val="100"/>
                <w:kern w:val="0"/>
                <w:position w:val="0"/>
                <w:sz w:val="21"/>
                <w:vertAlign w:val="baseline"/>
                <w:lang w:eastAsia="zh-CN"/>
              </w:rPr>
              <w:t>、蛔虫卵</w:t>
            </w:r>
          </w:p>
        </w:tc>
        <w:tc>
          <w:tcPr>
            <w:tcW w:w="2323" w:type="dxa"/>
            <w:noWrap w:val="0"/>
            <w:vAlign w:val="center"/>
          </w:tcPr>
          <w:p>
            <w:pPr>
              <w:widowControl w:val="0"/>
              <w:adjustRightInd w:val="0"/>
              <w:snapToGrid w:val="0"/>
              <w:jc w:val="center"/>
              <w:rPr>
                <w:rFonts w:hint="eastAsia" w:ascii="Times New Roman" w:hAnsi="Times New Roman" w:eastAsia="宋体" w:cs="Times New Roman"/>
                <w:color w:val="auto"/>
                <w:spacing w:val="0"/>
                <w:w w:val="100"/>
                <w:kern w:val="0"/>
                <w:position w:val="0"/>
                <w:szCs w:val="21"/>
                <w:highlight w:val="none"/>
                <w:lang w:eastAsia="zh-CN"/>
              </w:rPr>
            </w:pPr>
            <w:r>
              <w:rPr>
                <w:rFonts w:hint="eastAsia" w:ascii="Times New Roman" w:hAnsi="Times New Roman" w:cs="Times New Roman"/>
                <w:color w:val="auto"/>
                <w:spacing w:val="0"/>
                <w:w w:val="100"/>
                <w:kern w:val="0"/>
                <w:position w:val="0"/>
                <w:szCs w:val="21"/>
                <w:highlight w:val="none"/>
                <w:lang w:eastAsia="zh-CN"/>
              </w:rPr>
              <w:t>废水出水口</w:t>
            </w:r>
          </w:p>
        </w:tc>
        <w:tc>
          <w:tcPr>
            <w:tcW w:w="131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1次/半年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地下水</w:t>
            </w:r>
          </w:p>
        </w:tc>
        <w:tc>
          <w:tcPr>
            <w:tcW w:w="1666"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rPr>
              <w:t>厂区</w:t>
            </w:r>
            <w:r>
              <w:rPr>
                <w:rFonts w:hint="default" w:ascii="Times New Roman" w:hAnsi="Times New Roman" w:eastAsia="宋体" w:cs="Times New Roman"/>
                <w:color w:val="auto"/>
                <w:spacing w:val="0"/>
                <w:w w:val="100"/>
                <w:kern w:val="0"/>
                <w:position w:val="0"/>
                <w:szCs w:val="21"/>
                <w:highlight w:val="none"/>
                <w:lang w:eastAsia="zh-CN"/>
              </w:rPr>
              <w:t>下游</w:t>
            </w:r>
          </w:p>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设置一口地下水监测井</w:t>
            </w:r>
          </w:p>
        </w:tc>
        <w:tc>
          <w:tcPr>
            <w:tcW w:w="2620"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pH、色度、总硬度、溶解性总固体、挥发酚、高锰酸盐指数、氨氮、石油类、氟化物、硝酸盐、汞、镉、六价铬、砷、铅、氯化物及总大肠菌群</w:t>
            </w:r>
          </w:p>
        </w:tc>
        <w:tc>
          <w:tcPr>
            <w:tcW w:w="2323"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厂区地下水监测井</w:t>
            </w:r>
          </w:p>
        </w:tc>
        <w:tc>
          <w:tcPr>
            <w:tcW w:w="1319" w:type="dxa"/>
            <w:noWrap w:val="0"/>
            <w:vAlign w:val="center"/>
          </w:tcPr>
          <w:p>
            <w:pPr>
              <w:widowControl w:val="0"/>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1次/半年</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23" w:name="_Toc31186"/>
      <w:bookmarkStart w:id="1224" w:name="_Toc26517"/>
      <w:bookmarkStart w:id="1225" w:name="_Toc8830"/>
      <w:r>
        <w:rPr>
          <w:rFonts w:hint="default" w:ascii="Times New Roman" w:hAnsi="Times New Roman" w:eastAsia="宋体" w:cs="Times New Roman"/>
          <w:snapToGrid w:val="0"/>
          <w:color w:val="auto"/>
          <w:spacing w:val="0"/>
          <w:w w:val="100"/>
          <w:kern w:val="0"/>
          <w:position w:val="0"/>
          <w:sz w:val="28"/>
          <w:szCs w:val="28"/>
          <w:highlight w:val="none"/>
          <w:lang w:val="en-US" w:eastAsia="zh-CN"/>
        </w:rPr>
        <w:t>9.2.2监测方法选取</w:t>
      </w:r>
      <w:bookmarkEnd w:id="1217"/>
      <w:bookmarkEnd w:id="1223"/>
      <w:bookmarkEnd w:id="1224"/>
      <w:bookmarkEnd w:id="1225"/>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本项目委托有资质的环境监测单位对本项目运行期</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三废</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和噪声情况进行监测。废气监测按照《空气和废气监测分析方法（第四版）》中的有关规定执行。废水监测方法按照《水和废水监测分析方法（第四版）》中的规定进行。</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为保证监测数据的效度和信度，应当⑴定期对环境监测人员进行培训；⑵监测人员须持证上岗；⑶监测仪器定期检测，使用取得检测合格证的仪器。</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26" w:name="_Toc14348"/>
      <w:bookmarkStart w:id="1227" w:name="_Toc24777"/>
      <w:bookmarkStart w:id="1228" w:name="_Toc17157"/>
      <w:bookmarkStart w:id="1229" w:name="_Toc15949"/>
      <w:r>
        <w:rPr>
          <w:rFonts w:hint="default" w:ascii="Times New Roman" w:hAnsi="Times New Roman" w:eastAsia="宋体" w:cs="Times New Roman"/>
          <w:snapToGrid w:val="0"/>
          <w:color w:val="auto"/>
          <w:spacing w:val="0"/>
          <w:w w:val="100"/>
          <w:kern w:val="0"/>
          <w:position w:val="0"/>
          <w:sz w:val="28"/>
          <w:szCs w:val="28"/>
          <w:highlight w:val="none"/>
          <w:lang w:val="en-US" w:eastAsia="zh-CN"/>
        </w:rPr>
        <w:t>9.2.3监测数据管理</w:t>
      </w:r>
      <w:bookmarkEnd w:id="1226"/>
      <w:bookmarkEnd w:id="1227"/>
      <w:bookmarkEnd w:id="1228"/>
      <w:bookmarkEnd w:id="1229"/>
    </w:p>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en-US" w:eastAsia="zh-CN"/>
        </w:rPr>
      </w:pPr>
      <w:r>
        <w:rPr>
          <w:rFonts w:hint="default" w:ascii="Times New Roman" w:hAnsi="Times New Roman" w:eastAsia="宋体" w:cs="Times New Roman"/>
          <w:color w:val="auto"/>
          <w:spacing w:val="0"/>
          <w:w w:val="100"/>
          <w:kern w:val="0"/>
          <w:position w:val="0"/>
          <w:sz w:val="24"/>
          <w:highlight w:val="none"/>
        </w:rPr>
        <w:t>对于上述监测结果应该按照项目有关规定及时建立档案，并抄送有关环保主管部门，对于常规监测部分应</w:t>
      </w:r>
      <w:r>
        <w:rPr>
          <w:rFonts w:hint="default" w:ascii="Times New Roman" w:hAnsi="Times New Roman" w:eastAsia="宋体" w:cs="Times New Roman"/>
          <w:color w:val="auto"/>
          <w:spacing w:val="0"/>
          <w:w w:val="100"/>
          <w:kern w:val="0"/>
          <w:position w:val="0"/>
          <w:sz w:val="24"/>
          <w:highlight w:val="none"/>
          <w:lang w:val="en-US" w:eastAsia="zh-CN"/>
        </w:rPr>
        <w:t>进行公开，此外，如果发现了污染和破坏问题要及时进行处理、调查并上报有关部门。</w:t>
      </w:r>
    </w:p>
    <w:p>
      <w:pPr>
        <w:pStyle w:val="43"/>
        <w:keepNext/>
        <w:keepLines/>
        <w:pageBreakBefore w:val="0"/>
        <w:widowControl w:val="0"/>
        <w:kinsoku/>
        <w:wordWrap/>
        <w:overflowPunct/>
        <w:topLinePunct w:val="0"/>
        <w:autoSpaceDE/>
        <w:autoSpaceDN/>
        <w:bidi w:val="0"/>
        <w:adjustRightInd/>
        <w:snapToGrid w:val="0"/>
        <w:spacing w:before="126" w:beforeLines="40" w:after="126" w:afterLines="40"/>
        <w:contextualSpacing/>
        <w:textAlignment w:val="auto"/>
        <w:outlineLvl w:val="0"/>
        <w:rPr>
          <w:rFonts w:hint="default" w:ascii="Times New Roman" w:hAnsi="Times New Roman" w:eastAsia="宋体" w:cs="Times New Roman"/>
          <w:color w:val="auto"/>
          <w:spacing w:val="0"/>
          <w:w w:val="100"/>
          <w:kern w:val="0"/>
          <w:position w:val="0"/>
          <w:highlight w:val="none"/>
        </w:rPr>
      </w:pPr>
      <w:bookmarkStart w:id="1230" w:name="_Toc27759"/>
      <w:bookmarkStart w:id="1231" w:name="_Toc10759"/>
      <w:bookmarkStart w:id="1232" w:name="_Toc4630"/>
      <w:bookmarkStart w:id="1233" w:name="_Toc4107"/>
      <w:bookmarkStart w:id="1234" w:name="_Toc15169"/>
      <w:bookmarkStart w:id="1235" w:name="_Toc14581"/>
      <w:bookmarkStart w:id="1236" w:name="_Toc29827"/>
      <w:bookmarkStart w:id="1237" w:name="_Toc30312"/>
      <w:r>
        <w:rPr>
          <w:rFonts w:hint="default" w:ascii="Times New Roman" w:hAnsi="Times New Roman" w:eastAsia="宋体" w:cs="Times New Roman"/>
          <w:snapToGrid w:val="0"/>
          <w:color w:val="auto"/>
          <w:spacing w:val="0"/>
          <w:w w:val="100"/>
          <w:kern w:val="0"/>
          <w:position w:val="0"/>
          <w:highlight w:val="none"/>
          <w:lang w:val="en-US" w:eastAsia="zh-CN"/>
        </w:rPr>
        <w:t>9.3</w:t>
      </w:r>
      <w:bookmarkStart w:id="1238" w:name="_Toc487210919"/>
      <w:r>
        <w:rPr>
          <w:rFonts w:hint="default" w:ascii="Times New Roman" w:hAnsi="Times New Roman" w:eastAsia="宋体" w:cs="Times New Roman"/>
          <w:snapToGrid w:val="0"/>
          <w:color w:val="auto"/>
          <w:spacing w:val="0"/>
          <w:w w:val="100"/>
          <w:kern w:val="0"/>
          <w:position w:val="0"/>
          <w:highlight w:val="none"/>
          <w:lang w:val="en-US" w:eastAsia="zh-CN"/>
        </w:rPr>
        <w:t>污染物总量控</w:t>
      </w:r>
      <w:r>
        <w:rPr>
          <w:rFonts w:hint="default" w:ascii="Times New Roman" w:hAnsi="Times New Roman" w:eastAsia="宋体" w:cs="Times New Roman"/>
          <w:color w:val="auto"/>
          <w:spacing w:val="0"/>
          <w:w w:val="100"/>
          <w:kern w:val="0"/>
          <w:position w:val="0"/>
          <w:highlight w:val="none"/>
        </w:rPr>
        <w:t>制</w:t>
      </w:r>
      <w:bookmarkEnd w:id="1230"/>
      <w:bookmarkEnd w:id="1231"/>
      <w:bookmarkEnd w:id="1232"/>
      <w:bookmarkEnd w:id="1233"/>
      <w:bookmarkEnd w:id="1234"/>
      <w:bookmarkEnd w:id="1235"/>
      <w:bookmarkEnd w:id="1236"/>
      <w:bookmarkEnd w:id="1237"/>
      <w:bookmarkEnd w:id="1238"/>
    </w:p>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bookmarkStart w:id="1239" w:name="_Toc14985"/>
      <w:bookmarkStart w:id="1240" w:name="_Toc26891"/>
      <w:bookmarkStart w:id="1241" w:name="_Toc480194031"/>
      <w:bookmarkStart w:id="1242" w:name="_Toc10391"/>
      <w:bookmarkStart w:id="1243" w:name="_Toc494148618"/>
      <w:r>
        <w:rPr>
          <w:rFonts w:hint="default" w:ascii="Times New Roman" w:hAnsi="Times New Roman" w:eastAsia="宋体" w:cs="Times New Roman"/>
          <w:color w:val="auto"/>
          <w:spacing w:val="0"/>
          <w:w w:val="100"/>
          <w:kern w:val="0"/>
          <w:position w:val="0"/>
          <w:sz w:val="24"/>
          <w:highlight w:val="none"/>
        </w:rPr>
        <w:t>本项目废水处理后综合利用，不外排地表水体；项目产生废气主要为恶臭，故本项目不申请污染物排放总量指标。</w:t>
      </w:r>
    </w:p>
    <w:bookmarkEnd w:id="1239"/>
    <w:bookmarkEnd w:id="1240"/>
    <w:bookmarkEnd w:id="1241"/>
    <w:bookmarkEnd w:id="1242"/>
    <w:bookmarkEnd w:id="1243"/>
    <w:p>
      <w:pPr>
        <w:pStyle w:val="4"/>
        <w:keepNext/>
        <w:keepLines/>
        <w:pageBreakBefore w:val="0"/>
        <w:widowControl w:val="0"/>
        <w:kinsoku/>
        <w:wordWrap/>
        <w:overflowPunct/>
        <w:topLinePunct w:val="0"/>
        <w:autoSpaceDE/>
        <w:autoSpaceDN/>
        <w:bidi w:val="0"/>
        <w:adjustRightInd w:val="0"/>
        <w:snapToGrid w:val="0"/>
        <w:spacing w:before="200" w:after="200" w:line="360" w:lineRule="auto"/>
        <w:textAlignment w:val="auto"/>
        <w:outlineLvl w:val="0"/>
        <w:rPr>
          <w:rFonts w:hint="default" w:ascii="Times New Roman" w:hAnsi="Times New Roman" w:eastAsia="宋体" w:cs="Times New Roman"/>
          <w:color w:val="auto"/>
          <w:spacing w:val="0"/>
          <w:w w:val="100"/>
          <w:kern w:val="0"/>
          <w:position w:val="0"/>
          <w:highlight w:val="none"/>
        </w:rPr>
      </w:pPr>
      <w:bookmarkStart w:id="1244" w:name="_Toc691"/>
      <w:bookmarkStart w:id="1245" w:name="_Toc14444"/>
      <w:bookmarkStart w:id="1246" w:name="_Toc16684"/>
      <w:bookmarkStart w:id="1247" w:name="_Toc8054"/>
      <w:bookmarkStart w:id="1248" w:name="_Toc5902"/>
      <w:bookmarkStart w:id="1249" w:name="_Toc5914"/>
      <w:bookmarkStart w:id="1250" w:name="_Toc5987"/>
      <w:bookmarkStart w:id="1251" w:name="_Toc14100"/>
      <w:bookmarkStart w:id="1252" w:name="_Toc2657"/>
      <w:bookmarkStart w:id="1253" w:name="_Toc28598"/>
      <w:bookmarkStart w:id="1254" w:name="_Toc14710"/>
      <w:bookmarkStart w:id="1255" w:name="_Toc841"/>
      <w:bookmarkStart w:id="1256" w:name="_Toc480194034"/>
      <w:bookmarkStart w:id="1257" w:name="_Toc1353"/>
      <w:bookmarkStart w:id="1258" w:name="_Toc2162"/>
      <w:bookmarkStart w:id="1259" w:name="_Toc497175573"/>
      <w:bookmarkStart w:id="1260" w:name="_Toc494148622"/>
      <w:r>
        <w:rPr>
          <w:rFonts w:hint="default" w:ascii="Times New Roman" w:hAnsi="Times New Roman" w:eastAsia="宋体" w:cs="Times New Roman"/>
          <w:color w:val="auto"/>
          <w:spacing w:val="0"/>
          <w:w w:val="100"/>
          <w:kern w:val="0"/>
          <w:position w:val="0"/>
          <w:highlight w:val="none"/>
          <w:lang w:val="en-US" w:eastAsia="zh-CN"/>
        </w:rPr>
        <w:t>9</w:t>
      </w:r>
      <w:r>
        <w:rPr>
          <w:rFonts w:hint="default" w:ascii="Times New Roman" w:hAnsi="Times New Roman" w:eastAsia="宋体" w:cs="Times New Roman"/>
          <w:color w:val="auto"/>
          <w:spacing w:val="0"/>
          <w:w w:val="100"/>
          <w:kern w:val="0"/>
          <w:position w:val="0"/>
          <w:highlight w:val="none"/>
        </w:rPr>
        <w:t>.4排污口规范化管理</w:t>
      </w:r>
      <w:bookmarkEnd w:id="1244"/>
      <w:bookmarkEnd w:id="1245"/>
      <w:bookmarkEnd w:id="1246"/>
      <w:bookmarkEnd w:id="1247"/>
      <w:bookmarkEnd w:id="1248"/>
      <w:bookmarkEnd w:id="1249"/>
      <w:bookmarkEnd w:id="1250"/>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排污口是企业排放污染物进入环境的通道，强化排污口的管理是实施污染物总量控制的基础工作之一，也是区域环境管理逐步实现污染物排放科学化、定量化的重要手段。</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61" w:name="_Toc490495635"/>
      <w:bookmarkEnd w:id="1261"/>
      <w:bookmarkStart w:id="1262" w:name="_Toc486955624"/>
      <w:bookmarkEnd w:id="1262"/>
      <w:bookmarkStart w:id="1263" w:name="_Toc487036681"/>
      <w:bookmarkEnd w:id="1263"/>
      <w:bookmarkStart w:id="1264" w:name="_Toc230669224"/>
      <w:bookmarkEnd w:id="1264"/>
      <w:bookmarkStart w:id="1265" w:name="_Toc230860514"/>
      <w:bookmarkEnd w:id="1265"/>
      <w:bookmarkStart w:id="1266" w:name="_Toc487010494"/>
      <w:bookmarkEnd w:id="1266"/>
      <w:bookmarkStart w:id="1267" w:name="_Toc231701880"/>
      <w:bookmarkEnd w:id="1267"/>
      <w:bookmarkStart w:id="1268" w:name="_Toc486955473"/>
      <w:bookmarkEnd w:id="1268"/>
      <w:bookmarkStart w:id="1269" w:name="_Toc367083915"/>
      <w:bookmarkEnd w:id="1269"/>
      <w:bookmarkStart w:id="1270" w:name="_Toc22780"/>
      <w:bookmarkStart w:id="1271" w:name="_Toc21376"/>
      <w:bookmarkStart w:id="1272" w:name="_Toc7223"/>
      <w:bookmarkStart w:id="1273" w:name="_Toc32407"/>
      <w:bookmarkStart w:id="1274" w:name="_Toc18494"/>
      <w:bookmarkStart w:id="1275" w:name="_Toc4396"/>
      <w:bookmarkStart w:id="1276" w:name="_Toc18480"/>
      <w:bookmarkStart w:id="1277" w:name="_Toc4023"/>
      <w:bookmarkStart w:id="1278" w:name="_Toc3470"/>
      <w:bookmarkStart w:id="1279" w:name="_Toc16280"/>
      <w:bookmarkStart w:id="1280" w:name="_Toc499072924"/>
      <w:bookmarkStart w:id="1281" w:name="_Toc522195023"/>
      <w:bookmarkStart w:id="1282" w:name="_Toc26936"/>
      <w:bookmarkStart w:id="1283" w:name="_Toc512515632"/>
      <w:r>
        <w:rPr>
          <w:rFonts w:hint="default" w:ascii="Times New Roman" w:hAnsi="Times New Roman" w:eastAsia="宋体" w:cs="Times New Roman"/>
          <w:snapToGrid w:val="0"/>
          <w:color w:val="auto"/>
          <w:spacing w:val="0"/>
          <w:w w:val="100"/>
          <w:kern w:val="0"/>
          <w:position w:val="0"/>
          <w:sz w:val="28"/>
          <w:szCs w:val="28"/>
          <w:highlight w:val="none"/>
          <w:lang w:val="en-US" w:eastAsia="zh-CN"/>
        </w:rPr>
        <w:t>9.4.1排污口的技术要求</w:t>
      </w:r>
      <w:bookmarkEnd w:id="1270"/>
      <w:bookmarkEnd w:id="1271"/>
      <w:bookmarkEnd w:id="1272"/>
      <w:bookmarkEnd w:id="1273"/>
      <w:bookmarkEnd w:id="1274"/>
      <w:bookmarkEnd w:id="1275"/>
      <w:bookmarkEnd w:id="1276"/>
      <w:bookmarkEnd w:id="1277"/>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⑴排污口应便于采样与计量监测，便于日常现场监督检查；</w:t>
      </w:r>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⑵排污口的位置必须合理确定，按《排污口规范化整治技术要求（试行）》（环监〔11148〕470号）要求进行规范化管理；</w:t>
      </w:r>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⑶排放的采样点设置应按《污染源监测技术规范》要求，设置在企业污染物总排口等处。</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84" w:name="_Toc367083916"/>
      <w:bookmarkEnd w:id="1284"/>
      <w:bookmarkStart w:id="1285" w:name="_Toc231701881"/>
      <w:bookmarkEnd w:id="1285"/>
      <w:bookmarkStart w:id="1286" w:name="_Toc228592864"/>
      <w:bookmarkEnd w:id="1286"/>
      <w:bookmarkStart w:id="1287" w:name="_Toc230860515"/>
      <w:bookmarkEnd w:id="1287"/>
      <w:bookmarkStart w:id="1288" w:name="_Toc230669225"/>
      <w:bookmarkEnd w:id="1288"/>
      <w:bookmarkStart w:id="1289" w:name="_Toc20458"/>
      <w:bookmarkStart w:id="1290" w:name="_Toc29813"/>
      <w:bookmarkStart w:id="1291" w:name="_Toc31921"/>
      <w:bookmarkStart w:id="1292" w:name="_Toc26276"/>
      <w:bookmarkStart w:id="1293" w:name="_Toc5925"/>
      <w:bookmarkStart w:id="1294" w:name="_Toc16611"/>
      <w:bookmarkStart w:id="1295" w:name="_Toc19107"/>
      <w:bookmarkStart w:id="1296" w:name="_Toc15868"/>
      <w:r>
        <w:rPr>
          <w:rFonts w:hint="default" w:ascii="Times New Roman" w:hAnsi="Times New Roman" w:eastAsia="宋体" w:cs="Times New Roman"/>
          <w:snapToGrid w:val="0"/>
          <w:color w:val="auto"/>
          <w:spacing w:val="0"/>
          <w:w w:val="100"/>
          <w:kern w:val="0"/>
          <w:position w:val="0"/>
          <w:sz w:val="28"/>
          <w:szCs w:val="28"/>
          <w:highlight w:val="none"/>
          <w:lang w:val="en-US" w:eastAsia="zh-CN"/>
        </w:rPr>
        <w:t>9.4.2排污口立标管理</w:t>
      </w:r>
      <w:bookmarkEnd w:id="1289"/>
      <w:bookmarkEnd w:id="1290"/>
      <w:bookmarkEnd w:id="1291"/>
      <w:bookmarkEnd w:id="1292"/>
      <w:bookmarkEnd w:id="1293"/>
      <w:bookmarkEnd w:id="1294"/>
      <w:bookmarkEnd w:id="1295"/>
      <w:bookmarkEnd w:id="1296"/>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⑴各污染物排放口，应按国家《环境保护图形标志》(15562.1-1995）与（GB15562.2-1995）的规定，设置国家环保部统一制作的环境保护图形标志牌；</w:t>
      </w:r>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⑵污染物排放口的环保图形标志牌应设置在靠近采样点的醒目处，标志牌设置高度为其上缘距地面2m。</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297" w:name="_Toc367083917"/>
      <w:bookmarkEnd w:id="1297"/>
      <w:bookmarkStart w:id="1298" w:name="_Toc19669"/>
      <w:bookmarkStart w:id="1299" w:name="_Toc28192"/>
      <w:bookmarkStart w:id="1300" w:name="_Toc22776"/>
      <w:bookmarkStart w:id="1301" w:name="_Toc27294"/>
      <w:bookmarkStart w:id="1302" w:name="_Toc9294"/>
      <w:bookmarkStart w:id="1303" w:name="_Toc29112"/>
      <w:bookmarkStart w:id="1304" w:name="_Toc22677"/>
      <w:bookmarkStart w:id="1305" w:name="_Toc31273"/>
      <w:r>
        <w:rPr>
          <w:rFonts w:hint="default" w:ascii="Times New Roman" w:hAnsi="Times New Roman" w:eastAsia="宋体" w:cs="Times New Roman"/>
          <w:snapToGrid w:val="0"/>
          <w:color w:val="auto"/>
          <w:spacing w:val="0"/>
          <w:w w:val="100"/>
          <w:kern w:val="0"/>
          <w:position w:val="0"/>
          <w:sz w:val="28"/>
          <w:szCs w:val="28"/>
          <w:highlight w:val="none"/>
          <w:lang w:val="en-US" w:eastAsia="zh-CN"/>
        </w:rPr>
        <w:t>9.4.3排污口设置及规范化管理</w:t>
      </w:r>
      <w:bookmarkEnd w:id="1298"/>
      <w:bookmarkEnd w:id="1299"/>
      <w:bookmarkEnd w:id="1300"/>
      <w:bookmarkEnd w:id="1301"/>
      <w:bookmarkEnd w:id="1302"/>
      <w:bookmarkEnd w:id="1303"/>
      <w:bookmarkEnd w:id="1304"/>
      <w:bookmarkEnd w:id="1305"/>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szCs w:val="22"/>
          <w:highlight w:val="none"/>
        </w:rPr>
        <w:t>在厂区</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三废</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排放口及噪声源处设置明显标志。标志的设置应执行《环境保护图形标志排放口(源)》（GB15562.1-1995）及《环境保护图形固体废物贮存(处置)场》（GB15562.2-1995）中的有关规定。排污口规范化整治，应符合国家、省、市有关规定，并通过主管环保部门认证和验收。</w:t>
      </w:r>
      <w:r>
        <w:rPr>
          <w:rFonts w:hint="default" w:ascii="Times New Roman" w:hAnsi="Times New Roman" w:eastAsia="宋体" w:cs="Times New Roman"/>
          <w:color w:val="auto"/>
          <w:spacing w:val="0"/>
          <w:w w:val="100"/>
          <w:kern w:val="0"/>
          <w:position w:val="0"/>
          <w:sz w:val="24"/>
          <w:highlight w:val="none"/>
        </w:rPr>
        <w:t>排放口图形标志牌见表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.4-1。</w:t>
      </w:r>
    </w:p>
    <w:p>
      <w:pPr>
        <w:pStyle w:val="8"/>
        <w:rPr>
          <w:rFonts w:hint="default" w:ascii="Times New Roman" w:hAnsi="Times New Roman" w:eastAsia="宋体" w:cs="Times New Roman"/>
          <w:color w:val="auto"/>
          <w:spacing w:val="0"/>
          <w:w w:val="100"/>
          <w:kern w:val="0"/>
          <w:position w:val="0"/>
          <w:sz w:val="24"/>
          <w:highlight w:val="none"/>
        </w:rPr>
      </w:pPr>
    </w:p>
    <w:p>
      <w:pPr>
        <w:rPr>
          <w:rFonts w:hint="default" w:ascii="Times New Roman" w:hAnsi="Times New Roman" w:eastAsia="宋体" w:cs="Times New Roman"/>
          <w:color w:val="auto"/>
          <w:spacing w:val="0"/>
          <w:w w:val="100"/>
          <w:kern w:val="0"/>
          <w:position w:val="0"/>
          <w:sz w:val="24"/>
          <w:highlight w:val="none"/>
        </w:rPr>
      </w:pPr>
    </w:p>
    <w:p>
      <w:pPr>
        <w:pStyle w:val="8"/>
        <w:rPr>
          <w:rFonts w:hint="default" w:ascii="Times New Roman" w:hAnsi="Times New Roman" w:eastAsia="宋体" w:cs="Times New Roman"/>
          <w:color w:val="auto"/>
          <w:spacing w:val="0"/>
          <w:w w:val="100"/>
          <w:kern w:val="0"/>
          <w:position w:val="0"/>
          <w:sz w:val="24"/>
          <w:highlight w:val="none"/>
        </w:rPr>
      </w:pPr>
    </w:p>
    <w:p>
      <w:pPr>
        <w:rPr>
          <w:rFonts w:hint="default" w:ascii="Times New Roman" w:hAnsi="Times New Roman" w:eastAsia="宋体" w:cs="Times New Roman"/>
          <w:color w:val="auto"/>
          <w:spacing w:val="0"/>
          <w:w w:val="100"/>
          <w:kern w:val="0"/>
          <w:position w:val="0"/>
          <w:sz w:val="24"/>
          <w:highlight w:val="none"/>
        </w:rPr>
      </w:pPr>
    </w:p>
    <w:p>
      <w:pPr>
        <w:pStyle w:val="8"/>
        <w:rPr>
          <w:rFonts w:hint="default" w:ascii="Times New Roman" w:hAnsi="Times New Roman" w:eastAsia="宋体" w:cs="Times New Roman"/>
          <w:color w:val="auto"/>
          <w:spacing w:val="0"/>
          <w:w w:val="100"/>
          <w:kern w:val="0"/>
          <w:position w:val="0"/>
          <w:sz w:val="24"/>
          <w:highlight w:val="none"/>
        </w:rPr>
      </w:pPr>
    </w:p>
    <w:p>
      <w:pPr>
        <w:rPr>
          <w:rFonts w:hint="default" w:ascii="Times New Roman" w:hAnsi="Times New Roman" w:eastAsia="宋体" w:cs="Times New Roman"/>
          <w:color w:val="auto"/>
          <w:spacing w:val="0"/>
          <w:w w:val="100"/>
          <w:kern w:val="0"/>
          <w:position w:val="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表9.4-1  </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排放口图形标志牌一览表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8"/>
        <w:gridCol w:w="1862"/>
        <w:gridCol w:w="2297"/>
        <w:gridCol w:w="1325"/>
        <w:gridCol w:w="24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序号</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提示图形符号</w:t>
            </w: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警告图形符号</w:t>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名称</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1</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892810" cy="777240"/>
                  <wp:effectExtent l="0" t="0" r="2540" b="381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37"/>
                          <a:stretch>
                            <a:fillRect/>
                          </a:stretch>
                        </pic:blipFill>
                        <pic:spPr>
                          <a:xfrm>
                            <a:off x="0" y="0"/>
                            <a:ext cx="892810" cy="777240"/>
                          </a:xfrm>
                          <a:prstGeom prst="rect">
                            <a:avLst/>
                          </a:prstGeom>
                          <a:noFill/>
                          <a:ln>
                            <a:noFill/>
                          </a:ln>
                        </pic:spPr>
                      </pic:pic>
                    </a:graphicData>
                  </a:graphic>
                </wp:inline>
              </w:drawing>
            </w: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856615" cy="772795"/>
                  <wp:effectExtent l="0" t="0" r="635" b="825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38"/>
                          <a:stretch>
                            <a:fillRect/>
                          </a:stretch>
                        </pic:blipFill>
                        <pic:spPr>
                          <a:xfrm>
                            <a:off x="0" y="0"/>
                            <a:ext cx="856615" cy="772795"/>
                          </a:xfrm>
                          <a:prstGeom prst="rect">
                            <a:avLst/>
                          </a:prstGeom>
                          <a:noFill/>
                          <a:ln>
                            <a:noFill/>
                          </a:ln>
                        </pic:spPr>
                      </pic:pic>
                    </a:graphicData>
                  </a:graphic>
                </wp:inline>
              </w:drawing>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废气排放源</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表示废气排放口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2</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831850" cy="792480"/>
                  <wp:effectExtent l="0" t="0" r="6350" b="762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39"/>
                          <a:stretch>
                            <a:fillRect/>
                          </a:stretch>
                        </pic:blipFill>
                        <pic:spPr>
                          <a:xfrm>
                            <a:off x="0" y="0"/>
                            <a:ext cx="831850" cy="792480"/>
                          </a:xfrm>
                          <a:prstGeom prst="rect">
                            <a:avLst/>
                          </a:prstGeom>
                          <a:noFill/>
                          <a:ln>
                            <a:noFill/>
                          </a:ln>
                        </pic:spPr>
                      </pic:pic>
                    </a:graphicData>
                  </a:graphic>
                </wp:inline>
              </w:drawing>
            </w: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875030" cy="775970"/>
                  <wp:effectExtent l="0" t="0" r="1270" b="508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0"/>
                          <a:stretch>
                            <a:fillRect/>
                          </a:stretch>
                        </pic:blipFill>
                        <pic:spPr>
                          <a:xfrm>
                            <a:off x="0" y="0"/>
                            <a:ext cx="875030" cy="775970"/>
                          </a:xfrm>
                          <a:prstGeom prst="rect">
                            <a:avLst/>
                          </a:prstGeom>
                          <a:noFill/>
                          <a:ln>
                            <a:noFill/>
                          </a:ln>
                        </pic:spPr>
                      </pic:pic>
                    </a:graphicData>
                  </a:graphic>
                </wp:inline>
              </w:drawing>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废水排放源</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表示废水排放口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3</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791845" cy="791845"/>
                  <wp:effectExtent l="0" t="0" r="8255" b="8255"/>
                  <wp:docPr id="45" name="图片 1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006"/>
                          <pic:cNvPicPr>
                            <a:picLocks noChangeAspect="1"/>
                          </pic:cNvPicPr>
                        </pic:nvPicPr>
                        <pic:blipFill>
                          <a:blip r:embed="rId41"/>
                          <a:srcRect l="5222" t="4480" r="5222"/>
                          <a:stretch>
                            <a:fillRect/>
                          </a:stretch>
                        </pic:blipFill>
                        <pic:spPr>
                          <a:xfrm>
                            <a:off x="0" y="0"/>
                            <a:ext cx="791845" cy="791845"/>
                          </a:xfrm>
                          <a:prstGeom prst="rect">
                            <a:avLst/>
                          </a:prstGeom>
                          <a:noFill/>
                          <a:ln>
                            <a:noFill/>
                          </a:ln>
                        </pic:spPr>
                      </pic:pic>
                    </a:graphicData>
                  </a:graphic>
                </wp:inline>
              </w:drawing>
            </w: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897255" cy="772795"/>
                  <wp:effectExtent l="0" t="0" r="17145" b="8255"/>
                  <wp:docPr id="46" name="图片 1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007"/>
                          <pic:cNvPicPr>
                            <a:picLocks noChangeAspect="1"/>
                          </pic:cNvPicPr>
                        </pic:nvPicPr>
                        <pic:blipFill>
                          <a:blip r:embed="rId42"/>
                          <a:srcRect l="8760" t="3073" r="4756" b="5531"/>
                          <a:stretch>
                            <a:fillRect/>
                          </a:stretch>
                        </pic:blipFill>
                        <pic:spPr>
                          <a:xfrm>
                            <a:off x="0" y="0"/>
                            <a:ext cx="897255" cy="772795"/>
                          </a:xfrm>
                          <a:prstGeom prst="rect">
                            <a:avLst/>
                          </a:prstGeom>
                          <a:noFill/>
                          <a:ln>
                            <a:noFill/>
                          </a:ln>
                        </pic:spPr>
                      </pic:pic>
                    </a:graphicData>
                  </a:graphic>
                </wp:inline>
              </w:drawing>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噪声源</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4</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957580" cy="780415"/>
                  <wp:effectExtent l="0" t="0" r="13970" b="635"/>
                  <wp:docPr id="47" name="图片 1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descr="003"/>
                          <pic:cNvPicPr>
                            <a:picLocks noChangeAspect="1"/>
                          </pic:cNvPicPr>
                        </pic:nvPicPr>
                        <pic:blipFill>
                          <a:blip r:embed="rId43"/>
                          <a:stretch>
                            <a:fillRect/>
                          </a:stretch>
                        </pic:blipFill>
                        <pic:spPr>
                          <a:xfrm>
                            <a:off x="0" y="0"/>
                            <a:ext cx="957580" cy="780415"/>
                          </a:xfrm>
                          <a:prstGeom prst="rect">
                            <a:avLst/>
                          </a:prstGeom>
                          <a:noFill/>
                          <a:ln>
                            <a:noFill/>
                          </a:ln>
                        </pic:spPr>
                      </pic:pic>
                    </a:graphicData>
                  </a:graphic>
                </wp:inline>
              </w:drawing>
            </w: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drawing>
                <wp:inline distT="0" distB="0" distL="114300" distR="114300">
                  <wp:extent cx="920750" cy="749300"/>
                  <wp:effectExtent l="0" t="0" r="12700" b="12700"/>
                  <wp:docPr id="43" name="图片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004"/>
                          <pic:cNvPicPr>
                            <a:picLocks noChangeAspect="1"/>
                          </pic:cNvPicPr>
                        </pic:nvPicPr>
                        <pic:blipFill>
                          <a:blip r:embed="rId44"/>
                          <a:srcRect l="2953" t="4430" r="1477" b="4134"/>
                          <a:stretch>
                            <a:fillRect/>
                          </a:stretch>
                        </pic:blipFill>
                        <pic:spPr>
                          <a:xfrm>
                            <a:off x="0" y="0"/>
                            <a:ext cx="920750" cy="749300"/>
                          </a:xfrm>
                          <a:prstGeom prst="rect">
                            <a:avLst/>
                          </a:prstGeom>
                          <a:noFill/>
                          <a:ln>
                            <a:noFill/>
                          </a:ln>
                        </pic:spPr>
                      </pic:pic>
                    </a:graphicData>
                  </a:graphic>
                </wp:inline>
              </w:drawing>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一般固体废物</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5</w:t>
            </w:r>
          </w:p>
        </w:tc>
        <w:tc>
          <w:tcPr>
            <w:tcW w:w="1862"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p>
        </w:tc>
        <w:tc>
          <w:tcPr>
            <w:tcW w:w="2297"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highlight w:val="none"/>
              </w:rPr>
              <w:drawing>
                <wp:inline distT="0" distB="0" distL="114300" distR="114300">
                  <wp:extent cx="934085" cy="825500"/>
                  <wp:effectExtent l="0" t="0" r="18415" b="1270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45"/>
                          <a:srcRect l="7892" t="4630" r="5246" b="5363"/>
                          <a:stretch>
                            <a:fillRect/>
                          </a:stretch>
                        </pic:blipFill>
                        <pic:spPr>
                          <a:xfrm>
                            <a:off x="0" y="0"/>
                            <a:ext cx="934085" cy="825500"/>
                          </a:xfrm>
                          <a:prstGeom prst="rect">
                            <a:avLst/>
                          </a:prstGeom>
                          <a:noFill/>
                          <a:ln>
                            <a:noFill/>
                          </a:ln>
                        </pic:spPr>
                      </pic:pic>
                    </a:graphicData>
                  </a:graphic>
                </wp:inline>
              </w:drawing>
            </w:r>
          </w:p>
        </w:tc>
        <w:tc>
          <w:tcPr>
            <w:tcW w:w="1325"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危险废物</w:t>
            </w:r>
          </w:p>
        </w:tc>
        <w:tc>
          <w:tcPr>
            <w:tcW w:w="2449" w:type="dxa"/>
            <w:noWrap w:val="0"/>
            <w:vAlign w:val="center"/>
          </w:tcPr>
          <w:p>
            <w:pPr>
              <w:pStyle w:val="19"/>
              <w:snapToGrid w:val="0"/>
              <w:spacing w:before="0" w:after="0" w:line="240" w:lineRule="auto"/>
              <w:ind w:left="0" w:firstLine="0"/>
              <w:jc w:val="center"/>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 w:val="0"/>
                <w:bCs/>
                <w:color w:val="auto"/>
                <w:spacing w:val="0"/>
                <w:w w:val="100"/>
                <w:kern w:val="0"/>
                <w:position w:val="0"/>
                <w:sz w:val="21"/>
                <w:szCs w:val="21"/>
                <w:highlight w:val="none"/>
              </w:rPr>
              <w:t>表示危险废物贮存、处置场</w:t>
            </w:r>
          </w:p>
        </w:tc>
      </w:tr>
    </w:tbl>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306" w:name="_Toc231701882"/>
      <w:bookmarkEnd w:id="1306"/>
      <w:bookmarkStart w:id="1307" w:name="_Toc228592865"/>
      <w:bookmarkEnd w:id="1307"/>
      <w:bookmarkStart w:id="1308" w:name="_Toc367083918"/>
      <w:bookmarkEnd w:id="1308"/>
      <w:bookmarkStart w:id="1309" w:name="_Toc230669226"/>
      <w:bookmarkEnd w:id="1309"/>
      <w:bookmarkStart w:id="1310" w:name="_Toc230860516"/>
      <w:bookmarkEnd w:id="1310"/>
      <w:bookmarkStart w:id="1311" w:name="_Toc25765"/>
      <w:bookmarkStart w:id="1312" w:name="_Toc29513"/>
      <w:bookmarkStart w:id="1313" w:name="_Toc7944"/>
      <w:bookmarkStart w:id="1314" w:name="_Toc27468"/>
      <w:bookmarkStart w:id="1315" w:name="_Toc17963"/>
      <w:bookmarkStart w:id="1316" w:name="_Toc32719"/>
      <w:bookmarkStart w:id="1317" w:name="_Toc28459"/>
      <w:bookmarkStart w:id="1318" w:name="_Toc11966"/>
      <w:bookmarkStart w:id="1319" w:name="_Toc32308"/>
      <w:bookmarkStart w:id="1320" w:name="_Toc7102"/>
      <w:bookmarkStart w:id="1321" w:name="_Toc16833"/>
      <w:bookmarkStart w:id="1322" w:name="_Toc27038"/>
      <w:r>
        <w:rPr>
          <w:rFonts w:hint="default" w:ascii="Times New Roman" w:hAnsi="Times New Roman" w:eastAsia="宋体" w:cs="Times New Roman"/>
          <w:snapToGrid w:val="0"/>
          <w:color w:val="auto"/>
          <w:spacing w:val="0"/>
          <w:w w:val="100"/>
          <w:kern w:val="0"/>
          <w:position w:val="0"/>
          <w:sz w:val="28"/>
          <w:szCs w:val="28"/>
          <w:highlight w:val="none"/>
          <w:lang w:val="en-US" w:eastAsia="zh-CN"/>
        </w:rPr>
        <w:t>9.4.4排污口建档管理</w:t>
      </w:r>
      <w:bookmarkEnd w:id="1311"/>
      <w:bookmarkEnd w:id="1312"/>
      <w:bookmarkEnd w:id="1313"/>
      <w:bookmarkEnd w:id="1314"/>
      <w:bookmarkEnd w:id="1315"/>
      <w:bookmarkEnd w:id="1316"/>
      <w:bookmarkEnd w:id="1317"/>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⑴要求使用国家环保部统一印刷的《中华人民共和国规范化排污口标志登记证》，并按要求填写有关内容；</w:t>
      </w:r>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⑵根据排污口管理档案内容要求，项目建成后，应将主要污染物种类、数量、浓度、排放去向、达标情况及设施运行情况记录于档案。</w:t>
      </w:r>
    </w:p>
    <w:p>
      <w:pPr>
        <w:pStyle w:val="4"/>
        <w:keepNext/>
        <w:keepLines/>
        <w:pageBreakBefore w:val="0"/>
        <w:widowControl w:val="0"/>
        <w:kinsoku/>
        <w:wordWrap/>
        <w:overflowPunct/>
        <w:topLinePunct w:val="0"/>
        <w:autoSpaceDE/>
        <w:autoSpaceDN/>
        <w:bidi w:val="0"/>
        <w:adjustRightInd/>
        <w:snapToGrid/>
        <w:spacing w:before="100" w:after="100" w:line="360" w:lineRule="auto"/>
        <w:textAlignment w:val="auto"/>
        <w:outlineLvl w:val="0"/>
        <w:rPr>
          <w:rFonts w:hint="default" w:ascii="Times New Roman" w:hAnsi="Times New Roman" w:eastAsia="宋体" w:cs="Times New Roman"/>
          <w:color w:val="auto"/>
          <w:spacing w:val="0"/>
          <w:w w:val="100"/>
          <w:kern w:val="0"/>
          <w:position w:val="0"/>
          <w:sz w:val="28"/>
          <w:szCs w:val="28"/>
          <w:highlight w:val="none"/>
        </w:rPr>
      </w:pPr>
      <w:bookmarkStart w:id="1323" w:name="_Toc31373"/>
      <w:r>
        <w:rPr>
          <w:rFonts w:hint="default" w:ascii="Times New Roman" w:hAnsi="Times New Roman" w:eastAsia="宋体" w:cs="Times New Roman"/>
          <w:color w:val="auto"/>
          <w:spacing w:val="0"/>
          <w:w w:val="100"/>
          <w:kern w:val="0"/>
          <w:position w:val="0"/>
          <w:sz w:val="28"/>
          <w:szCs w:val="28"/>
          <w:highlight w:val="none"/>
          <w:lang w:val="en-US" w:eastAsia="zh-CN"/>
        </w:rPr>
        <w:t>9</w:t>
      </w:r>
      <w:r>
        <w:rPr>
          <w:rFonts w:hint="default" w:ascii="Times New Roman" w:hAnsi="Times New Roman" w:eastAsia="宋体" w:cs="Times New Roman"/>
          <w:color w:val="auto"/>
          <w:spacing w:val="0"/>
          <w:w w:val="100"/>
          <w:kern w:val="0"/>
          <w:position w:val="0"/>
          <w:sz w:val="28"/>
          <w:szCs w:val="28"/>
          <w:highlight w:val="none"/>
        </w:rPr>
        <w:t>.5环境保护措施竣工验收管理</w:t>
      </w:r>
      <w:bookmarkEnd w:id="1278"/>
      <w:bookmarkEnd w:id="1279"/>
      <w:bookmarkEnd w:id="1280"/>
      <w:bookmarkEnd w:id="1281"/>
      <w:bookmarkEnd w:id="1282"/>
      <w:bookmarkEnd w:id="1283"/>
      <w:bookmarkEnd w:id="1318"/>
      <w:bookmarkEnd w:id="1319"/>
      <w:bookmarkEnd w:id="1320"/>
      <w:bookmarkEnd w:id="1321"/>
      <w:bookmarkEnd w:id="1322"/>
      <w:bookmarkEnd w:id="1323"/>
    </w:p>
    <w:p>
      <w:pPr>
        <w:widowControl w:val="0"/>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本项目建成后，污染源治理设施</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三同时</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建成，建设单位应按照竣工环境保护验收的相关规定自行开展竣工环保验收，验收结果应及时向环保主管部门申报。本项目对</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三废</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噪声及环境风险的防治均通过设置合理可行的环保设施、采取行之有效的防治措施来降低对环境的污染影响及危害。因此为确保本项目环保设施及污染防治措施的顺利进行，本次评价特提出本项目竣工环境保护验收重点，详见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.5-1。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表9.5-1</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  环保“三同时”验收一览表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86"/>
        <w:gridCol w:w="978"/>
        <w:gridCol w:w="4895"/>
        <w:gridCol w:w="2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blHeader/>
          <w:jc w:val="center"/>
        </w:trPr>
        <w:tc>
          <w:tcPr>
            <w:tcW w:w="586"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bookmarkStart w:id="1324" w:name="_Toc6223"/>
            <w:r>
              <w:rPr>
                <w:rFonts w:hint="default" w:ascii="Times New Roman" w:hAnsi="Times New Roman" w:eastAsia="宋体" w:cs="Times New Roman"/>
                <w:b/>
                <w:color w:val="auto"/>
                <w:spacing w:val="0"/>
                <w:w w:val="100"/>
                <w:kern w:val="0"/>
                <w:position w:val="0"/>
                <w:sz w:val="21"/>
                <w:szCs w:val="21"/>
                <w:highlight w:val="none"/>
              </w:rPr>
              <w:t>类别</w:t>
            </w:r>
          </w:p>
        </w:tc>
        <w:tc>
          <w:tcPr>
            <w:tcW w:w="978"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项目</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治理措施</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restart"/>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废气处理</w:t>
            </w: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恶臭</w:t>
            </w:r>
          </w:p>
        </w:tc>
        <w:tc>
          <w:tcPr>
            <w:tcW w:w="48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eastAsia" w:ascii="Times New Roman" w:hAnsi="Times New Roman" w:cs="Times New Roman"/>
                <w:b/>
                <w:bCs/>
                <w:color w:val="auto"/>
                <w:spacing w:val="0"/>
                <w:w w:val="100"/>
                <w:kern w:val="0"/>
                <w:position w:val="0"/>
                <w:sz w:val="21"/>
                <w:szCs w:val="21"/>
                <w:highlight w:val="none"/>
                <w:lang w:eastAsia="zh-CN"/>
              </w:rPr>
              <w:t>牛舍</w:t>
            </w:r>
            <w:r>
              <w:rPr>
                <w:rFonts w:hint="default" w:ascii="Times New Roman" w:hAnsi="Times New Roman" w:eastAsia="宋体" w:cs="Times New Roman"/>
                <w:b/>
                <w:bCs/>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rPr>
              <w:t>对</w:t>
            </w:r>
            <w:r>
              <w:rPr>
                <w:rFonts w:hint="eastAsia" w:ascii="Times New Roman" w:hAnsi="Times New Roman" w:cs="Times New Roman"/>
                <w:color w:val="auto"/>
                <w:spacing w:val="0"/>
                <w:w w:val="100"/>
                <w:kern w:val="0"/>
                <w:position w:val="0"/>
                <w:sz w:val="21"/>
                <w:szCs w:val="21"/>
                <w:highlight w:val="none"/>
                <w:lang w:eastAsia="zh-CN"/>
              </w:rPr>
              <w:t>牛舍</w:t>
            </w:r>
            <w:r>
              <w:rPr>
                <w:rFonts w:hint="default" w:ascii="Times New Roman" w:hAnsi="Times New Roman" w:eastAsia="宋体" w:cs="Times New Roman"/>
                <w:color w:val="auto"/>
                <w:spacing w:val="0"/>
                <w:w w:val="100"/>
                <w:kern w:val="0"/>
                <w:position w:val="0"/>
                <w:sz w:val="21"/>
                <w:szCs w:val="21"/>
                <w:highlight w:val="none"/>
              </w:rPr>
              <w:t>及运动场的牛粪，采用干清粪方式及时进行清理，定期消毒，喷洒除臭剂（生石灰）等。</w:t>
            </w:r>
          </w:p>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cs="Times New Roman"/>
                <w:b/>
                <w:bCs/>
                <w:color w:val="auto"/>
                <w:spacing w:val="0"/>
                <w:w w:val="100"/>
                <w:kern w:val="0"/>
                <w:position w:val="0"/>
                <w:sz w:val="21"/>
                <w:szCs w:val="21"/>
                <w:highlight w:val="none"/>
                <w:lang w:eastAsia="zh-CN"/>
              </w:rPr>
              <w:t>堆粪棚</w:t>
            </w:r>
            <w:r>
              <w:rPr>
                <w:rFonts w:hint="default" w:ascii="Times New Roman" w:hAnsi="Times New Roman" w:eastAsia="宋体" w:cs="Times New Roman"/>
                <w:b/>
                <w:bCs/>
                <w:color w:val="auto"/>
                <w:spacing w:val="0"/>
                <w:w w:val="100"/>
                <w:kern w:val="0"/>
                <w:position w:val="0"/>
                <w:sz w:val="21"/>
                <w:szCs w:val="21"/>
                <w:highlight w:val="none"/>
              </w:rPr>
              <w:t>：</w:t>
            </w:r>
            <w:r>
              <w:rPr>
                <w:rFonts w:hint="default" w:ascii="Times New Roman" w:hAnsi="Times New Roman" w:eastAsia="宋体" w:cs="Times New Roman"/>
                <w:color w:val="auto"/>
                <w:spacing w:val="0"/>
                <w:w w:val="100"/>
                <w:kern w:val="0"/>
                <w:position w:val="0"/>
                <w:sz w:val="21"/>
                <w:szCs w:val="21"/>
                <w:highlight w:val="none"/>
              </w:rPr>
              <w:t>加强过程控制和清运管理，减少牛粪堆存，定期消毒，在牛粪干湿分离、</w:t>
            </w:r>
            <w:r>
              <w:rPr>
                <w:rFonts w:hint="default" w:ascii="Times New Roman" w:hAnsi="Times New Roman" w:cs="Times New Roman"/>
                <w:color w:val="auto"/>
                <w:spacing w:val="0"/>
                <w:w w:val="100"/>
                <w:kern w:val="0"/>
                <w:position w:val="0"/>
                <w:sz w:val="21"/>
                <w:szCs w:val="21"/>
                <w:highlight w:val="none"/>
                <w:lang w:eastAsia="zh-CN"/>
              </w:rPr>
              <w:t>堆粪棚</w:t>
            </w:r>
            <w:r>
              <w:rPr>
                <w:rFonts w:hint="default" w:ascii="Times New Roman" w:hAnsi="Times New Roman" w:eastAsia="宋体" w:cs="Times New Roman"/>
                <w:color w:val="auto"/>
                <w:spacing w:val="0"/>
                <w:w w:val="100"/>
                <w:kern w:val="0"/>
                <w:position w:val="0"/>
                <w:sz w:val="21"/>
                <w:szCs w:val="21"/>
                <w:highlight w:val="none"/>
              </w:rPr>
              <w:t>等加入对粪污有降解除臭的特定微生物菌。</w:t>
            </w:r>
          </w:p>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污水处理区：</w:t>
            </w:r>
            <w:r>
              <w:rPr>
                <w:rFonts w:hint="default" w:ascii="Times New Roman" w:hAnsi="Times New Roman" w:eastAsia="宋体" w:cs="Times New Roman"/>
                <w:color w:val="auto"/>
                <w:spacing w:val="0"/>
                <w:w w:val="100"/>
                <w:kern w:val="0"/>
                <w:position w:val="0"/>
                <w:sz w:val="21"/>
                <w:szCs w:val="21"/>
                <w:highlight w:val="none"/>
              </w:rPr>
              <w:t>各类池体加盖封闭，加强周边绿化、喷洒除臭剂。</w:t>
            </w:r>
          </w:p>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饲养过程：</w:t>
            </w:r>
            <w:r>
              <w:rPr>
                <w:rFonts w:hint="default" w:ascii="Times New Roman" w:hAnsi="Times New Roman" w:eastAsia="宋体" w:cs="Times New Roman"/>
                <w:color w:val="auto"/>
                <w:spacing w:val="0"/>
                <w:w w:val="100"/>
                <w:kern w:val="0"/>
                <w:position w:val="0"/>
                <w:sz w:val="21"/>
                <w:szCs w:val="21"/>
                <w:highlight w:val="none"/>
              </w:rPr>
              <w:t>需科学管理、调配饲料等措施治理恶臭。</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《恶臭污染物排放标准》(GB14554-93)标准；</w:t>
            </w:r>
          </w:p>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《畜禽养殖业污染物排放标准》（GB18596-2001）的标准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饲料加工粉尘</w:t>
            </w:r>
          </w:p>
        </w:tc>
        <w:tc>
          <w:tcPr>
            <w:tcW w:w="48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粉碎机粉碎玉米产生的粉尘配套</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集气装置+布袋除尘器</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处理。</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满足《大气污染物综合排放标准》（GB16297-1996）中二级标准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废水处理</w:t>
            </w: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生活废水、生产废水</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rPr>
              <w:t>一座</w:t>
            </w:r>
            <w:r>
              <w:rPr>
                <w:rFonts w:hint="default" w:ascii="Times New Roman" w:hAnsi="Times New Roman" w:cs="Times New Roman"/>
                <w:color w:val="auto"/>
                <w:spacing w:val="0"/>
                <w:w w:val="100"/>
                <w:kern w:val="0"/>
                <w:position w:val="0"/>
                <w:sz w:val="21"/>
                <w:szCs w:val="21"/>
                <w:highlight w:val="none"/>
                <w:lang w:val="en-US" w:eastAsia="zh-CN"/>
              </w:rPr>
              <w:t>100</w:t>
            </w:r>
            <w:r>
              <w:rPr>
                <w:rFonts w:hint="default" w:ascii="Times New Roman" w:hAnsi="Times New Roman" w:eastAsia="宋体" w:cs="Times New Roman"/>
                <w:color w:val="auto"/>
                <w:spacing w:val="0"/>
                <w:w w:val="100"/>
                <w:kern w:val="0"/>
                <w:position w:val="0"/>
                <w:sz w:val="21"/>
                <w:szCs w:val="21"/>
                <w:highlight w:val="none"/>
              </w:rPr>
              <w:t>m</w:t>
            </w:r>
            <w:r>
              <w:rPr>
                <w:rFonts w:hint="default" w:ascii="Times New Roman" w:hAnsi="Times New Roman" w:eastAsia="宋体" w:cs="Times New Roman"/>
                <w:color w:val="auto"/>
                <w:spacing w:val="0"/>
                <w:w w:val="100"/>
                <w:kern w:val="0"/>
                <w:position w:val="0"/>
                <w:sz w:val="21"/>
                <w:szCs w:val="21"/>
                <w:highlight w:val="none"/>
                <w:vertAlign w:val="superscript"/>
              </w:rPr>
              <w:t>3</w:t>
            </w:r>
            <w:r>
              <w:rPr>
                <w:rFonts w:hint="default" w:ascii="Times New Roman" w:hAnsi="Times New Roman" w:eastAsia="宋体" w:cs="Times New Roman"/>
                <w:color w:val="auto"/>
                <w:spacing w:val="0"/>
                <w:w w:val="100"/>
                <w:kern w:val="0"/>
                <w:position w:val="0"/>
                <w:sz w:val="21"/>
                <w:szCs w:val="21"/>
                <w:highlight w:val="none"/>
              </w:rPr>
              <w:t>/d的污水处理站，采用</w:t>
            </w:r>
            <w:r>
              <w:rPr>
                <w:rFonts w:hint="default" w:ascii="Times New Roman" w:hAnsi="Times New Roman" w:eastAsia="宋体" w:cs="Times New Roman"/>
                <w:color w:val="auto"/>
                <w:spacing w:val="0"/>
                <w:w w:val="100"/>
                <w:kern w:val="0"/>
                <w:position w:val="0"/>
                <w:sz w:val="21"/>
                <w:szCs w:val="21"/>
                <w:highlight w:val="none"/>
                <w:lang w:eastAsia="zh-CN"/>
              </w:rPr>
              <w:t>“初沉池+调节池+压滤机+中间水池+A/O/O反应池+二沉池+消毒池+氧化塘”</w:t>
            </w:r>
            <w:r>
              <w:rPr>
                <w:rFonts w:hint="default" w:ascii="Times New Roman" w:hAnsi="Times New Roman" w:eastAsia="宋体" w:cs="Times New Roman"/>
                <w:color w:val="auto"/>
                <w:spacing w:val="0"/>
                <w:w w:val="100"/>
                <w:kern w:val="0"/>
                <w:position w:val="0"/>
                <w:sz w:val="21"/>
                <w:szCs w:val="21"/>
                <w:highlight w:val="none"/>
              </w:rPr>
              <w:t>无害化处理工艺；污水处理站配备污泥压滤机对污泥进行脱水处理</w:t>
            </w:r>
          </w:p>
        </w:tc>
        <w:tc>
          <w:tcPr>
            <w:tcW w:w="22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rPr>
              <w:t>《农田灌溉水质标准》（GB5084-2005）中</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旱作</w:t>
            </w:r>
            <w:r>
              <w:rPr>
                <w:rFonts w:hint="default" w:ascii="Times New Roman" w:hAnsi="Times New Roman" w:eastAsia="宋体" w:cs="Times New Roman"/>
                <w:color w:val="auto"/>
                <w:spacing w:val="0"/>
                <w:w w:val="100"/>
                <w:kern w:val="0"/>
                <w:position w:val="0"/>
                <w:sz w:val="21"/>
                <w:szCs w:val="21"/>
                <w:highlight w:val="none"/>
                <w:lang w:eastAsia="zh-CN"/>
              </w:rPr>
              <w:t>”</w:t>
            </w:r>
            <w:r>
              <w:rPr>
                <w:rFonts w:hint="default" w:ascii="Times New Roman" w:hAnsi="Times New Roman" w:eastAsia="宋体" w:cs="Times New Roman"/>
                <w:color w:val="auto"/>
                <w:spacing w:val="0"/>
                <w:w w:val="100"/>
                <w:kern w:val="0"/>
                <w:position w:val="0"/>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噪声处理</w:t>
            </w:r>
          </w:p>
        </w:tc>
        <w:tc>
          <w:tcPr>
            <w:tcW w:w="978"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厂界噪声</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val="zh-CN"/>
              </w:rPr>
              <w:t>对主要产噪设备和主厂房采取降噪隔音、减振措施</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厂界满足《工业企业厂界环境噪声排放标准》（GB12348-2008）</w:t>
            </w:r>
            <w:r>
              <w:rPr>
                <w:rFonts w:hint="default" w:ascii="Times New Roman" w:hAnsi="Times New Roman" w:eastAsia="宋体" w:cs="Times New Roman"/>
                <w:color w:val="auto"/>
                <w:spacing w:val="0"/>
                <w:w w:val="100"/>
                <w:kern w:val="0"/>
                <w:position w:val="0"/>
                <w:sz w:val="21"/>
                <w:szCs w:val="21"/>
                <w:highlight w:val="none"/>
                <w:lang w:val="en-US" w:eastAsia="zh-CN"/>
              </w:rPr>
              <w:t>2</w:t>
            </w:r>
            <w:r>
              <w:rPr>
                <w:rFonts w:hint="default" w:ascii="Times New Roman" w:hAnsi="Times New Roman" w:eastAsia="宋体" w:cs="Times New Roman"/>
                <w:color w:val="auto"/>
                <w:spacing w:val="0"/>
                <w:w w:val="100"/>
                <w:kern w:val="0"/>
                <w:position w:val="0"/>
                <w:sz w:val="21"/>
                <w:szCs w:val="21"/>
                <w:highlight w:val="none"/>
              </w:rPr>
              <w:t>类区（排放限值要求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restart"/>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固体废物</w:t>
            </w: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危险废物</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建设一座</w:t>
            </w:r>
            <w:r>
              <w:rPr>
                <w:rFonts w:hint="default" w:ascii="Times New Roman" w:hAnsi="Times New Roman" w:eastAsia="宋体" w:cs="Times New Roman"/>
                <w:color w:val="auto"/>
                <w:spacing w:val="0"/>
                <w:w w:val="100"/>
                <w:kern w:val="0"/>
                <w:position w:val="0"/>
                <w:sz w:val="21"/>
                <w:szCs w:val="21"/>
                <w:highlight w:val="none"/>
                <w:lang w:val="en-US" w:eastAsia="zh-CN"/>
              </w:rPr>
              <w:t>10</w:t>
            </w:r>
            <w:r>
              <w:rPr>
                <w:rFonts w:hint="default" w:ascii="Times New Roman" w:hAnsi="Times New Roman" w:eastAsia="宋体" w:cs="Times New Roman"/>
                <w:color w:val="auto"/>
                <w:spacing w:val="0"/>
                <w:w w:val="100"/>
                <w:kern w:val="0"/>
                <w:position w:val="0"/>
                <w:sz w:val="21"/>
                <w:szCs w:val="21"/>
                <w:highlight w:val="none"/>
              </w:rPr>
              <w:t>m</w:t>
            </w:r>
            <w:r>
              <w:rPr>
                <w:rFonts w:hint="default" w:ascii="Times New Roman" w:hAnsi="Times New Roman" w:eastAsia="宋体" w:cs="Times New Roman"/>
                <w:color w:val="auto"/>
                <w:spacing w:val="0"/>
                <w:w w:val="100"/>
                <w:kern w:val="0"/>
                <w:position w:val="0"/>
                <w:sz w:val="21"/>
                <w:szCs w:val="21"/>
                <w:highlight w:val="none"/>
                <w:vertAlign w:val="superscript"/>
              </w:rPr>
              <w:t>2</w:t>
            </w:r>
            <w:r>
              <w:rPr>
                <w:rFonts w:hint="default" w:ascii="Times New Roman" w:hAnsi="Times New Roman" w:eastAsia="宋体" w:cs="Times New Roman"/>
                <w:color w:val="auto"/>
                <w:spacing w:val="0"/>
                <w:w w:val="100"/>
                <w:kern w:val="0"/>
                <w:position w:val="0"/>
                <w:sz w:val="21"/>
                <w:szCs w:val="21"/>
                <w:highlight w:val="none"/>
              </w:rPr>
              <w:t>危险废物暂存间，</w:t>
            </w:r>
            <w:r>
              <w:rPr>
                <w:rFonts w:hint="default" w:ascii="Times New Roman" w:hAnsi="Times New Roman" w:eastAsia="宋体" w:cs="Times New Roman"/>
                <w:bCs/>
                <w:color w:val="auto"/>
                <w:spacing w:val="0"/>
                <w:w w:val="100"/>
                <w:kern w:val="0"/>
                <w:position w:val="0"/>
                <w:sz w:val="21"/>
                <w:szCs w:val="21"/>
                <w:highlight w:val="none"/>
              </w:rPr>
              <w:t>防雨、防晒、防渗漏，暂存地面采取硬化防渗处理，贴相关标识牌；液体类储存区设置围堰和导流槽。</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满足《危险废物贮存污染控制标准》(GB18597-2001)及2013年修改单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生活垃圾</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垃圾收集箱，收集后交由环卫部门处理。</w:t>
            </w:r>
          </w:p>
        </w:tc>
        <w:tc>
          <w:tcPr>
            <w:tcW w:w="2272" w:type="dxa"/>
            <w:vMerge w:val="restart"/>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满足《一般工业固体废物贮存、处置场污染控制标准》(GB18599-2001)及2013年修改单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p>
        </w:tc>
        <w:tc>
          <w:tcPr>
            <w:tcW w:w="9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snapToGrid w:val="0"/>
                <w:color w:val="auto"/>
                <w:spacing w:val="0"/>
                <w:w w:val="100"/>
                <w:kern w:val="0"/>
                <w:position w:val="0"/>
                <w:sz w:val="21"/>
                <w:szCs w:val="21"/>
                <w:highlight w:val="none"/>
              </w:rPr>
              <w:t>牛粪、</w:t>
            </w:r>
            <w:r>
              <w:rPr>
                <w:rFonts w:hint="default" w:ascii="Times New Roman" w:hAnsi="Times New Roman" w:eastAsia="宋体" w:cs="Times New Roman"/>
                <w:snapToGrid w:val="0"/>
                <w:color w:val="auto"/>
                <w:spacing w:val="0"/>
                <w:w w:val="100"/>
                <w:kern w:val="0"/>
                <w:position w:val="0"/>
                <w:sz w:val="21"/>
                <w:szCs w:val="21"/>
                <w:highlight w:val="none"/>
                <w:lang w:eastAsia="zh-CN"/>
              </w:rPr>
              <w:t>污泥</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eastAsia="zh-CN"/>
              </w:rPr>
            </w:pPr>
            <w:r>
              <w:rPr>
                <w:rFonts w:hint="default" w:ascii="Times New Roman" w:hAnsi="Times New Roman" w:eastAsia="宋体" w:cs="Times New Roman"/>
                <w:color w:val="auto"/>
                <w:spacing w:val="0"/>
                <w:w w:val="100"/>
                <w:kern w:val="0"/>
                <w:position w:val="0"/>
                <w:sz w:val="21"/>
                <w:szCs w:val="21"/>
                <w:highlight w:val="none"/>
                <w:lang w:val="zh-CN"/>
              </w:rPr>
              <w:t>建</w:t>
            </w:r>
            <w:r>
              <w:rPr>
                <w:rFonts w:hint="default" w:ascii="Times New Roman" w:hAnsi="Times New Roman" w:eastAsia="宋体" w:cs="Times New Roman"/>
                <w:color w:val="auto"/>
                <w:spacing w:val="0"/>
                <w:w w:val="100"/>
                <w:kern w:val="0"/>
                <w:position w:val="0"/>
                <w:sz w:val="21"/>
                <w:szCs w:val="21"/>
                <w:highlight w:val="none"/>
                <w:lang w:val="en-US" w:eastAsia="zh-CN"/>
              </w:rPr>
              <w:t>1</w:t>
            </w:r>
            <w:r>
              <w:rPr>
                <w:rFonts w:hint="default" w:ascii="Times New Roman" w:hAnsi="Times New Roman" w:eastAsia="宋体" w:cs="Times New Roman"/>
                <w:color w:val="auto"/>
                <w:spacing w:val="0"/>
                <w:w w:val="100"/>
                <w:kern w:val="0"/>
                <w:position w:val="0"/>
                <w:sz w:val="21"/>
                <w:szCs w:val="21"/>
                <w:highlight w:val="none"/>
                <w:lang w:val="zh-CN" w:eastAsia="zh-CN"/>
              </w:rPr>
              <w:t>座堆粪棚</w:t>
            </w:r>
            <w:r>
              <w:rPr>
                <w:rFonts w:hint="default" w:ascii="Times New Roman" w:hAnsi="Times New Roman" w:eastAsia="宋体" w:cs="Times New Roman"/>
                <w:color w:val="auto"/>
                <w:spacing w:val="0"/>
                <w:w w:val="100"/>
                <w:kern w:val="0"/>
                <w:position w:val="0"/>
                <w:sz w:val="21"/>
                <w:szCs w:val="21"/>
                <w:highlight w:val="none"/>
                <w:lang w:val="zh-CN"/>
              </w:rPr>
              <w:t>，用于牛粪、</w:t>
            </w:r>
            <w:r>
              <w:rPr>
                <w:rFonts w:hint="default" w:ascii="Times New Roman" w:hAnsi="Times New Roman" w:eastAsia="宋体" w:cs="Times New Roman"/>
                <w:color w:val="auto"/>
                <w:spacing w:val="0"/>
                <w:w w:val="100"/>
                <w:kern w:val="0"/>
                <w:position w:val="0"/>
                <w:sz w:val="21"/>
                <w:szCs w:val="21"/>
                <w:highlight w:val="none"/>
                <w:lang w:val="zh-CN" w:eastAsia="zh-CN"/>
              </w:rPr>
              <w:t>污泥</w:t>
            </w:r>
            <w:r>
              <w:rPr>
                <w:rFonts w:hint="default" w:ascii="Times New Roman" w:hAnsi="Times New Roman" w:eastAsia="宋体" w:cs="Times New Roman"/>
                <w:color w:val="auto"/>
                <w:spacing w:val="0"/>
                <w:w w:val="100"/>
                <w:kern w:val="0"/>
                <w:position w:val="0"/>
                <w:sz w:val="21"/>
                <w:szCs w:val="21"/>
                <w:highlight w:val="none"/>
                <w:lang w:val="zh-CN"/>
              </w:rPr>
              <w:t>等的堆放和腐熟，设防雨顶棚，地面采取硬化防渗处理，牛粪经堆</w:t>
            </w:r>
            <w:r>
              <w:rPr>
                <w:rFonts w:hint="default" w:ascii="Times New Roman" w:hAnsi="Times New Roman" w:eastAsia="宋体" w:cs="Times New Roman"/>
                <w:color w:val="auto"/>
                <w:spacing w:val="0"/>
                <w:w w:val="100"/>
                <w:kern w:val="0"/>
                <w:position w:val="0"/>
                <w:sz w:val="21"/>
                <w:szCs w:val="21"/>
                <w:highlight w:val="none"/>
                <w:lang w:val="zh-CN" w:eastAsia="zh-CN"/>
              </w:rPr>
              <w:t>存</w:t>
            </w:r>
            <w:r>
              <w:rPr>
                <w:rFonts w:hint="default" w:ascii="Times New Roman" w:hAnsi="Times New Roman" w:eastAsia="宋体" w:cs="Times New Roman"/>
                <w:color w:val="auto"/>
                <w:spacing w:val="0"/>
                <w:w w:val="100"/>
                <w:kern w:val="0"/>
                <w:position w:val="0"/>
                <w:sz w:val="21"/>
                <w:szCs w:val="21"/>
                <w:highlight w:val="none"/>
                <w:lang w:val="zh-CN"/>
              </w:rPr>
              <w:t>后</w:t>
            </w:r>
            <w:r>
              <w:rPr>
                <w:rFonts w:hint="eastAsia" w:ascii="Times New Roman" w:hAnsi="Times New Roman" w:eastAsia="宋体" w:cs="Times New Roman"/>
                <w:color w:val="auto"/>
                <w:spacing w:val="0"/>
                <w:w w:val="100"/>
                <w:kern w:val="0"/>
                <w:position w:val="0"/>
                <w:sz w:val="21"/>
                <w:szCs w:val="21"/>
                <w:highlight w:val="none"/>
                <w:lang w:val="zh-CN" w:eastAsia="zh-CN"/>
              </w:rPr>
              <w:t>出售给周边农户，还田利用</w:t>
            </w:r>
          </w:p>
        </w:tc>
        <w:tc>
          <w:tcPr>
            <w:tcW w:w="2272"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00" w:hRule="atLeast"/>
          <w:jc w:val="center"/>
        </w:trPr>
        <w:tc>
          <w:tcPr>
            <w:tcW w:w="586"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p>
        </w:tc>
        <w:tc>
          <w:tcPr>
            <w:tcW w:w="978"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病死牛尸体及胎盘</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rPr>
            </w:pPr>
            <w:r>
              <w:rPr>
                <w:rFonts w:hint="default" w:ascii="Times New Roman" w:hAnsi="Times New Roman" w:eastAsia="宋体" w:cs="Times New Roman"/>
                <w:color w:val="auto"/>
                <w:spacing w:val="0"/>
                <w:w w:val="100"/>
                <w:kern w:val="0"/>
                <w:position w:val="0"/>
                <w:sz w:val="21"/>
                <w:szCs w:val="21"/>
                <w:highlight w:val="none"/>
                <w:lang w:val="zh-CN"/>
              </w:rPr>
              <w:t>病死牛尸体及胎盘由</w:t>
            </w:r>
            <w:r>
              <w:rPr>
                <w:rFonts w:hint="default" w:ascii="Times New Roman" w:hAnsi="Times New Roman" w:eastAsia="宋体" w:cs="Times New Roman"/>
                <w:color w:val="auto"/>
                <w:spacing w:val="0"/>
                <w:w w:val="100"/>
                <w:kern w:val="0"/>
                <w:position w:val="0"/>
                <w:sz w:val="21"/>
                <w:szCs w:val="21"/>
                <w:highlight w:val="none"/>
                <w:lang w:val="zh-CN" w:eastAsia="zh-CN"/>
              </w:rPr>
              <w:t>防疫部门</w:t>
            </w:r>
            <w:r>
              <w:rPr>
                <w:rFonts w:hint="default" w:ascii="Times New Roman" w:hAnsi="Times New Roman" w:eastAsia="宋体" w:cs="Times New Roman"/>
                <w:color w:val="auto"/>
                <w:spacing w:val="0"/>
                <w:w w:val="100"/>
                <w:kern w:val="0"/>
                <w:position w:val="0"/>
                <w:sz w:val="21"/>
                <w:szCs w:val="21"/>
                <w:highlight w:val="none"/>
                <w:lang w:val="zh-CN"/>
              </w:rPr>
              <w:t>专用车辆送往无害化</w:t>
            </w:r>
            <w:r>
              <w:rPr>
                <w:rFonts w:hint="default" w:ascii="Times New Roman" w:hAnsi="Times New Roman" w:eastAsia="宋体" w:cs="Times New Roman"/>
                <w:color w:val="auto"/>
                <w:spacing w:val="0"/>
                <w:w w:val="100"/>
                <w:kern w:val="0"/>
                <w:position w:val="0"/>
                <w:sz w:val="21"/>
                <w:szCs w:val="21"/>
                <w:highlight w:val="none"/>
                <w:lang w:val="zh-CN" w:eastAsia="zh-CN"/>
              </w:rPr>
              <w:t>处理中心</w:t>
            </w:r>
            <w:r>
              <w:rPr>
                <w:rFonts w:hint="default" w:ascii="Times New Roman" w:hAnsi="Times New Roman" w:eastAsia="宋体" w:cs="Times New Roman"/>
                <w:color w:val="auto"/>
                <w:spacing w:val="0"/>
                <w:w w:val="100"/>
                <w:kern w:val="0"/>
                <w:position w:val="0"/>
                <w:sz w:val="21"/>
                <w:szCs w:val="21"/>
                <w:highlight w:val="none"/>
                <w:lang w:val="zh-CN"/>
              </w:rPr>
              <w:t>处置。</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eastAsia="zh-CN"/>
              </w:rPr>
              <w:t>无害化处置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vMerge w:val="continue"/>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p>
        </w:tc>
        <w:tc>
          <w:tcPr>
            <w:tcW w:w="978"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除尘器</w:t>
            </w:r>
            <w:r>
              <w:rPr>
                <w:rFonts w:hint="default" w:ascii="Times New Roman" w:hAnsi="Times New Roman" w:eastAsia="宋体" w:cs="Times New Roman"/>
                <w:bCs/>
                <w:color w:val="auto"/>
                <w:spacing w:val="0"/>
                <w:w w:val="100"/>
                <w:kern w:val="0"/>
                <w:position w:val="0"/>
                <w:sz w:val="21"/>
                <w:szCs w:val="21"/>
                <w:highlight w:val="none"/>
                <w:lang w:eastAsia="zh-CN"/>
              </w:rPr>
              <w:t>收尘灰</w:t>
            </w:r>
          </w:p>
        </w:tc>
        <w:tc>
          <w:tcPr>
            <w:tcW w:w="4895"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color w:val="auto"/>
                <w:spacing w:val="0"/>
                <w:w w:val="100"/>
                <w:kern w:val="0"/>
                <w:position w:val="0"/>
                <w:sz w:val="21"/>
                <w:szCs w:val="21"/>
                <w:highlight w:val="none"/>
                <w:lang w:val="zh-CN"/>
              </w:rPr>
              <w:t>全部重新混入原料中加工成饲料，综合利用。</w:t>
            </w:r>
          </w:p>
        </w:tc>
        <w:tc>
          <w:tcPr>
            <w:tcW w:w="2272"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防渗</w:t>
            </w:r>
          </w:p>
        </w:tc>
        <w:tc>
          <w:tcPr>
            <w:tcW w:w="97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地下水防治措施</w:t>
            </w:r>
          </w:p>
        </w:tc>
        <w:tc>
          <w:tcPr>
            <w:tcW w:w="48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采取分区防渗措施，对危险废物暂存间、污水处理站、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、氧化塘</w:t>
            </w:r>
            <w:r>
              <w:rPr>
                <w:rFonts w:hint="default" w:ascii="Times New Roman" w:hAnsi="Times New Roman" w:eastAsia="宋体" w:cs="Times New Roman"/>
                <w:color w:val="auto"/>
                <w:spacing w:val="0"/>
                <w:w w:val="100"/>
                <w:kern w:val="0"/>
                <w:position w:val="0"/>
                <w:szCs w:val="21"/>
                <w:highlight w:val="none"/>
              </w:rPr>
              <w:t>做重点防渗，其中危废暂存间防渗性能需满足《危险废物贮存污染控制标准》（GB 18597-2001）要求，基础必须防渗，防渗层为至少1m</w:t>
            </w:r>
            <w:r>
              <w:rPr>
                <w:rFonts w:hint="default" w:ascii="Times New Roman" w:hAnsi="Times New Roman" w:eastAsia="宋体" w:cs="Times New Roman"/>
                <w:color w:val="auto"/>
                <w:spacing w:val="0"/>
                <w:w w:val="100"/>
                <w:kern w:val="0"/>
                <w:position w:val="0"/>
                <w:szCs w:val="21"/>
                <w:highlight w:val="none"/>
                <w:lang w:eastAsia="zh-CN"/>
              </w:rPr>
              <w:t>厚</w:t>
            </w:r>
            <w:r>
              <w:rPr>
                <w:rFonts w:hint="default" w:ascii="Times New Roman" w:hAnsi="Times New Roman" w:eastAsia="宋体" w:cs="Times New Roman"/>
                <w:color w:val="auto"/>
                <w:spacing w:val="0"/>
                <w:w w:val="100"/>
                <w:kern w:val="0"/>
                <w:position w:val="0"/>
                <w:szCs w:val="21"/>
                <w:highlight w:val="none"/>
              </w:rPr>
              <w:t>粘土层（渗透系数≤1.0×10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cm/s），或2mm厚高密度聚乙烯，或至少2mm厚的其它人工材料，渗透系数1.0×10</w:t>
            </w:r>
            <w:r>
              <w:rPr>
                <w:rFonts w:hint="default" w:ascii="Times New Roman" w:hAnsi="Times New Roman" w:eastAsia="宋体" w:cs="Times New Roman"/>
                <w:color w:val="auto"/>
                <w:spacing w:val="0"/>
                <w:w w:val="100"/>
                <w:kern w:val="0"/>
                <w:position w:val="0"/>
                <w:szCs w:val="21"/>
                <w:highlight w:val="none"/>
                <w:vertAlign w:val="superscript"/>
              </w:rPr>
              <w:t>-10</w:t>
            </w:r>
            <w:r>
              <w:rPr>
                <w:rFonts w:hint="default" w:ascii="Times New Roman" w:hAnsi="Times New Roman" w:eastAsia="宋体" w:cs="Times New Roman"/>
                <w:color w:val="auto"/>
                <w:spacing w:val="0"/>
                <w:w w:val="100"/>
                <w:kern w:val="0"/>
                <w:position w:val="0"/>
                <w:szCs w:val="21"/>
                <w:highlight w:val="none"/>
              </w:rPr>
              <w:t>cm/s；污水处理站、</w:t>
            </w:r>
            <w:r>
              <w:rPr>
                <w:rFonts w:hint="default" w:ascii="Times New Roman" w:hAnsi="Times New Roman" w:cs="Times New Roman"/>
                <w:color w:val="auto"/>
                <w:spacing w:val="0"/>
                <w:w w:val="100"/>
                <w:kern w:val="0"/>
                <w:position w:val="0"/>
                <w:szCs w:val="21"/>
                <w:highlight w:val="none"/>
                <w:lang w:eastAsia="zh-CN"/>
              </w:rPr>
              <w:t>堆粪棚</w:t>
            </w:r>
            <w:r>
              <w:rPr>
                <w:rFonts w:hint="default" w:ascii="Times New Roman" w:hAnsi="Times New Roman" w:eastAsia="宋体" w:cs="Times New Roman"/>
                <w:color w:val="auto"/>
                <w:spacing w:val="0"/>
                <w:w w:val="100"/>
                <w:kern w:val="0"/>
                <w:position w:val="0"/>
                <w:szCs w:val="21"/>
                <w:highlight w:val="none"/>
                <w:lang w:eastAsia="zh-CN"/>
              </w:rPr>
              <w:t>及氧化塘</w:t>
            </w:r>
            <w:r>
              <w:rPr>
                <w:rFonts w:hint="default" w:ascii="Times New Roman" w:hAnsi="Times New Roman" w:eastAsia="宋体" w:cs="Times New Roman"/>
                <w:color w:val="auto"/>
                <w:spacing w:val="0"/>
                <w:w w:val="100"/>
                <w:kern w:val="0"/>
                <w:position w:val="0"/>
                <w:szCs w:val="21"/>
                <w:highlight w:val="none"/>
              </w:rPr>
              <w:t>防渗层的性能不低于6.0m厚渗透系数为1.0×10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cm/s的黏土层。对牛舍、挤奶厅做一般防渗，其防渗层的防渗性能不低于1.5m厚渗透系数为1.0×10</w:t>
            </w:r>
            <w:r>
              <w:rPr>
                <w:rFonts w:hint="default" w:ascii="Times New Roman" w:hAnsi="Times New Roman" w:eastAsia="宋体" w:cs="Times New Roman"/>
                <w:color w:val="auto"/>
                <w:spacing w:val="0"/>
                <w:w w:val="100"/>
                <w:kern w:val="0"/>
                <w:position w:val="0"/>
                <w:szCs w:val="21"/>
                <w:highlight w:val="none"/>
                <w:vertAlign w:val="superscript"/>
              </w:rPr>
              <w:t>-7</w:t>
            </w:r>
            <w:r>
              <w:rPr>
                <w:rFonts w:hint="default" w:ascii="Times New Roman" w:hAnsi="Times New Roman" w:eastAsia="宋体" w:cs="Times New Roman"/>
                <w:color w:val="auto"/>
                <w:spacing w:val="0"/>
                <w:w w:val="100"/>
                <w:kern w:val="0"/>
                <w:position w:val="0"/>
                <w:szCs w:val="21"/>
                <w:highlight w:val="none"/>
              </w:rPr>
              <w:t>cm/s的黏土层的防渗性能。</w:t>
            </w:r>
          </w:p>
        </w:tc>
        <w:tc>
          <w:tcPr>
            <w:tcW w:w="2272"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达到相应防渗系数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监测</w:t>
            </w:r>
          </w:p>
        </w:tc>
        <w:tc>
          <w:tcPr>
            <w:tcW w:w="97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地下水</w:t>
            </w:r>
          </w:p>
        </w:tc>
        <w:tc>
          <w:tcPr>
            <w:tcW w:w="48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snapToGrid w:val="0"/>
                <w:color w:val="auto"/>
                <w:spacing w:val="0"/>
                <w:w w:val="100"/>
                <w:kern w:val="0"/>
                <w:position w:val="0"/>
                <w:sz w:val="21"/>
                <w:szCs w:val="21"/>
                <w:highlight w:val="none"/>
              </w:rPr>
              <w:t>场区下游500m内布设地下水监测井1眼。</w:t>
            </w:r>
          </w:p>
        </w:tc>
        <w:tc>
          <w:tcPr>
            <w:tcW w:w="227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56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绿化</w:t>
            </w:r>
          </w:p>
        </w:tc>
        <w:tc>
          <w:tcPr>
            <w:tcW w:w="48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绿化面积</w:t>
            </w:r>
            <w:r>
              <w:rPr>
                <w:rFonts w:hint="default" w:ascii="Times New Roman" w:hAnsi="Times New Roman" w:cs="Times New Roman"/>
                <w:color w:val="auto"/>
                <w:spacing w:val="0"/>
                <w:w w:val="100"/>
                <w:kern w:val="0"/>
                <w:position w:val="0"/>
                <w:sz w:val="21"/>
                <w:szCs w:val="21"/>
                <w:highlight w:val="none"/>
                <w:lang w:val="en-US" w:eastAsia="zh-CN"/>
              </w:rPr>
              <w:t xml:space="preserve"> </w:t>
            </w:r>
            <w:r>
              <w:rPr>
                <w:rFonts w:hint="eastAsia" w:ascii="Times New Roman" w:hAnsi="Times New Roman" w:cs="Times New Roman"/>
                <w:color w:val="auto"/>
                <w:spacing w:val="0"/>
                <w:w w:val="100"/>
                <w:kern w:val="0"/>
                <w:position w:val="0"/>
                <w:sz w:val="21"/>
                <w:szCs w:val="21"/>
                <w:highlight w:val="none"/>
                <w:lang w:val="en-US" w:eastAsia="zh-CN"/>
              </w:rPr>
              <w:t>20</w:t>
            </w:r>
            <w:r>
              <w:rPr>
                <w:rFonts w:hint="default" w:ascii="Times New Roman" w:hAnsi="Times New Roman" w:cs="Times New Roman"/>
                <w:color w:val="auto"/>
                <w:spacing w:val="0"/>
                <w:w w:val="100"/>
                <w:kern w:val="0"/>
                <w:position w:val="0"/>
                <w:sz w:val="21"/>
                <w:szCs w:val="21"/>
                <w:highlight w:val="none"/>
                <w:lang w:val="en-US" w:eastAsia="zh-CN"/>
              </w:rPr>
              <w:t>00</w:t>
            </w:r>
            <w:r>
              <w:rPr>
                <w:rFonts w:hint="default" w:ascii="Times New Roman" w:hAnsi="Times New Roman" w:eastAsia="宋体" w:cs="Times New Roman"/>
                <w:color w:val="auto"/>
                <w:spacing w:val="0"/>
                <w:w w:val="100"/>
                <w:kern w:val="0"/>
                <w:position w:val="0"/>
                <w:sz w:val="21"/>
                <w:szCs w:val="21"/>
                <w:highlight w:val="none"/>
              </w:rPr>
              <w:t>m</w:t>
            </w:r>
            <w:r>
              <w:rPr>
                <w:rFonts w:hint="default" w:ascii="Times New Roman" w:hAnsi="Times New Roman" w:eastAsia="宋体" w:cs="Times New Roman"/>
                <w:color w:val="auto"/>
                <w:spacing w:val="0"/>
                <w:w w:val="100"/>
                <w:kern w:val="0"/>
                <w:position w:val="0"/>
                <w:sz w:val="21"/>
                <w:szCs w:val="21"/>
                <w:highlight w:val="none"/>
                <w:vertAlign w:val="superscript"/>
              </w:rPr>
              <w:t>2</w:t>
            </w:r>
            <w:r>
              <w:rPr>
                <w:rFonts w:hint="default" w:ascii="Times New Roman" w:hAnsi="Times New Roman" w:eastAsia="宋体" w:cs="Times New Roman"/>
                <w:color w:val="auto"/>
                <w:spacing w:val="0"/>
                <w:w w:val="100"/>
                <w:kern w:val="0"/>
                <w:position w:val="0"/>
                <w:sz w:val="21"/>
                <w:szCs w:val="21"/>
                <w:highlight w:val="none"/>
              </w:rPr>
              <w:t>。</w:t>
            </w:r>
          </w:p>
        </w:tc>
        <w:tc>
          <w:tcPr>
            <w:tcW w:w="227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w:t>
            </w:r>
          </w:p>
        </w:tc>
      </w:tr>
      <w:bookmarkEnd w:id="1251"/>
      <w:bookmarkEnd w:id="1252"/>
      <w:bookmarkEnd w:id="1253"/>
      <w:bookmarkEnd w:id="1254"/>
      <w:bookmarkEnd w:id="1255"/>
      <w:bookmarkEnd w:id="1256"/>
      <w:bookmarkEnd w:id="1257"/>
      <w:bookmarkEnd w:id="1258"/>
      <w:bookmarkEnd w:id="1259"/>
      <w:bookmarkEnd w:id="1260"/>
      <w:bookmarkEnd w:id="1324"/>
    </w:tbl>
    <w:p>
      <w:pPr>
        <w:pStyle w:val="4"/>
        <w:keepNext/>
        <w:keepLines/>
        <w:pageBreakBefore w:val="0"/>
        <w:widowControl w:val="0"/>
        <w:kinsoku/>
        <w:wordWrap/>
        <w:overflowPunct/>
        <w:topLinePunct w:val="0"/>
        <w:autoSpaceDE/>
        <w:autoSpaceDN/>
        <w:bidi w:val="0"/>
        <w:adjustRightInd/>
        <w:snapToGrid/>
        <w:spacing w:before="100" w:after="100" w:line="360" w:lineRule="auto"/>
        <w:textAlignment w:val="auto"/>
        <w:outlineLvl w:val="0"/>
        <w:rPr>
          <w:rFonts w:hint="default" w:ascii="Times New Roman" w:hAnsi="Times New Roman" w:eastAsia="宋体" w:cs="Times New Roman"/>
          <w:color w:val="auto"/>
          <w:spacing w:val="0"/>
          <w:w w:val="100"/>
          <w:kern w:val="0"/>
          <w:position w:val="0"/>
          <w:sz w:val="28"/>
          <w:szCs w:val="28"/>
          <w:highlight w:val="none"/>
        </w:rPr>
      </w:pPr>
      <w:bookmarkStart w:id="1325" w:name="_Toc8943"/>
      <w:bookmarkStart w:id="1326" w:name="_Toc25041"/>
      <w:bookmarkStart w:id="1327" w:name="_Toc15605"/>
      <w:bookmarkStart w:id="1328" w:name="_Toc2012"/>
      <w:bookmarkStart w:id="1329" w:name="_Toc7467"/>
      <w:bookmarkStart w:id="1330" w:name="_Toc25580"/>
      <w:r>
        <w:rPr>
          <w:rFonts w:hint="default" w:ascii="Times New Roman" w:hAnsi="Times New Roman" w:eastAsia="宋体" w:cs="Times New Roman"/>
          <w:color w:val="auto"/>
          <w:spacing w:val="0"/>
          <w:w w:val="100"/>
          <w:kern w:val="0"/>
          <w:position w:val="0"/>
          <w:sz w:val="28"/>
          <w:szCs w:val="28"/>
          <w:highlight w:val="none"/>
          <w:lang w:val="en-US" w:eastAsia="zh-CN"/>
        </w:rPr>
        <w:t>9.6</w:t>
      </w:r>
      <w:r>
        <w:rPr>
          <w:rFonts w:hint="default" w:ascii="Times New Roman" w:hAnsi="Times New Roman" w:eastAsia="宋体" w:cs="Times New Roman"/>
          <w:color w:val="auto"/>
          <w:spacing w:val="0"/>
          <w:w w:val="100"/>
          <w:kern w:val="0"/>
          <w:position w:val="0"/>
          <w:sz w:val="28"/>
          <w:szCs w:val="28"/>
          <w:highlight w:val="none"/>
        </w:rPr>
        <w:t>污染源排放清单</w:t>
      </w:r>
      <w:bookmarkEnd w:id="1325"/>
      <w:bookmarkEnd w:id="1326"/>
      <w:bookmarkEnd w:id="1327"/>
      <w:bookmarkEnd w:id="1328"/>
      <w:bookmarkEnd w:id="1329"/>
      <w:bookmarkEnd w:id="1330"/>
    </w:p>
    <w:p>
      <w:pPr>
        <w:pStyle w:val="12"/>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rPr>
        <w:sectPr>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0"/>
          <w:w w:val="100"/>
          <w:kern w:val="0"/>
          <w:position w:val="0"/>
          <w:sz w:val="24"/>
          <w:highlight w:val="none"/>
        </w:rPr>
        <w:t>根据《关于强化建设项目环境影响评价事中事后监管的实施意见》（环环评</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2018</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11号），项目环境影响报告书（表）应核定建设项目的产排污环节、污染物种类及污染防治设施和措施等基本信息；依据国家或地方污染物排放标准、环境质量标准和总量控制要求，按照污染源源强核算技术指南、环评要素导则等，严格核定排放口数量、位置以及每个排放口的污染物种类、允许排放浓度和允许排放量、排放方式、排放去向、自行监测计划等与污染物排放相关的主要内容。本项目污染物排放清单详见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6</w:t>
      </w:r>
      <w:r>
        <w:rPr>
          <w:rFonts w:hint="default" w:ascii="Times New Roman" w:hAnsi="Times New Roman" w:eastAsia="宋体" w:cs="Times New Roman"/>
          <w:color w:val="auto"/>
          <w:spacing w:val="0"/>
          <w:w w:val="100"/>
          <w:kern w:val="0"/>
          <w:position w:val="0"/>
          <w:sz w:val="24"/>
          <w:highlight w:val="none"/>
        </w:rPr>
        <w:t>-1至表</w:t>
      </w:r>
      <w:r>
        <w:rPr>
          <w:rFonts w:hint="default" w:ascii="Times New Roman" w:hAnsi="Times New Roman" w:eastAsia="宋体" w:cs="Times New Roman"/>
          <w:color w:val="auto"/>
          <w:spacing w:val="0"/>
          <w:w w:val="100"/>
          <w:kern w:val="0"/>
          <w:position w:val="0"/>
          <w:sz w:val="24"/>
          <w:highlight w:val="none"/>
          <w:lang w:val="en-US" w:eastAsia="zh-CN"/>
        </w:rPr>
        <w:t>9</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6</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4</w:t>
      </w:r>
      <w:r>
        <w:rPr>
          <w:rFonts w:hint="default" w:ascii="Times New Roman" w:hAnsi="Times New Roman" w:eastAsia="宋体" w:cs="Times New Roman"/>
          <w:color w:val="auto"/>
          <w:spacing w:val="0"/>
          <w:w w:val="100"/>
          <w:kern w:val="0"/>
          <w:position w:val="0"/>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表9.6-1   </w:t>
      </w:r>
      <w:r>
        <w:rPr>
          <w:rFonts w:hint="eastAsia" w:ascii="Times New Roman" w:hAnsi="Times New Roman" w:eastAsia="宋体" w:cs="Times New Roman"/>
          <w:b/>
          <w:bCs/>
          <w:color w:val="auto"/>
          <w:spacing w:val="0"/>
          <w:w w:val="100"/>
          <w:kern w:val="0"/>
          <w:position w:val="0"/>
          <w:sz w:val="24"/>
          <w:szCs w:val="24"/>
          <w:highlight w:val="none"/>
          <w:lang w:val="en-US" w:eastAsia="zh-CN" w:bidi="ar-SA"/>
        </w:rPr>
        <w:t>项目废气污染物</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排放量一览表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205"/>
        <w:gridCol w:w="1624"/>
        <w:gridCol w:w="1494"/>
        <w:gridCol w:w="1496"/>
        <w:gridCol w:w="1298"/>
        <w:gridCol w:w="1473"/>
        <w:gridCol w:w="980"/>
        <w:gridCol w:w="1483"/>
        <w:gridCol w:w="2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要素</w:t>
            </w: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污染源</w:t>
            </w:r>
          </w:p>
        </w:tc>
        <w:tc>
          <w:tcPr>
            <w:tcW w:w="162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主要污染物</w:t>
            </w:r>
          </w:p>
        </w:tc>
        <w:tc>
          <w:tcPr>
            <w:tcW w:w="29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产生情况</w:t>
            </w:r>
          </w:p>
        </w:tc>
        <w:tc>
          <w:tcPr>
            <w:tcW w:w="3751" w:type="dxa"/>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排放情况</w:t>
            </w:r>
          </w:p>
        </w:tc>
        <w:tc>
          <w:tcPr>
            <w:tcW w:w="148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标准值</w:t>
            </w:r>
          </w:p>
        </w:tc>
        <w:tc>
          <w:tcPr>
            <w:tcW w:w="2220"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62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产生量</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产生速率</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排放量</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排放速率</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效率</w:t>
            </w:r>
          </w:p>
        </w:tc>
        <w:tc>
          <w:tcPr>
            <w:tcW w:w="148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废气</w:t>
            </w: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lang w:eastAsia="zh-CN"/>
              </w:rPr>
              <w:t>奶牛</w:t>
            </w:r>
            <w:r>
              <w:rPr>
                <w:rFonts w:hint="eastAsia" w:ascii="Times New Roman" w:hAnsi="Times New Roman" w:cs="Times New Roman"/>
                <w:bCs/>
                <w:snapToGrid w:val="0"/>
                <w:color w:val="auto"/>
                <w:spacing w:val="0"/>
                <w:w w:val="100"/>
                <w:kern w:val="0"/>
                <w:position w:val="0"/>
                <w:sz w:val="21"/>
                <w:szCs w:val="21"/>
                <w:highlight w:val="none"/>
                <w:lang w:eastAsia="zh-CN"/>
              </w:rPr>
              <w:t>牛舍</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eastAsia" w:ascii="Times New Roman" w:hAnsi="Times New Roman" w:cs="Times New Roman"/>
                <w:bCs/>
                <w:color w:val="auto"/>
                <w:spacing w:val="0"/>
                <w:w w:val="100"/>
                <w:kern w:val="0"/>
                <w:position w:val="0"/>
                <w:sz w:val="21"/>
                <w:szCs w:val="21"/>
                <w:highlight w:val="none"/>
                <w:lang w:val="en-US" w:eastAsia="zh-CN"/>
              </w:rPr>
              <w:t>0.845</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96</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254</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29</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70</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restart"/>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《恶臭污染物排放标准》(GB14554-93)标准；</w:t>
            </w:r>
          </w:p>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《畜禽养殖业污染物排放标准》（GB18596-2001）的标准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94</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107</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28</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3</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70</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lang w:eastAsia="zh-CN"/>
              </w:rPr>
              <w:t>堆粪棚</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624</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7</w:t>
            </w:r>
            <w:r>
              <w:rPr>
                <w:rFonts w:hint="default" w:ascii="Times New Roman" w:hAnsi="Times New Roman" w:eastAsia="宋体" w:cs="Times New Roman"/>
                <w:bCs/>
                <w:color w:val="auto"/>
                <w:spacing w:val="0"/>
                <w:w w:val="100"/>
                <w:kern w:val="0"/>
                <w:position w:val="0"/>
                <w:sz w:val="21"/>
                <w:szCs w:val="21"/>
                <w:highlight w:val="none"/>
              </w:rPr>
              <w:t>3kg/h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312</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36</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95</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57</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68</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29</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0.000</w:t>
            </w:r>
            <w:r>
              <w:rPr>
                <w:rFonts w:hint="eastAsia" w:ascii="Times New Roman" w:hAnsi="Times New Roman" w:cs="Times New Roman"/>
                <w:bCs/>
                <w:color w:val="auto"/>
                <w:spacing w:val="0"/>
                <w:w w:val="100"/>
                <w:kern w:val="0"/>
                <w:position w:val="0"/>
                <w:sz w:val="21"/>
                <w:szCs w:val="21"/>
                <w:highlight w:val="none"/>
                <w:lang w:val="en-US" w:eastAsia="zh-CN"/>
              </w:rPr>
              <w:t>34</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95</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污水处理站</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NH</w:t>
            </w:r>
            <w:r>
              <w:rPr>
                <w:rFonts w:hint="default" w:ascii="Times New Roman" w:hAnsi="Times New Roman" w:eastAsia="宋体" w:cs="Times New Roman"/>
                <w:bCs/>
                <w:color w:val="auto"/>
                <w:spacing w:val="0"/>
                <w:w w:val="100"/>
                <w:kern w:val="0"/>
                <w:position w:val="0"/>
                <w:sz w:val="21"/>
                <w:szCs w:val="21"/>
                <w:highlight w:val="none"/>
                <w:vertAlign w:val="subscript"/>
              </w:rPr>
              <w:t>3</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262</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3</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w:t>
            </w:r>
            <w:r>
              <w:rPr>
                <w:rFonts w:hint="eastAsia" w:ascii="Times New Roman" w:hAnsi="Times New Roman" w:cs="Times New Roman"/>
                <w:bCs/>
                <w:color w:val="auto"/>
                <w:spacing w:val="0"/>
                <w:w w:val="100"/>
                <w:kern w:val="0"/>
                <w:position w:val="0"/>
                <w:sz w:val="21"/>
                <w:szCs w:val="21"/>
                <w:highlight w:val="none"/>
                <w:lang w:val="en-US" w:eastAsia="zh-CN"/>
              </w:rPr>
              <w:t>105</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60</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&lt;0.06mg/m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bidi="ar-SA"/>
              </w:rPr>
            </w:pPr>
            <w:r>
              <w:rPr>
                <w:rFonts w:hint="default" w:ascii="Times New Roman" w:hAnsi="Times New Roman" w:eastAsia="宋体" w:cs="Times New Roman"/>
                <w:bCs/>
                <w:color w:val="auto"/>
                <w:spacing w:val="0"/>
                <w:w w:val="100"/>
                <w:kern w:val="0"/>
                <w:position w:val="0"/>
                <w:sz w:val="21"/>
                <w:szCs w:val="21"/>
                <w:highlight w:val="none"/>
              </w:rPr>
              <w:t>H</w:t>
            </w:r>
            <w:r>
              <w:rPr>
                <w:rFonts w:hint="default" w:ascii="Times New Roman" w:hAnsi="Times New Roman" w:eastAsia="宋体" w:cs="Times New Roman"/>
                <w:bCs/>
                <w:color w:val="auto"/>
                <w:spacing w:val="0"/>
                <w:w w:val="100"/>
                <w:kern w:val="0"/>
                <w:position w:val="0"/>
                <w:sz w:val="21"/>
                <w:szCs w:val="21"/>
                <w:highlight w:val="none"/>
                <w:vertAlign w:val="subscript"/>
              </w:rPr>
              <w:t>2</w:t>
            </w:r>
            <w:r>
              <w:rPr>
                <w:rFonts w:hint="default" w:ascii="Times New Roman" w:hAnsi="Times New Roman" w:eastAsia="宋体" w:cs="Times New Roman"/>
                <w:bCs/>
                <w:color w:val="auto"/>
                <w:spacing w:val="0"/>
                <w:w w:val="100"/>
                <w:kern w:val="0"/>
                <w:position w:val="0"/>
                <w:sz w:val="21"/>
                <w:szCs w:val="21"/>
                <w:highlight w:val="none"/>
              </w:rPr>
              <w:t>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102</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12</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4</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0.00</w:t>
            </w:r>
            <w:r>
              <w:rPr>
                <w:rFonts w:hint="eastAsia" w:ascii="Times New Roman" w:hAnsi="Times New Roman" w:cs="Times New Roman"/>
                <w:bCs/>
                <w:color w:val="auto"/>
                <w:spacing w:val="0"/>
                <w:w w:val="100"/>
                <w:kern w:val="0"/>
                <w:position w:val="0"/>
                <w:sz w:val="21"/>
                <w:szCs w:val="21"/>
                <w:highlight w:val="none"/>
                <w:lang w:val="en-US" w:eastAsia="zh-CN"/>
              </w:rPr>
              <w:t>05</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60</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Cs/>
                <w:snapToGrid w:val="0"/>
                <w:color w:val="auto"/>
                <w:spacing w:val="0"/>
                <w:w w:val="100"/>
                <w:kern w:val="0"/>
                <w:position w:val="0"/>
                <w:sz w:val="21"/>
                <w:szCs w:val="21"/>
                <w:highlight w:val="none"/>
              </w:rPr>
              <w:t>&lt;1.5mg/m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2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饲料</w:t>
            </w:r>
            <w:r>
              <w:rPr>
                <w:rFonts w:hint="default" w:ascii="Times New Roman" w:hAnsi="Times New Roman" w:eastAsia="宋体" w:cs="Times New Roman"/>
                <w:bCs/>
                <w:snapToGrid w:val="0"/>
                <w:color w:val="auto"/>
                <w:spacing w:val="0"/>
                <w:w w:val="100"/>
                <w:kern w:val="0"/>
                <w:position w:val="0"/>
                <w:sz w:val="21"/>
                <w:szCs w:val="21"/>
                <w:highlight w:val="none"/>
                <w:lang w:eastAsia="zh-CN"/>
              </w:rPr>
              <w:t>粉碎</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粉尘</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default" w:ascii="Times New Roman" w:hAnsi="Times New Roman" w:eastAsia="宋体" w:cs="Times New Roman"/>
                <w:bCs/>
                <w:color w:val="auto"/>
                <w:spacing w:val="0"/>
                <w:w w:val="100"/>
                <w:kern w:val="0"/>
                <w:position w:val="0"/>
                <w:sz w:val="21"/>
                <w:szCs w:val="21"/>
                <w:highlight w:val="none"/>
              </w:rPr>
              <w:t>1.</w:t>
            </w:r>
            <w:r>
              <w:rPr>
                <w:rFonts w:hint="eastAsia" w:ascii="Times New Roman" w:hAnsi="Times New Roman" w:cs="Times New Roman"/>
                <w:bCs/>
                <w:color w:val="auto"/>
                <w:spacing w:val="0"/>
                <w:w w:val="100"/>
                <w:kern w:val="0"/>
                <w:position w:val="0"/>
                <w:sz w:val="21"/>
                <w:szCs w:val="21"/>
                <w:highlight w:val="none"/>
                <w:lang w:val="en-US" w:eastAsia="zh-CN"/>
              </w:rPr>
              <w:t>827</w:t>
            </w:r>
            <w:r>
              <w:rPr>
                <w:rFonts w:hint="default" w:ascii="Times New Roman" w:hAnsi="Times New Roman" w:eastAsia="宋体" w:cs="Times New Roman"/>
                <w:bCs/>
                <w:color w:val="auto"/>
                <w:spacing w:val="0"/>
                <w:w w:val="100"/>
                <w:kern w:val="0"/>
                <w:position w:val="0"/>
                <w:sz w:val="21"/>
                <w:szCs w:val="21"/>
                <w:highlight w:val="none"/>
              </w:rPr>
              <w:t>t/a</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val="en-US"/>
              </w:rPr>
            </w:pPr>
            <w:r>
              <w:rPr>
                <w:rFonts w:hint="eastAsia" w:ascii="Times New Roman" w:hAnsi="Times New Roman" w:cs="Times New Roman"/>
                <w:bCs/>
                <w:color w:val="auto"/>
                <w:spacing w:val="0"/>
                <w:w w:val="100"/>
                <w:kern w:val="0"/>
                <w:position w:val="0"/>
                <w:sz w:val="21"/>
                <w:szCs w:val="21"/>
                <w:highlight w:val="none"/>
                <w:lang w:val="en-US" w:eastAsia="zh-CN"/>
              </w:rPr>
              <w:t>0.626</w:t>
            </w:r>
            <w:r>
              <w:rPr>
                <w:rFonts w:hint="default" w:ascii="Times New Roman" w:hAnsi="Times New Roman" w:eastAsia="宋体" w:cs="Times New Roman"/>
                <w:bCs/>
                <w:color w:val="auto"/>
                <w:spacing w:val="0"/>
                <w:w w:val="100"/>
                <w:kern w:val="0"/>
                <w:position w:val="0"/>
                <w:sz w:val="21"/>
                <w:szCs w:val="21"/>
                <w:highlight w:val="none"/>
              </w:rPr>
              <w:t>kg/h</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18</w:t>
            </w:r>
            <w:r>
              <w:rPr>
                <w:rFonts w:hint="default" w:ascii="Times New Roman" w:hAnsi="Times New Roman" w:eastAsia="宋体" w:cs="Times New Roman"/>
                <w:bCs/>
                <w:color w:val="auto"/>
                <w:spacing w:val="0"/>
                <w:w w:val="100"/>
                <w:kern w:val="0"/>
                <w:position w:val="0"/>
                <w:sz w:val="21"/>
                <w:szCs w:val="21"/>
                <w:highlight w:val="none"/>
              </w:rPr>
              <w:t>t/a</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0.0</w:t>
            </w:r>
            <w:r>
              <w:rPr>
                <w:rFonts w:hint="eastAsia" w:ascii="Times New Roman" w:hAnsi="Times New Roman" w:cs="Times New Roman"/>
                <w:bCs/>
                <w:color w:val="auto"/>
                <w:spacing w:val="0"/>
                <w:w w:val="100"/>
                <w:kern w:val="0"/>
                <w:position w:val="0"/>
                <w:sz w:val="21"/>
                <w:szCs w:val="21"/>
                <w:highlight w:val="none"/>
                <w:lang w:val="en-US" w:eastAsia="zh-CN"/>
              </w:rPr>
              <w:t>06</w:t>
            </w:r>
            <w:r>
              <w:rPr>
                <w:rFonts w:hint="default" w:ascii="Times New Roman" w:hAnsi="Times New Roman" w:eastAsia="宋体" w:cs="Times New Roman"/>
                <w:bCs/>
                <w:color w:val="auto"/>
                <w:spacing w:val="0"/>
                <w:w w:val="100"/>
                <w:kern w:val="0"/>
                <w:position w:val="0"/>
                <w:sz w:val="21"/>
                <w:szCs w:val="21"/>
                <w:highlight w:val="none"/>
              </w:rPr>
              <w:t>kg/h</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99%</w:t>
            </w:r>
          </w:p>
        </w:tc>
        <w:tc>
          <w:tcPr>
            <w:tcW w:w="14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&lt;1mg/m</w:t>
            </w:r>
            <w:r>
              <w:rPr>
                <w:rFonts w:hint="default" w:ascii="Times New Roman" w:hAnsi="Times New Roman" w:eastAsia="宋体" w:cs="Times New Roman"/>
                <w:bCs/>
                <w:snapToGrid w:val="0"/>
                <w:color w:val="auto"/>
                <w:spacing w:val="0"/>
                <w:w w:val="100"/>
                <w:kern w:val="0"/>
                <w:position w:val="0"/>
                <w:sz w:val="21"/>
                <w:szCs w:val="21"/>
                <w:highlight w:val="none"/>
                <w:vertAlign w:val="superscript"/>
              </w:rPr>
              <w:t>3</w:t>
            </w:r>
          </w:p>
        </w:tc>
        <w:tc>
          <w:tcPr>
            <w:tcW w:w="2220" w:type="dxa"/>
            <w:tcBorders>
              <w:tl2br w:val="nil"/>
              <w:tr2bl w:val="nil"/>
            </w:tcBorders>
            <w:noWrap w:val="0"/>
            <w:vAlign w:val="center"/>
          </w:tcPr>
          <w:p>
            <w:pPr>
              <w:pStyle w:val="14"/>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《大气污染物综合排放标准》（GB16297-1996）中二级标准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表9.6-2 </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 项目废水污染物产（排）污一览表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42"/>
        <w:gridCol w:w="1624"/>
        <w:gridCol w:w="1494"/>
        <w:gridCol w:w="1496"/>
        <w:gridCol w:w="1298"/>
        <w:gridCol w:w="1473"/>
        <w:gridCol w:w="980"/>
        <w:gridCol w:w="2105"/>
        <w:gridCol w:w="1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32" w:leftChars="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污染源</w:t>
            </w:r>
          </w:p>
        </w:tc>
        <w:tc>
          <w:tcPr>
            <w:tcW w:w="1042" w:type="dxa"/>
            <w:vMerge w:val="restart"/>
            <w:tcBorders>
              <w:tl2br w:val="nil"/>
              <w:tr2bl w:val="nil"/>
            </w:tcBorders>
            <w:noWrap w:val="0"/>
            <w:vAlign w:val="center"/>
          </w:tcPr>
          <w:p>
            <w:pPr>
              <w:snapToGrid w:val="0"/>
              <w:contextualSpacing/>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color w:val="auto"/>
                <w:spacing w:val="0"/>
                <w:w w:val="100"/>
                <w:kern w:val="0"/>
                <w:position w:val="0"/>
                <w:sz w:val="21"/>
                <w:szCs w:val="21"/>
                <w:highlight w:val="none"/>
              </w:rPr>
              <w:t>产污环节</w:t>
            </w:r>
          </w:p>
        </w:tc>
        <w:tc>
          <w:tcPr>
            <w:tcW w:w="162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主要污染物</w:t>
            </w:r>
          </w:p>
        </w:tc>
        <w:tc>
          <w:tcPr>
            <w:tcW w:w="29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产生情况</w:t>
            </w:r>
          </w:p>
        </w:tc>
        <w:tc>
          <w:tcPr>
            <w:tcW w:w="3751" w:type="dxa"/>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lang w:eastAsia="zh-CN"/>
              </w:rPr>
            </w:pPr>
            <w:r>
              <w:rPr>
                <w:rFonts w:hint="default" w:ascii="Times New Roman" w:hAnsi="Times New Roman" w:eastAsia="宋体" w:cs="Times New Roman"/>
                <w:b/>
                <w:bCs/>
                <w:snapToGrid w:val="0"/>
                <w:color w:val="auto"/>
                <w:spacing w:val="0"/>
                <w:w w:val="100"/>
                <w:kern w:val="0"/>
                <w:position w:val="0"/>
                <w:sz w:val="21"/>
                <w:szCs w:val="21"/>
                <w:highlight w:val="none"/>
                <w:lang w:eastAsia="zh-CN"/>
              </w:rPr>
              <w:t>排放情况</w:t>
            </w:r>
          </w:p>
        </w:tc>
        <w:tc>
          <w:tcPr>
            <w:tcW w:w="210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标准值</w:t>
            </w:r>
          </w:p>
        </w:tc>
        <w:tc>
          <w:tcPr>
            <w:tcW w:w="159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32" w:hangingChars="15"/>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62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产生量</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产生速率</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排放量</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排放速率</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r>
              <w:rPr>
                <w:rFonts w:hint="default" w:ascii="Times New Roman" w:hAnsi="Times New Roman" w:eastAsia="宋体" w:cs="Times New Roman"/>
                <w:b/>
                <w:bCs/>
                <w:snapToGrid w:val="0"/>
                <w:color w:val="auto"/>
                <w:spacing w:val="0"/>
                <w:w w:val="100"/>
                <w:kern w:val="0"/>
                <w:position w:val="0"/>
                <w:sz w:val="21"/>
                <w:szCs w:val="21"/>
                <w:highlight w:val="none"/>
              </w:rPr>
              <w:t>效率</w:t>
            </w:r>
          </w:p>
        </w:tc>
        <w:tc>
          <w:tcPr>
            <w:tcW w:w="210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73" w:leftChars="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污水处理站</w:t>
            </w:r>
          </w:p>
        </w:tc>
        <w:tc>
          <w:tcPr>
            <w:tcW w:w="1042" w:type="dxa"/>
            <w:vMerge w:val="restart"/>
            <w:tcBorders>
              <w:tl2br w:val="nil"/>
              <w:tr2bl w:val="nil"/>
            </w:tcBorders>
            <w:noWrap w:val="0"/>
            <w:vAlign w:val="center"/>
          </w:tcPr>
          <w:p>
            <w:pPr>
              <w:snapToGrid w:val="0"/>
              <w:contextualSpacing/>
              <w:jc w:val="center"/>
              <w:rPr>
                <w:rFonts w:hint="eastAsia"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rPr>
              <w:t>生活污水</w:t>
            </w:r>
            <w:r>
              <w:rPr>
                <w:rFonts w:hint="eastAsia" w:ascii="Times New Roman" w:hAnsi="Times New Roman" w:cs="Times New Roman"/>
                <w:color w:val="auto"/>
                <w:spacing w:val="0"/>
                <w:w w:val="100"/>
                <w:kern w:val="0"/>
                <w:position w:val="0"/>
                <w:sz w:val="21"/>
                <w:szCs w:val="21"/>
                <w:highlight w:val="none"/>
                <w:lang w:eastAsia="zh-CN"/>
              </w:rPr>
              <w:t>、</w:t>
            </w:r>
          </w:p>
          <w:p>
            <w:pPr>
              <w:snapToGrid w:val="0"/>
              <w:contextualSpacing/>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val="en-US" w:eastAsia="zh-CN"/>
              </w:rPr>
              <w:t>生产废水</w:t>
            </w: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COD</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4653.23mg/L</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143.16t/a</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162.86mg/L</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5.01t/a</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96.50%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≤200mg/L</w:t>
            </w:r>
          </w:p>
        </w:tc>
        <w:tc>
          <w:tcPr>
            <w:tcW w:w="159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lang w:eastAsia="zh-CN"/>
              </w:rPr>
              <w:t>《农田灌溉水质标准》（GB5084-2005）中“旱作”标准要求</w:t>
            </w:r>
            <w:r>
              <w:rPr>
                <w:rFonts w:hint="default" w:ascii="Times New Roman" w:hAnsi="Times New Roman" w:eastAsia="宋体" w:cs="Times New Roman"/>
                <w:color w:val="auto"/>
                <w:spacing w:val="0"/>
                <w:w w:val="100"/>
                <w:kern w:val="0"/>
                <w:position w:val="0"/>
                <w:sz w:val="21"/>
                <w:szCs w:val="21"/>
                <w:highlight w:val="none"/>
                <w:lang w:val="en-US" w:eastAsia="zh-CN"/>
              </w:rPr>
              <w:t>，用于</w:t>
            </w:r>
            <w:r>
              <w:rPr>
                <w:rFonts w:hint="default" w:ascii="Times New Roman" w:hAnsi="Times New Roman" w:eastAsia="宋体" w:cs="Times New Roman"/>
                <w:color w:val="auto"/>
                <w:spacing w:val="0"/>
                <w:w w:val="100"/>
                <w:kern w:val="0"/>
                <w:position w:val="0"/>
                <w:sz w:val="21"/>
                <w:szCs w:val="21"/>
                <w:highlight w:val="none"/>
              </w:rPr>
              <w:t>周边农田灌溉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BOD</w:t>
            </w:r>
            <w:r>
              <w:rPr>
                <w:rFonts w:hint="default" w:ascii="Times New Roman" w:hAnsi="Times New Roman" w:eastAsia="宋体" w:cs="Times New Roman"/>
                <w:color w:val="auto"/>
                <w:spacing w:val="0"/>
                <w:w w:val="100"/>
                <w:kern w:val="0"/>
                <w:position w:val="0"/>
                <w:sz w:val="21"/>
                <w:szCs w:val="21"/>
                <w:highlight w:val="none"/>
                <w:vertAlign w:val="subscript"/>
              </w:rPr>
              <w:t>5</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1693.37mg/L</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52.10t/a</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42.33mg/L</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1.30t/a</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97.50%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SS</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1415.71mg/L</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43.55t/a</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35.39mg/L</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1.09t/a</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97.50%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NH</w:t>
            </w:r>
            <w:r>
              <w:rPr>
                <w:rFonts w:hint="default" w:ascii="Times New Roman" w:hAnsi="Times New Roman" w:eastAsia="宋体" w:cs="Times New Roman"/>
                <w:color w:val="auto"/>
                <w:spacing w:val="0"/>
                <w:w w:val="100"/>
                <w:kern w:val="0"/>
                <w:position w:val="0"/>
                <w:sz w:val="21"/>
                <w:szCs w:val="21"/>
                <w:highlight w:val="none"/>
                <w:vertAlign w:val="subscript"/>
              </w:rPr>
              <w:t>3</w:t>
            </w:r>
            <w:r>
              <w:rPr>
                <w:rFonts w:hint="default" w:ascii="Times New Roman" w:hAnsi="Times New Roman" w:eastAsia="宋体" w:cs="Times New Roman"/>
                <w:color w:val="auto"/>
                <w:spacing w:val="0"/>
                <w:w w:val="100"/>
                <w:kern w:val="0"/>
                <w:position w:val="0"/>
                <w:sz w:val="21"/>
                <w:szCs w:val="21"/>
                <w:highlight w:val="none"/>
              </w:rPr>
              <w:t>-N</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328.03mg/L</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10.09t/a</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26.24mg/L</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0.81t/a</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92.00%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≤80mg/L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TP</w:t>
            </w:r>
          </w:p>
        </w:tc>
        <w:tc>
          <w:tcPr>
            <w:tcW w:w="149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46.59mg/L</w:t>
            </w:r>
          </w:p>
        </w:tc>
        <w:tc>
          <w:tcPr>
            <w:tcW w:w="14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1.43t/a</w:t>
            </w:r>
          </w:p>
        </w:tc>
        <w:tc>
          <w:tcPr>
            <w:tcW w:w="129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6.52mg/L</w:t>
            </w:r>
          </w:p>
        </w:tc>
        <w:tc>
          <w:tcPr>
            <w:tcW w:w="14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0.20t/a</w:t>
            </w:r>
          </w:p>
        </w:tc>
        <w:tc>
          <w:tcPr>
            <w:tcW w:w="98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86.00%</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≤8.0mg/L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 w:val="21"/>
                <w:szCs w:val="21"/>
                <w:highlight w:val="none"/>
              </w:rPr>
              <w:t>粪大肠菌群</w:t>
            </w:r>
          </w:p>
        </w:tc>
        <w:tc>
          <w:tcPr>
            <w:tcW w:w="2990" w:type="dxa"/>
            <w:gridSpan w:val="2"/>
            <w:tcBorders>
              <w:tl2br w:val="nil"/>
              <w:tr2bl w:val="nil"/>
            </w:tcBorders>
            <w:noWrap w:val="0"/>
            <w:vAlign w:val="center"/>
          </w:tcPr>
          <w:p>
            <w:pPr>
              <w:pStyle w:val="49"/>
              <w:keepNext w:val="0"/>
              <w:keepLines w:val="0"/>
              <w:pageBreakBefore w:val="0"/>
              <w:kinsoku/>
              <w:wordWrap/>
              <w:overflowPunct/>
              <w:topLinePunct w:val="0"/>
              <w:bidi w:val="0"/>
              <w:adjustRightInd w:val="0"/>
              <w:snapToGrid w:val="0"/>
              <w:spacing w:line="240" w:lineRule="auto"/>
              <w:ind w:left="0"/>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3.9×10</w:t>
            </w:r>
            <w:r>
              <w:rPr>
                <w:rFonts w:hint="default" w:ascii="Times New Roman" w:hAnsi="Times New Roman" w:eastAsia="宋体" w:cs="Times New Roman"/>
                <w:bCs/>
                <w:color w:val="auto"/>
                <w:spacing w:val="0"/>
                <w:w w:val="100"/>
                <w:kern w:val="0"/>
                <w:position w:val="0"/>
                <w:sz w:val="21"/>
                <w:szCs w:val="21"/>
                <w:highlight w:val="none"/>
                <w:vertAlign w:val="superscript"/>
              </w:rPr>
              <w:t>5</w:t>
            </w:r>
            <w:r>
              <w:rPr>
                <w:rFonts w:hint="default" w:ascii="Times New Roman" w:hAnsi="Times New Roman" w:eastAsia="宋体" w:cs="Times New Roman"/>
                <w:bCs/>
                <w:color w:val="auto"/>
                <w:spacing w:val="0"/>
                <w:w w:val="100"/>
                <w:kern w:val="0"/>
                <w:position w:val="0"/>
                <w:sz w:val="21"/>
                <w:szCs w:val="21"/>
                <w:highlight w:val="none"/>
              </w:rPr>
              <w:t>个/100mL</w:t>
            </w:r>
          </w:p>
        </w:tc>
        <w:tc>
          <w:tcPr>
            <w:tcW w:w="277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780个/100mL</w:t>
            </w:r>
          </w:p>
        </w:tc>
        <w:tc>
          <w:tcPr>
            <w:tcW w:w="980" w:type="dxa"/>
            <w:tcBorders>
              <w:tl2br w:val="nil"/>
              <w:tr2bl w:val="nil"/>
            </w:tcBorders>
            <w:noWrap w:val="0"/>
            <w:vAlign w:val="center"/>
          </w:tcPr>
          <w:p>
            <w:pPr>
              <w:widowControl/>
              <w:spacing w:line="240" w:lineRule="auto"/>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99.8%</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bCs/>
                <w:snapToGrid w:val="0"/>
                <w:color w:val="auto"/>
                <w:spacing w:val="0"/>
                <w:w w:val="100"/>
                <w:kern w:val="0"/>
                <w:position w:val="0"/>
                <w:sz w:val="21"/>
                <w:szCs w:val="21"/>
                <w:highlight w:val="none"/>
              </w:rPr>
              <w:t>≤1000个/100mL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0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hanging="73" w:hangingChars="35"/>
              <w:jc w:val="center"/>
              <w:rPr>
                <w:rFonts w:hint="default" w:ascii="Times New Roman" w:hAnsi="Times New Roman" w:eastAsia="宋体" w:cs="Times New Roman"/>
                <w:bCs/>
                <w:snapToGrid w:val="0"/>
                <w:color w:val="auto"/>
                <w:spacing w:val="0"/>
                <w:w w:val="100"/>
                <w:kern w:val="0"/>
                <w:position w:val="0"/>
                <w:sz w:val="21"/>
                <w:szCs w:val="21"/>
                <w:highlight w:val="none"/>
              </w:rPr>
            </w:pPr>
          </w:p>
        </w:tc>
        <w:tc>
          <w:tcPr>
            <w:tcW w:w="16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蛔虫卵</w:t>
            </w:r>
          </w:p>
        </w:tc>
        <w:tc>
          <w:tcPr>
            <w:tcW w:w="2990" w:type="dxa"/>
            <w:gridSpan w:val="2"/>
            <w:tcBorders>
              <w:tl2br w:val="nil"/>
              <w:tr2bl w:val="nil"/>
            </w:tcBorders>
            <w:noWrap w:val="0"/>
            <w:vAlign w:val="center"/>
          </w:tcPr>
          <w:p>
            <w:pPr>
              <w:pStyle w:val="49"/>
              <w:keepNext w:val="0"/>
              <w:keepLines w:val="0"/>
              <w:pageBreakBefore w:val="0"/>
              <w:kinsoku/>
              <w:wordWrap/>
              <w:overflowPunct/>
              <w:topLinePunct w:val="0"/>
              <w:bidi w:val="0"/>
              <w:adjustRightInd w:val="0"/>
              <w:snapToGrid w:val="0"/>
              <w:spacing w:line="240" w:lineRule="auto"/>
              <w:ind w:left="0"/>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53</w:t>
            </w:r>
            <w:r>
              <w:rPr>
                <w:rFonts w:hint="default" w:ascii="Times New Roman" w:hAnsi="Times New Roman" w:eastAsia="宋体" w:cs="Times New Roman"/>
                <w:color w:val="auto"/>
                <w:spacing w:val="0"/>
                <w:w w:val="100"/>
                <w:kern w:val="0"/>
                <w:position w:val="0"/>
                <w:szCs w:val="21"/>
                <w:highlight w:val="none"/>
              </w:rPr>
              <w:t>个/L</w:t>
            </w:r>
          </w:p>
        </w:tc>
        <w:tc>
          <w:tcPr>
            <w:tcW w:w="277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lang w:val="en-US" w:eastAsia="zh-CN"/>
              </w:rPr>
              <w:t>1.06</w:t>
            </w:r>
            <w:r>
              <w:rPr>
                <w:rFonts w:hint="default" w:ascii="Times New Roman" w:hAnsi="Times New Roman" w:eastAsia="宋体" w:cs="Times New Roman"/>
                <w:color w:val="auto"/>
                <w:spacing w:val="0"/>
                <w:w w:val="100"/>
                <w:kern w:val="0"/>
                <w:position w:val="0"/>
                <w:szCs w:val="21"/>
                <w:highlight w:val="none"/>
              </w:rPr>
              <w:t>个/L</w:t>
            </w:r>
          </w:p>
        </w:tc>
        <w:tc>
          <w:tcPr>
            <w:tcW w:w="98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98%</w:t>
            </w:r>
          </w:p>
        </w:tc>
        <w:tc>
          <w:tcPr>
            <w:tcW w:w="210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r>
              <w:rPr>
                <w:rFonts w:hint="default" w:ascii="Times New Roman" w:hAnsi="Times New Roman" w:eastAsia="宋体" w:cs="Times New Roman"/>
                <w:color w:val="auto"/>
                <w:spacing w:val="0"/>
                <w:w w:val="100"/>
                <w:kern w:val="0"/>
                <w:position w:val="0"/>
                <w:szCs w:val="21"/>
                <w:highlight w:val="none"/>
              </w:rPr>
              <w:t>≤</w:t>
            </w:r>
            <w:r>
              <w:rPr>
                <w:rFonts w:hint="default" w:ascii="Times New Roman" w:hAnsi="Times New Roman" w:eastAsia="宋体" w:cs="Times New Roman"/>
                <w:color w:val="auto"/>
                <w:spacing w:val="0"/>
                <w:w w:val="100"/>
                <w:kern w:val="0"/>
                <w:position w:val="0"/>
                <w:szCs w:val="21"/>
                <w:highlight w:val="none"/>
                <w:lang w:val="en-US" w:eastAsia="zh-CN"/>
              </w:rPr>
              <w:t>2</w:t>
            </w:r>
            <w:r>
              <w:rPr>
                <w:rFonts w:hint="default" w:ascii="Times New Roman" w:hAnsi="Times New Roman" w:eastAsia="宋体" w:cs="Times New Roman"/>
                <w:color w:val="auto"/>
                <w:spacing w:val="0"/>
                <w:w w:val="100"/>
                <w:kern w:val="0"/>
                <w:position w:val="0"/>
                <w:szCs w:val="21"/>
                <w:highlight w:val="none"/>
              </w:rPr>
              <w:t>个/L</w:t>
            </w:r>
          </w:p>
        </w:tc>
        <w:tc>
          <w:tcPr>
            <w:tcW w:w="159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bCs/>
                <w:snapToGrid w:val="0"/>
                <w:color w:val="auto"/>
                <w:spacing w:val="0"/>
                <w:w w:val="100"/>
                <w:kern w:val="0"/>
                <w:position w:val="0"/>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表9.6-3</w:t>
      </w:r>
      <w:r>
        <w:rPr>
          <w:rFonts w:hint="eastAsia" w:ascii="Times New Roman" w:hAnsi="Times New Roman" w:cs="Times New Roman"/>
          <w:b/>
          <w:bCs/>
          <w:color w:val="auto"/>
          <w:spacing w:val="0"/>
          <w:w w:val="100"/>
          <w:kern w:val="0"/>
          <w:position w:val="0"/>
          <w:sz w:val="24"/>
          <w:szCs w:val="24"/>
          <w:highlight w:val="none"/>
          <w:lang w:val="en-US" w:eastAsia="zh-CN" w:bidi="ar-SA"/>
        </w:rPr>
        <w:t xml:space="preserve"> </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 xml:space="preserve">  项目固废产（排）污一览表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0"/>
        <w:gridCol w:w="1560"/>
        <w:gridCol w:w="1350"/>
        <w:gridCol w:w="1560"/>
        <w:gridCol w:w="1320"/>
        <w:gridCol w:w="915"/>
        <w:gridCol w:w="1155"/>
        <w:gridCol w:w="1320"/>
        <w:gridCol w:w="4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编号</w:t>
            </w:r>
          </w:p>
        </w:tc>
        <w:tc>
          <w:tcPr>
            <w:tcW w:w="156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固体废物名称</w:t>
            </w:r>
          </w:p>
        </w:tc>
        <w:tc>
          <w:tcPr>
            <w:tcW w:w="135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废物来源</w:t>
            </w:r>
          </w:p>
        </w:tc>
        <w:tc>
          <w:tcPr>
            <w:tcW w:w="156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性质</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产生量t/a</w:t>
            </w:r>
          </w:p>
        </w:tc>
        <w:tc>
          <w:tcPr>
            <w:tcW w:w="91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主要有害成分</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主要有害成分含量</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最大允许排放量t/a</w:t>
            </w:r>
          </w:p>
        </w:tc>
        <w:tc>
          <w:tcPr>
            <w:tcW w:w="4006"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rPr>
            </w:pPr>
            <w:r>
              <w:rPr>
                <w:rFonts w:hint="default" w:ascii="Times New Roman" w:hAnsi="Times New Roman" w:eastAsia="宋体" w:cs="Times New Roman"/>
                <w:b/>
                <w:color w:val="auto"/>
                <w:spacing w:val="0"/>
                <w:w w:val="100"/>
                <w:kern w:val="0"/>
                <w:position w:val="0"/>
                <w:sz w:val="21"/>
                <w:szCs w:val="21"/>
                <w:highlight w:val="none"/>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1</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牛粪</w:t>
            </w:r>
          </w:p>
        </w:tc>
        <w:tc>
          <w:tcPr>
            <w:tcW w:w="1350" w:type="dxa"/>
            <w:noWrap w:val="0"/>
            <w:vAlign w:val="center"/>
          </w:tcPr>
          <w:p>
            <w:pPr>
              <w:pStyle w:val="60"/>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rPr>
            </w:pPr>
            <w:r>
              <w:rPr>
                <w:rFonts w:hint="default" w:ascii="Times New Roman" w:hAnsi="Times New Roman" w:eastAsia="宋体" w:cs="Times New Roman"/>
                <w:bCs/>
                <w:color w:val="auto"/>
                <w:spacing w:val="0"/>
                <w:w w:val="100"/>
                <w:kern w:val="0"/>
                <w:position w:val="0"/>
                <w:sz w:val="21"/>
                <w:szCs w:val="21"/>
                <w:highlight w:val="none"/>
              </w:rPr>
              <w:t>牛舍</w:t>
            </w:r>
          </w:p>
        </w:tc>
        <w:tc>
          <w:tcPr>
            <w:tcW w:w="1560" w:type="dxa"/>
            <w:noWrap w:val="0"/>
            <w:vAlign w:val="center"/>
          </w:tcPr>
          <w:p>
            <w:pPr>
              <w:pStyle w:val="60"/>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一般固废</w:t>
            </w:r>
          </w:p>
        </w:tc>
        <w:tc>
          <w:tcPr>
            <w:tcW w:w="1320"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eastAsia="zh-CN"/>
              </w:rPr>
              <w:t>46920.75</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tcBorders>
              <w:bottom w:val="single" w:color="auto" w:sz="4" w:space="0"/>
            </w:tcBorders>
            <w:noWrap w:val="0"/>
            <w:vAlign w:val="center"/>
          </w:tcPr>
          <w:p>
            <w:pPr>
              <w:pStyle w:val="49"/>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出售给周边农户，还田利用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2</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病死牛及胎盘</w:t>
            </w:r>
          </w:p>
        </w:tc>
        <w:tc>
          <w:tcPr>
            <w:tcW w:w="135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牛舍</w:t>
            </w:r>
          </w:p>
        </w:tc>
        <w:tc>
          <w:tcPr>
            <w:tcW w:w="156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危险废物HW01</w:t>
            </w:r>
          </w:p>
        </w:tc>
        <w:tc>
          <w:tcPr>
            <w:tcW w:w="1320" w:type="dxa"/>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36.3</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tcBorders>
              <w:top w:val="single" w:color="auto" w:sz="4" w:space="0"/>
            </w:tcBorders>
            <w:noWrap w:val="0"/>
            <w:vAlign w:val="center"/>
          </w:tcPr>
          <w:p>
            <w:pPr>
              <w:pStyle w:val="49"/>
              <w:keepNext w:val="0"/>
              <w:keepLines w:val="0"/>
              <w:pageBreakBefore w:val="0"/>
              <w:kinsoku/>
              <w:wordWrap/>
              <w:overflowPunct/>
              <w:topLinePunct w:val="0"/>
              <w:bidi w:val="0"/>
              <w:spacing w:line="240" w:lineRule="exact"/>
              <w:jc w:val="both"/>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按危险废物管理，病死牛尸体及胎盘由</w:t>
            </w:r>
            <w:r>
              <w:rPr>
                <w:rFonts w:hint="default" w:ascii="Times New Roman" w:hAnsi="Times New Roman" w:eastAsia="宋体" w:cs="Times New Roman"/>
                <w:bCs/>
                <w:color w:val="auto"/>
                <w:spacing w:val="0"/>
                <w:w w:val="100"/>
                <w:kern w:val="0"/>
                <w:position w:val="0"/>
                <w:sz w:val="21"/>
                <w:szCs w:val="21"/>
                <w:highlight w:val="none"/>
                <w:lang w:eastAsia="zh-CN"/>
              </w:rPr>
              <w:t>防疫部门</w:t>
            </w:r>
            <w:r>
              <w:rPr>
                <w:rFonts w:hint="default" w:ascii="Times New Roman" w:hAnsi="Times New Roman" w:eastAsia="宋体" w:cs="Times New Roman"/>
                <w:bCs/>
                <w:color w:val="auto"/>
                <w:spacing w:val="0"/>
                <w:w w:val="100"/>
                <w:kern w:val="0"/>
                <w:position w:val="0"/>
                <w:sz w:val="21"/>
                <w:szCs w:val="21"/>
                <w:highlight w:val="none"/>
              </w:rPr>
              <w:t>专用车辆送往无害化处置中心处置。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3</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医疗废物</w:t>
            </w:r>
          </w:p>
        </w:tc>
        <w:tc>
          <w:tcPr>
            <w:tcW w:w="1350" w:type="dxa"/>
            <w:noWrap w:val="0"/>
            <w:vAlign w:val="center"/>
          </w:tcPr>
          <w:p>
            <w:pPr>
              <w:keepNext w:val="0"/>
              <w:keepLines w:val="0"/>
              <w:pageBreakBefore w:val="0"/>
              <w:kinsoku/>
              <w:wordWrap/>
              <w:overflowPunct/>
              <w:topLinePunct w:val="0"/>
              <w:bidi w:val="0"/>
              <w:snapToGrid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兽医室</w:t>
            </w:r>
          </w:p>
        </w:tc>
        <w:tc>
          <w:tcPr>
            <w:tcW w:w="156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val="en-US" w:eastAsia="zh-CN"/>
              </w:rPr>
              <w:t>危险废物HW01</w:t>
            </w:r>
          </w:p>
        </w:tc>
        <w:tc>
          <w:tcPr>
            <w:tcW w:w="1320" w:type="dxa"/>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1.67</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tcBorders>
              <w:bottom w:val="single" w:color="auto" w:sz="4" w:space="0"/>
            </w:tcBorders>
            <w:noWrap w:val="0"/>
            <w:vAlign w:val="center"/>
          </w:tcPr>
          <w:p>
            <w:pPr>
              <w:pStyle w:val="49"/>
              <w:keepNext w:val="0"/>
              <w:keepLines w:val="0"/>
              <w:pageBreakBefore w:val="0"/>
              <w:kinsoku/>
              <w:wordWrap/>
              <w:overflowPunct/>
              <w:topLinePunct w:val="0"/>
              <w:bidi w:val="0"/>
              <w:spacing w:line="240" w:lineRule="exact"/>
              <w:jc w:val="both"/>
              <w:textAlignment w:val="auto"/>
              <w:outlineLvl w:val="9"/>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按危废管理，定期交由有资质的单位处理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4</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污泥</w:t>
            </w:r>
          </w:p>
        </w:tc>
        <w:tc>
          <w:tcPr>
            <w:tcW w:w="135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污水处理站</w:t>
            </w:r>
          </w:p>
        </w:tc>
        <w:tc>
          <w:tcPr>
            <w:tcW w:w="156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一般固废</w:t>
            </w:r>
          </w:p>
        </w:tc>
        <w:tc>
          <w:tcPr>
            <w:tcW w:w="1320" w:type="dxa"/>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43.46</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tcBorders>
              <w:top w:val="single" w:color="auto" w:sz="4" w:space="0"/>
            </w:tcBorders>
            <w:noWrap w:val="0"/>
            <w:vAlign w:val="center"/>
          </w:tcPr>
          <w:p>
            <w:pPr>
              <w:pStyle w:val="49"/>
              <w:keepNext w:val="0"/>
              <w:keepLines w:val="0"/>
              <w:pageBreakBefore w:val="0"/>
              <w:kinsoku/>
              <w:wordWrap/>
              <w:overflowPunct/>
              <w:topLinePunct w:val="0"/>
              <w:bidi w:val="0"/>
              <w:spacing w:line="240" w:lineRule="exact"/>
              <w:textAlignment w:val="auto"/>
              <w:outlineLvl w:val="9"/>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Cs/>
                <w:snapToGrid w:val="0"/>
                <w:color w:val="auto"/>
                <w:spacing w:val="0"/>
                <w:w w:val="100"/>
                <w:kern w:val="0"/>
                <w:position w:val="0"/>
                <w:sz w:val="21"/>
                <w:szCs w:val="21"/>
                <w:highlight w:val="none"/>
              </w:rPr>
              <w:t>与牛粪一起出售给周边农户，还田利用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5</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lang w:eastAsia="zh-CN"/>
              </w:rPr>
              <w:t>收尘灰</w:t>
            </w:r>
          </w:p>
        </w:tc>
        <w:tc>
          <w:tcPr>
            <w:tcW w:w="135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饲料加工</w:t>
            </w:r>
          </w:p>
        </w:tc>
        <w:tc>
          <w:tcPr>
            <w:tcW w:w="1560" w:type="dxa"/>
            <w:noWrap w:val="0"/>
            <w:vAlign w:val="center"/>
          </w:tcPr>
          <w:p>
            <w:pPr>
              <w:pStyle w:val="60"/>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一般固废</w:t>
            </w:r>
          </w:p>
        </w:tc>
        <w:tc>
          <w:tcPr>
            <w:tcW w:w="1320" w:type="dxa"/>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1.085</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noWrap w:val="0"/>
            <w:vAlign w:val="center"/>
          </w:tcPr>
          <w:p>
            <w:pPr>
              <w:pStyle w:val="49"/>
              <w:keepNext w:val="0"/>
              <w:keepLines w:val="0"/>
              <w:pageBreakBefore w:val="0"/>
              <w:kinsoku/>
              <w:wordWrap/>
              <w:overflowPunct/>
              <w:topLinePunct w:val="0"/>
              <w:bidi w:val="0"/>
              <w:spacing w:line="240" w:lineRule="exact"/>
              <w:textAlignment w:val="auto"/>
              <w:outlineLvl w:val="9"/>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作为饲料利用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8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val="0"/>
                <w:bCs/>
                <w:color w:val="auto"/>
                <w:spacing w:val="0"/>
                <w:w w:val="100"/>
                <w:kern w:val="0"/>
                <w:position w:val="0"/>
                <w:sz w:val="21"/>
                <w:szCs w:val="21"/>
                <w:highlight w:val="none"/>
                <w:lang w:val="en-US" w:eastAsia="zh-CN"/>
              </w:rPr>
            </w:pPr>
            <w:r>
              <w:rPr>
                <w:rFonts w:hint="default" w:ascii="Times New Roman" w:hAnsi="Times New Roman" w:eastAsia="宋体" w:cs="Times New Roman"/>
                <w:b w:val="0"/>
                <w:bCs/>
                <w:color w:val="auto"/>
                <w:spacing w:val="0"/>
                <w:w w:val="100"/>
                <w:kern w:val="0"/>
                <w:position w:val="0"/>
                <w:sz w:val="21"/>
                <w:szCs w:val="21"/>
                <w:highlight w:val="none"/>
                <w:lang w:val="en-US" w:eastAsia="zh-CN"/>
              </w:rPr>
              <w:t>6</w:t>
            </w:r>
          </w:p>
        </w:tc>
        <w:tc>
          <w:tcPr>
            <w:tcW w:w="156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eastAsia="zh-CN"/>
              </w:rPr>
            </w:pPr>
            <w:r>
              <w:rPr>
                <w:rFonts w:hint="default" w:ascii="Times New Roman" w:hAnsi="Times New Roman" w:eastAsia="宋体" w:cs="Times New Roman"/>
                <w:bCs/>
                <w:color w:val="auto"/>
                <w:spacing w:val="0"/>
                <w:w w:val="100"/>
                <w:kern w:val="0"/>
                <w:position w:val="0"/>
                <w:sz w:val="21"/>
                <w:szCs w:val="21"/>
                <w:highlight w:val="none"/>
              </w:rPr>
              <w:t>生活垃圾</w:t>
            </w:r>
          </w:p>
        </w:tc>
        <w:tc>
          <w:tcPr>
            <w:tcW w:w="1350" w:type="dxa"/>
            <w:noWrap w:val="0"/>
            <w:vAlign w:val="center"/>
          </w:tcPr>
          <w:p>
            <w:pPr>
              <w:keepNext w:val="0"/>
              <w:keepLines w:val="0"/>
              <w:pageBreakBefore w:val="0"/>
              <w:kinsoku/>
              <w:wordWrap/>
              <w:overflowPunct/>
              <w:topLinePunct w:val="0"/>
              <w:bidi w:val="0"/>
              <w:spacing w:line="240" w:lineRule="exact"/>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bCs/>
                <w:color w:val="auto"/>
                <w:spacing w:val="0"/>
                <w:w w:val="100"/>
                <w:kern w:val="0"/>
                <w:position w:val="0"/>
                <w:sz w:val="21"/>
                <w:szCs w:val="21"/>
                <w:highlight w:val="none"/>
              </w:rPr>
              <w:t>办公生活区</w:t>
            </w:r>
          </w:p>
        </w:tc>
        <w:tc>
          <w:tcPr>
            <w:tcW w:w="1560" w:type="dxa"/>
            <w:noWrap w:val="0"/>
            <w:vAlign w:val="center"/>
          </w:tcPr>
          <w:p>
            <w:pPr>
              <w:pStyle w:val="60"/>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eastAsia="zh-CN"/>
              </w:rPr>
            </w:pPr>
            <w:r>
              <w:rPr>
                <w:rFonts w:hint="default" w:ascii="Times New Roman" w:hAnsi="Times New Roman" w:eastAsia="宋体" w:cs="Times New Roman"/>
                <w:color w:val="auto"/>
                <w:spacing w:val="0"/>
                <w:w w:val="100"/>
                <w:kern w:val="0"/>
                <w:position w:val="0"/>
                <w:sz w:val="21"/>
                <w:szCs w:val="21"/>
                <w:highlight w:val="none"/>
                <w:lang w:eastAsia="zh-CN"/>
              </w:rPr>
              <w:t>一般固废</w:t>
            </w:r>
          </w:p>
        </w:tc>
        <w:tc>
          <w:tcPr>
            <w:tcW w:w="1320" w:type="dxa"/>
            <w:noWrap w:val="0"/>
            <w:vAlign w:val="top"/>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cs="Times New Roman"/>
                <w:color w:val="auto"/>
                <w:spacing w:val="0"/>
                <w:w w:val="100"/>
                <w:kern w:val="0"/>
                <w:position w:val="0"/>
                <w:szCs w:val="21"/>
                <w:highlight w:val="none"/>
                <w:lang w:eastAsia="zh-CN"/>
              </w:rPr>
              <w:t>3.65</w:t>
            </w:r>
          </w:p>
        </w:tc>
        <w:tc>
          <w:tcPr>
            <w:tcW w:w="915"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lang w:val="en-US" w:eastAsia="zh-CN"/>
              </w:rPr>
              <w:t>-</w:t>
            </w:r>
          </w:p>
        </w:tc>
        <w:tc>
          <w:tcPr>
            <w:tcW w:w="1155"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1320"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b/>
                <w:color w:val="auto"/>
                <w:spacing w:val="0"/>
                <w:w w:val="100"/>
                <w:kern w:val="0"/>
                <w:position w:val="0"/>
                <w:sz w:val="21"/>
                <w:szCs w:val="21"/>
                <w:highlight w:val="none"/>
                <w:lang w:val="en-US" w:eastAsia="zh-CN"/>
              </w:rPr>
            </w:pPr>
            <w:r>
              <w:rPr>
                <w:rFonts w:hint="default" w:ascii="Times New Roman" w:hAnsi="Times New Roman" w:eastAsia="宋体" w:cs="Times New Roman"/>
                <w:b/>
                <w:color w:val="auto"/>
                <w:spacing w:val="0"/>
                <w:w w:val="100"/>
                <w:kern w:val="0"/>
                <w:position w:val="0"/>
                <w:sz w:val="21"/>
                <w:szCs w:val="21"/>
                <w:highlight w:val="none"/>
                <w:lang w:val="en-US" w:eastAsia="zh-CN"/>
              </w:rPr>
              <w:t>-</w:t>
            </w:r>
          </w:p>
        </w:tc>
        <w:tc>
          <w:tcPr>
            <w:tcW w:w="4006"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rPr>
            </w:pPr>
            <w:r>
              <w:rPr>
                <w:rFonts w:hint="default" w:ascii="Times New Roman" w:hAnsi="Times New Roman" w:eastAsia="宋体" w:cs="Times New Roman"/>
                <w:bCs/>
                <w:color w:val="auto"/>
                <w:spacing w:val="0"/>
                <w:w w:val="100"/>
                <w:kern w:val="0"/>
                <w:position w:val="0"/>
                <w:sz w:val="21"/>
                <w:szCs w:val="21"/>
                <w:highlight w:val="none"/>
              </w:rPr>
              <w:t>及时清运至</w:t>
            </w:r>
            <w:r>
              <w:rPr>
                <w:rFonts w:hint="default" w:ascii="Times New Roman" w:hAnsi="Times New Roman" w:eastAsia="宋体" w:cs="Times New Roman"/>
                <w:bCs/>
                <w:color w:val="auto"/>
                <w:spacing w:val="0"/>
                <w:w w:val="100"/>
                <w:kern w:val="0"/>
                <w:position w:val="0"/>
                <w:sz w:val="21"/>
                <w:szCs w:val="21"/>
                <w:highlight w:val="none"/>
                <w:lang w:eastAsia="zh-CN"/>
              </w:rPr>
              <w:t>附近</w:t>
            </w:r>
            <w:r>
              <w:rPr>
                <w:rFonts w:hint="default" w:ascii="Times New Roman" w:hAnsi="Times New Roman" w:eastAsia="宋体" w:cs="Times New Roman"/>
                <w:bCs/>
                <w:color w:val="auto"/>
                <w:spacing w:val="0"/>
                <w:w w:val="100"/>
                <w:kern w:val="0"/>
                <w:position w:val="0"/>
                <w:sz w:val="21"/>
                <w:szCs w:val="21"/>
                <w:highlight w:val="none"/>
              </w:rPr>
              <w:t>垃</w:t>
            </w:r>
            <w:r>
              <w:rPr>
                <w:rFonts w:hint="default" w:ascii="Times New Roman" w:hAnsi="Times New Roman" w:eastAsia="宋体" w:cs="Times New Roman"/>
                <w:bCs/>
                <w:color w:val="auto"/>
                <w:spacing w:val="0"/>
                <w:w w:val="100"/>
                <w:kern w:val="0"/>
                <w:position w:val="0"/>
                <w:sz w:val="21"/>
                <w:szCs w:val="21"/>
                <w:highlight w:val="none"/>
                <w:lang w:eastAsia="zh-CN"/>
              </w:rPr>
              <w:t>圾填埋场统一</w:t>
            </w:r>
            <w:r>
              <w:rPr>
                <w:rFonts w:hint="default" w:ascii="Times New Roman" w:hAnsi="Times New Roman" w:eastAsia="宋体" w:cs="Times New Roman"/>
                <w:bCs/>
                <w:color w:val="auto"/>
                <w:spacing w:val="0"/>
                <w:w w:val="100"/>
                <w:kern w:val="0"/>
                <w:position w:val="0"/>
                <w:sz w:val="21"/>
                <w:szCs w:val="21"/>
                <w:highlight w:val="none"/>
              </w:rPr>
              <w:t>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0"/>
          <w:w w:val="100"/>
          <w:kern w:val="0"/>
          <w:position w:val="0"/>
          <w:sz w:val="24"/>
          <w:szCs w:val="24"/>
          <w:highlight w:val="none"/>
          <w:lang w:val="en-US" w:eastAsia="zh-CN" w:bidi="ar-SA"/>
        </w:rPr>
      </w:pPr>
      <w:r>
        <w:rPr>
          <w:rFonts w:hint="default" w:ascii="Times New Roman" w:hAnsi="Times New Roman" w:eastAsia="宋体" w:cs="Times New Roman"/>
          <w:b/>
          <w:bCs/>
          <w:color w:val="auto"/>
          <w:spacing w:val="0"/>
          <w:w w:val="100"/>
          <w:kern w:val="0"/>
          <w:position w:val="0"/>
          <w:sz w:val="24"/>
          <w:szCs w:val="24"/>
          <w:highlight w:val="none"/>
          <w:lang w:val="en-US" w:eastAsia="zh-CN" w:bidi="ar-SA"/>
        </w:rPr>
        <w:t>表9.</w:t>
      </w:r>
      <w:r>
        <w:rPr>
          <w:rFonts w:hint="eastAsia" w:ascii="Times New Roman" w:hAnsi="Times New Roman" w:cs="Times New Roman"/>
          <w:b/>
          <w:bCs/>
          <w:color w:val="auto"/>
          <w:spacing w:val="0"/>
          <w:w w:val="100"/>
          <w:kern w:val="0"/>
          <w:position w:val="0"/>
          <w:sz w:val="24"/>
          <w:szCs w:val="24"/>
          <w:highlight w:val="none"/>
          <w:lang w:val="en-US" w:eastAsia="zh-CN" w:bidi="ar-SA"/>
        </w:rPr>
        <w:t>6</w:t>
      </w:r>
      <w:r>
        <w:rPr>
          <w:rFonts w:hint="default" w:ascii="Times New Roman" w:hAnsi="Times New Roman" w:eastAsia="宋体" w:cs="Times New Roman"/>
          <w:b/>
          <w:bCs/>
          <w:color w:val="auto"/>
          <w:spacing w:val="0"/>
          <w:w w:val="100"/>
          <w:kern w:val="0"/>
          <w:position w:val="0"/>
          <w:sz w:val="24"/>
          <w:szCs w:val="24"/>
          <w:highlight w:val="none"/>
          <w:lang w:val="en-US" w:eastAsia="zh-CN" w:bidi="ar-SA"/>
        </w:rPr>
        <w:t>-4   项目噪声产（排）污一览表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60"/>
        <w:gridCol w:w="1433"/>
        <w:gridCol w:w="1442"/>
        <w:gridCol w:w="2317"/>
        <w:gridCol w:w="3382"/>
        <w:gridCol w:w="1773"/>
        <w:gridCol w:w="13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60"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噪声</w:t>
            </w:r>
          </w:p>
        </w:tc>
        <w:tc>
          <w:tcPr>
            <w:tcW w:w="1433"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噪声源编号</w:t>
            </w:r>
          </w:p>
        </w:tc>
        <w:tc>
          <w:tcPr>
            <w:tcW w:w="1442"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噪声源名称</w:t>
            </w:r>
          </w:p>
        </w:tc>
        <w:tc>
          <w:tcPr>
            <w:tcW w:w="2317"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噪声源声级〔db(a)〕</w:t>
            </w:r>
          </w:p>
        </w:tc>
        <w:tc>
          <w:tcPr>
            <w:tcW w:w="3382"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边界点强度〔db(a)〕</w:t>
            </w:r>
          </w:p>
        </w:tc>
        <w:tc>
          <w:tcPr>
            <w:tcW w:w="1773"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开机时间</w:t>
            </w:r>
          </w:p>
        </w:tc>
        <w:tc>
          <w:tcPr>
            <w:tcW w:w="1356"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其它要求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60"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牛叫</w:t>
            </w:r>
          </w:p>
        </w:tc>
        <w:tc>
          <w:tcPr>
            <w:tcW w:w="143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N1</w:t>
            </w:r>
          </w:p>
        </w:tc>
        <w:tc>
          <w:tcPr>
            <w:tcW w:w="1442"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牛叫</w:t>
            </w:r>
          </w:p>
        </w:tc>
        <w:tc>
          <w:tcPr>
            <w:tcW w:w="2317"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60-70</w:t>
            </w:r>
          </w:p>
        </w:tc>
        <w:tc>
          <w:tcPr>
            <w:tcW w:w="3382" w:type="dxa"/>
            <w:vMerge w:val="restart"/>
            <w:noWrap w:val="0"/>
            <w:vAlign w:val="center"/>
          </w:tcPr>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厂界：东：</w:t>
            </w:r>
            <w:r>
              <w:rPr>
                <w:rFonts w:hint="default" w:ascii="Times New Roman" w:hAnsi="Times New Roman" w:eastAsia="宋体" w:cs="Times New Roman"/>
                <w:color w:val="auto"/>
                <w:spacing w:val="0"/>
                <w:w w:val="100"/>
                <w:kern w:val="0"/>
                <w:position w:val="0"/>
                <w:szCs w:val="21"/>
                <w:highlight w:val="none"/>
                <w:lang w:val="en-US" w:eastAsia="zh-CN"/>
              </w:rPr>
              <w:t>48.88</w:t>
            </w:r>
            <w:r>
              <w:rPr>
                <w:rFonts w:hint="default" w:ascii="Times New Roman" w:hAnsi="Times New Roman" w:eastAsia="宋体" w:cs="Times New Roman"/>
                <w:color w:val="auto"/>
                <w:spacing w:val="0"/>
                <w:w w:val="100"/>
                <w:kern w:val="0"/>
                <w:position w:val="0"/>
                <w:szCs w:val="21"/>
                <w:highlight w:val="none"/>
              </w:rPr>
              <w:t xml:space="preserve">  南：</w:t>
            </w:r>
            <w:r>
              <w:rPr>
                <w:rFonts w:hint="default" w:ascii="Times New Roman" w:hAnsi="Times New Roman" w:eastAsia="宋体" w:cs="Times New Roman"/>
                <w:color w:val="auto"/>
                <w:spacing w:val="0"/>
                <w:w w:val="100"/>
                <w:kern w:val="0"/>
                <w:position w:val="0"/>
                <w:szCs w:val="21"/>
                <w:highlight w:val="none"/>
                <w:lang w:val="en-US" w:eastAsia="zh-CN"/>
              </w:rPr>
              <w:t>45.36</w:t>
            </w:r>
          </w:p>
          <w:p>
            <w:pPr>
              <w:jc w:val="center"/>
              <w:rPr>
                <w:rFonts w:hint="default" w:ascii="Times New Roman" w:hAnsi="Times New Roman" w:eastAsia="宋体" w:cs="Times New Roman"/>
                <w:color w:val="auto"/>
                <w:spacing w:val="0"/>
                <w:w w:val="100"/>
                <w:kern w:val="0"/>
                <w:position w:val="0"/>
                <w:szCs w:val="21"/>
                <w:highlight w:val="none"/>
                <w:lang w:val="en-US" w:eastAsia="zh-CN"/>
              </w:rPr>
            </w:pPr>
            <w:r>
              <w:rPr>
                <w:rFonts w:hint="default" w:ascii="Times New Roman" w:hAnsi="Times New Roman" w:eastAsia="宋体" w:cs="Times New Roman"/>
                <w:color w:val="auto"/>
                <w:spacing w:val="0"/>
                <w:w w:val="100"/>
                <w:kern w:val="0"/>
                <w:position w:val="0"/>
                <w:szCs w:val="21"/>
                <w:highlight w:val="none"/>
              </w:rPr>
              <w:t>西：</w:t>
            </w:r>
            <w:r>
              <w:rPr>
                <w:rFonts w:hint="default" w:ascii="Times New Roman" w:hAnsi="Times New Roman" w:eastAsia="宋体" w:cs="Times New Roman"/>
                <w:color w:val="auto"/>
                <w:spacing w:val="0"/>
                <w:w w:val="100"/>
                <w:kern w:val="0"/>
                <w:position w:val="0"/>
                <w:szCs w:val="21"/>
                <w:highlight w:val="none"/>
                <w:lang w:val="en-US" w:eastAsia="zh-CN"/>
              </w:rPr>
              <w:t>46.95</w:t>
            </w:r>
            <w:r>
              <w:rPr>
                <w:rFonts w:hint="default" w:ascii="Times New Roman" w:hAnsi="Times New Roman" w:eastAsia="宋体" w:cs="Times New Roman"/>
                <w:color w:val="auto"/>
                <w:spacing w:val="0"/>
                <w:w w:val="100"/>
                <w:kern w:val="0"/>
                <w:position w:val="0"/>
                <w:szCs w:val="21"/>
                <w:highlight w:val="none"/>
              </w:rPr>
              <w:t>北：</w:t>
            </w:r>
            <w:r>
              <w:rPr>
                <w:rFonts w:hint="default" w:ascii="Times New Roman" w:hAnsi="Times New Roman" w:eastAsia="宋体" w:cs="Times New Roman"/>
                <w:color w:val="auto"/>
                <w:spacing w:val="0"/>
                <w:w w:val="100"/>
                <w:kern w:val="0"/>
                <w:position w:val="0"/>
                <w:szCs w:val="21"/>
                <w:highlight w:val="none"/>
                <w:lang w:val="en-US" w:eastAsia="zh-CN"/>
              </w:rPr>
              <w:t>44.02</w:t>
            </w:r>
          </w:p>
        </w:tc>
        <w:tc>
          <w:tcPr>
            <w:tcW w:w="177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lang w:val="en-US" w:eastAsia="zh-CN"/>
              </w:rPr>
              <w:t>24</w:t>
            </w:r>
            <w:r>
              <w:rPr>
                <w:rFonts w:hint="default" w:ascii="Times New Roman" w:hAnsi="Times New Roman" w:eastAsia="宋体" w:cs="Times New Roman"/>
                <w:bCs/>
                <w:color w:val="auto"/>
                <w:spacing w:val="0"/>
                <w:w w:val="100"/>
                <w:kern w:val="0"/>
                <w:position w:val="0"/>
                <w:szCs w:val="21"/>
                <w:highlight w:val="none"/>
              </w:rPr>
              <w:t>h</w:t>
            </w:r>
          </w:p>
        </w:tc>
        <w:tc>
          <w:tcPr>
            <w:tcW w:w="1356"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60" w:type="dxa"/>
            <w:noWrap w:val="0"/>
            <w:vAlign w:val="center"/>
          </w:tcPr>
          <w:p>
            <w:pPr>
              <w:adjustRightInd w:val="0"/>
              <w:snapToGrid w:val="0"/>
              <w:jc w:val="center"/>
              <w:rPr>
                <w:rFonts w:hint="default" w:ascii="Times New Roman" w:hAnsi="Times New Roman" w:eastAsia="宋体" w:cs="Times New Roman"/>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TMR混合搅</w:t>
            </w:r>
          </w:p>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拌机</w:t>
            </w:r>
          </w:p>
        </w:tc>
        <w:tc>
          <w:tcPr>
            <w:tcW w:w="143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N2</w:t>
            </w:r>
          </w:p>
        </w:tc>
        <w:tc>
          <w:tcPr>
            <w:tcW w:w="1442"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机械噪声</w:t>
            </w:r>
          </w:p>
        </w:tc>
        <w:tc>
          <w:tcPr>
            <w:tcW w:w="2317"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3382" w:type="dxa"/>
            <w:vMerge w:val="continue"/>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p>
        </w:tc>
        <w:tc>
          <w:tcPr>
            <w:tcW w:w="177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lang w:val="en-US" w:eastAsia="zh-CN"/>
              </w:rPr>
              <w:t>8</w:t>
            </w:r>
            <w:r>
              <w:rPr>
                <w:rFonts w:hint="default" w:ascii="Times New Roman" w:hAnsi="Times New Roman" w:eastAsia="宋体" w:cs="Times New Roman"/>
                <w:bCs/>
                <w:color w:val="auto"/>
                <w:spacing w:val="0"/>
                <w:w w:val="100"/>
                <w:kern w:val="0"/>
                <w:position w:val="0"/>
                <w:szCs w:val="21"/>
                <w:highlight w:val="none"/>
              </w:rPr>
              <w:t>h</w:t>
            </w:r>
          </w:p>
        </w:tc>
        <w:tc>
          <w:tcPr>
            <w:tcW w:w="1356"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60"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粉碎机</w:t>
            </w:r>
          </w:p>
        </w:tc>
        <w:tc>
          <w:tcPr>
            <w:tcW w:w="143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eastAsia="宋体" w:cs="Times New Roman"/>
                <w:bCs/>
                <w:color w:val="auto"/>
                <w:spacing w:val="0"/>
                <w:w w:val="100"/>
                <w:kern w:val="0"/>
                <w:position w:val="0"/>
                <w:szCs w:val="21"/>
                <w:highlight w:val="none"/>
              </w:rPr>
              <w:t>N</w:t>
            </w:r>
            <w:r>
              <w:rPr>
                <w:rFonts w:hint="default" w:ascii="Times New Roman" w:hAnsi="Times New Roman" w:eastAsia="宋体" w:cs="Times New Roman"/>
                <w:bCs/>
                <w:color w:val="auto"/>
                <w:spacing w:val="0"/>
                <w:w w:val="100"/>
                <w:kern w:val="0"/>
                <w:position w:val="0"/>
                <w:szCs w:val="21"/>
                <w:highlight w:val="none"/>
                <w:lang w:val="en-US" w:eastAsia="zh-CN"/>
              </w:rPr>
              <w:t>3</w:t>
            </w:r>
          </w:p>
        </w:tc>
        <w:tc>
          <w:tcPr>
            <w:tcW w:w="1442"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机械噪声</w:t>
            </w:r>
          </w:p>
        </w:tc>
        <w:tc>
          <w:tcPr>
            <w:tcW w:w="2317"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3382" w:type="dxa"/>
            <w:vMerge w:val="continue"/>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p>
        </w:tc>
        <w:tc>
          <w:tcPr>
            <w:tcW w:w="177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8h</w:t>
            </w:r>
          </w:p>
        </w:tc>
        <w:tc>
          <w:tcPr>
            <w:tcW w:w="1356"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60"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水泵</w:t>
            </w:r>
          </w:p>
        </w:tc>
        <w:tc>
          <w:tcPr>
            <w:tcW w:w="143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lang w:eastAsia="zh-CN"/>
              </w:rPr>
            </w:pPr>
            <w:r>
              <w:rPr>
                <w:rFonts w:hint="default" w:ascii="Times New Roman" w:hAnsi="Times New Roman" w:eastAsia="宋体" w:cs="Times New Roman"/>
                <w:bCs/>
                <w:color w:val="auto"/>
                <w:spacing w:val="0"/>
                <w:w w:val="100"/>
                <w:kern w:val="0"/>
                <w:position w:val="0"/>
                <w:szCs w:val="21"/>
                <w:highlight w:val="none"/>
              </w:rPr>
              <w:t>N</w:t>
            </w:r>
            <w:r>
              <w:rPr>
                <w:rFonts w:hint="default" w:ascii="Times New Roman" w:hAnsi="Times New Roman" w:eastAsia="宋体" w:cs="Times New Roman"/>
                <w:bCs/>
                <w:color w:val="auto"/>
                <w:spacing w:val="0"/>
                <w:w w:val="100"/>
                <w:kern w:val="0"/>
                <w:position w:val="0"/>
                <w:szCs w:val="21"/>
                <w:highlight w:val="none"/>
                <w:lang w:val="en-US" w:eastAsia="zh-CN"/>
              </w:rPr>
              <w:t>4</w:t>
            </w:r>
          </w:p>
        </w:tc>
        <w:tc>
          <w:tcPr>
            <w:tcW w:w="1442"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bCs/>
                <w:color w:val="auto"/>
                <w:spacing w:val="0"/>
                <w:w w:val="100"/>
                <w:kern w:val="0"/>
                <w:position w:val="0"/>
                <w:szCs w:val="21"/>
                <w:highlight w:val="none"/>
              </w:rPr>
              <w:t>机械噪声</w:t>
            </w:r>
          </w:p>
        </w:tc>
        <w:tc>
          <w:tcPr>
            <w:tcW w:w="2317" w:type="dxa"/>
            <w:noWrap w:val="0"/>
            <w:vAlign w:val="center"/>
          </w:tcPr>
          <w:p>
            <w:pPr>
              <w:adjustRightInd w:val="0"/>
              <w:snapToGrid w:val="0"/>
              <w:jc w:val="center"/>
              <w:rPr>
                <w:rFonts w:hint="default" w:ascii="Times New Roman" w:hAnsi="Times New Roman" w:eastAsia="宋体" w:cs="Times New Roman"/>
                <w:bCs/>
                <w:color w:val="auto"/>
                <w:spacing w:val="0"/>
                <w:w w:val="100"/>
                <w:kern w:val="0"/>
                <w:position w:val="0"/>
                <w:szCs w:val="21"/>
                <w:highlight w:val="none"/>
              </w:rPr>
            </w:pPr>
            <w:r>
              <w:rPr>
                <w:rFonts w:hint="default" w:ascii="Times New Roman" w:hAnsi="Times New Roman" w:eastAsia="宋体" w:cs="Times New Roman"/>
                <w:color w:val="auto"/>
                <w:spacing w:val="0"/>
                <w:w w:val="100"/>
                <w:kern w:val="0"/>
                <w:position w:val="0"/>
                <w:szCs w:val="21"/>
                <w:highlight w:val="none"/>
              </w:rPr>
              <w:t>80-90</w:t>
            </w:r>
          </w:p>
        </w:tc>
        <w:tc>
          <w:tcPr>
            <w:tcW w:w="3382" w:type="dxa"/>
            <w:vMerge w:val="continue"/>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p>
        </w:tc>
        <w:tc>
          <w:tcPr>
            <w:tcW w:w="1773" w:type="dxa"/>
            <w:noWrap w:val="0"/>
            <w:vAlign w:val="center"/>
          </w:tcPr>
          <w:p>
            <w:pPr>
              <w:jc w:val="center"/>
              <w:rPr>
                <w:rFonts w:hint="default" w:ascii="Times New Roman" w:hAnsi="Times New Roman" w:eastAsia="宋体" w:cs="Times New Roman"/>
                <w:bCs/>
                <w:color w:val="auto"/>
                <w:spacing w:val="0"/>
                <w:w w:val="100"/>
                <w:kern w:val="0"/>
                <w:position w:val="0"/>
                <w:szCs w:val="21"/>
                <w:highlight w:val="none"/>
                <w:lang w:val="en-US" w:eastAsia="zh-CN"/>
              </w:rPr>
            </w:pPr>
            <w:r>
              <w:rPr>
                <w:rFonts w:hint="default" w:ascii="Times New Roman" w:hAnsi="Times New Roman" w:eastAsia="宋体" w:cs="Times New Roman"/>
                <w:bCs/>
                <w:color w:val="auto"/>
                <w:spacing w:val="0"/>
                <w:w w:val="100"/>
                <w:kern w:val="0"/>
                <w:position w:val="0"/>
                <w:szCs w:val="21"/>
                <w:highlight w:val="none"/>
                <w:lang w:val="en-US" w:eastAsia="zh-CN"/>
              </w:rPr>
              <w:t>24h</w:t>
            </w:r>
          </w:p>
        </w:tc>
        <w:tc>
          <w:tcPr>
            <w:tcW w:w="1356" w:type="dxa"/>
            <w:noWrap w:val="0"/>
            <w:vAlign w:val="center"/>
          </w:tcPr>
          <w:p>
            <w:pPr>
              <w:jc w:val="center"/>
              <w:rPr>
                <w:rFonts w:hint="default" w:ascii="Times New Roman" w:hAnsi="Times New Roman" w:eastAsia="宋体" w:cs="Times New Roman"/>
                <w:b/>
                <w:color w:val="auto"/>
                <w:spacing w:val="0"/>
                <w:w w:val="100"/>
                <w:kern w:val="0"/>
                <w:position w:val="0"/>
                <w:szCs w:val="21"/>
                <w:highlight w:val="none"/>
              </w:rPr>
            </w:pPr>
            <w:r>
              <w:rPr>
                <w:rFonts w:hint="default" w:ascii="Times New Roman" w:hAnsi="Times New Roman" w:eastAsia="宋体" w:cs="Times New Roman"/>
                <w:b/>
                <w:color w:val="auto"/>
                <w:spacing w:val="0"/>
                <w:w w:val="100"/>
                <w:kern w:val="0"/>
                <w:position w:val="0"/>
                <w:szCs w:val="21"/>
                <w:highlight w:val="none"/>
              </w:rPr>
              <w:t>-</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2"/>
          <w:highlight w:val="none"/>
          <w:lang w:eastAsia="zh-CN"/>
        </w:rPr>
        <w:sectPr>
          <w:headerReference r:id="rId17"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pPr>
        <w:pStyle w:val="37"/>
        <w:snapToGrid w:val="0"/>
        <w:spacing w:before="312" w:beforeLines="100" w:after="156" w:afterLines="50"/>
        <w:contextualSpacing/>
        <w:rPr>
          <w:rFonts w:hint="default" w:ascii="Times New Roman" w:hAnsi="Times New Roman" w:eastAsia="宋体" w:cs="Times New Roman"/>
          <w:bCs/>
          <w:snapToGrid w:val="0"/>
          <w:color w:val="auto"/>
          <w:spacing w:val="0"/>
          <w:w w:val="100"/>
          <w:kern w:val="0"/>
          <w:position w:val="0"/>
          <w:sz w:val="30"/>
          <w:szCs w:val="30"/>
          <w:highlight w:val="none"/>
          <w:lang w:val="en-US" w:eastAsia="zh-CN"/>
        </w:rPr>
      </w:pPr>
      <w:bookmarkStart w:id="1331" w:name="_Toc28346"/>
      <w:bookmarkStart w:id="1332" w:name="_Toc10244"/>
      <w:bookmarkStart w:id="1333" w:name="_Toc1950"/>
      <w:bookmarkStart w:id="1334" w:name="_Toc6195"/>
      <w:bookmarkStart w:id="1335" w:name="_Toc25878"/>
      <w:bookmarkStart w:id="1336" w:name="_Toc3931"/>
      <w:bookmarkStart w:id="1337" w:name="_Toc24269"/>
      <w:bookmarkStart w:id="1338" w:name="_Toc16715"/>
      <w:bookmarkStart w:id="1339" w:name="_Toc20117"/>
      <w:bookmarkStart w:id="1340" w:name="_Toc8215"/>
      <w:bookmarkStart w:id="1341" w:name="_Toc407551942"/>
      <w:r>
        <w:rPr>
          <w:rFonts w:hint="default" w:ascii="Times New Roman" w:hAnsi="Times New Roman" w:eastAsia="宋体" w:cs="Times New Roman"/>
          <w:bCs/>
          <w:snapToGrid w:val="0"/>
          <w:color w:val="auto"/>
          <w:spacing w:val="0"/>
          <w:w w:val="100"/>
          <w:kern w:val="0"/>
          <w:position w:val="0"/>
          <w:sz w:val="30"/>
          <w:szCs w:val="30"/>
          <w:highlight w:val="none"/>
          <w:lang w:val="en-US" w:eastAsia="zh-CN"/>
        </w:rPr>
        <w:t>10结论与建议</w:t>
      </w:r>
      <w:bookmarkEnd w:id="1331"/>
      <w:bookmarkEnd w:id="1332"/>
      <w:bookmarkEnd w:id="1333"/>
      <w:bookmarkEnd w:id="1334"/>
      <w:bookmarkEnd w:id="1335"/>
      <w:bookmarkEnd w:id="1336"/>
      <w:bookmarkEnd w:id="1337"/>
      <w:bookmarkEnd w:id="1338"/>
      <w:bookmarkEnd w:id="1339"/>
      <w:bookmarkEnd w:id="1340"/>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42" w:name="_Toc27778"/>
      <w:bookmarkStart w:id="1343" w:name="_Toc27088"/>
      <w:bookmarkStart w:id="1344" w:name="_Toc851"/>
      <w:bookmarkStart w:id="1345" w:name="_Toc15170"/>
      <w:bookmarkStart w:id="1346" w:name="_Toc9494"/>
      <w:bookmarkStart w:id="1347" w:name="_Toc30140"/>
      <w:bookmarkStart w:id="1348" w:name="_Toc27040"/>
      <w:bookmarkStart w:id="1349" w:name="_Toc1636"/>
      <w:bookmarkStart w:id="1350" w:name="_Toc14144"/>
      <w:bookmarkStart w:id="1351" w:name="_Toc9096"/>
      <w:bookmarkStart w:id="1352" w:name="_Toc23271"/>
      <w:r>
        <w:rPr>
          <w:rFonts w:hint="default" w:ascii="Times New Roman" w:hAnsi="Times New Roman" w:eastAsia="宋体" w:cs="Times New Roman"/>
          <w:snapToGrid w:val="0"/>
          <w:color w:val="auto"/>
          <w:spacing w:val="0"/>
          <w:w w:val="100"/>
          <w:kern w:val="0"/>
          <w:position w:val="0"/>
          <w:highlight w:val="none"/>
          <w:lang w:val="en-US" w:eastAsia="zh-CN"/>
        </w:rPr>
        <w:t>10.1项目基本情况</w:t>
      </w:r>
      <w:bookmarkEnd w:id="1342"/>
      <w:bookmarkEnd w:id="1343"/>
      <w:bookmarkEnd w:id="1344"/>
      <w:bookmarkEnd w:id="1345"/>
      <w:bookmarkEnd w:id="1346"/>
      <w:bookmarkEnd w:id="1347"/>
      <w:bookmarkEnd w:id="1348"/>
      <w:bookmarkEnd w:id="1349"/>
      <w:bookmarkEnd w:id="1350"/>
      <w:bookmarkEnd w:id="1351"/>
      <w:bookmarkEnd w:id="1352"/>
    </w:p>
    <w:p>
      <w:pPr>
        <w:spacing w:line="360" w:lineRule="auto"/>
        <w:ind w:firstLine="480" w:firstLineChars="200"/>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本项目建设地点位于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highlight w:val="none"/>
          <w:lang w:val="en-US" w:eastAsia="zh-CN" w:bidi="ar-SA"/>
        </w:rPr>
        <w:t>，项目总占地面积414亩，新建奶牛舍4栋、青年牛舍2栋、产牛舍1栋、犊牛舍2栋、怀犊牛舍3栋、挤奶厅、干草棚、青贮池、堆粪棚、污水处理设施、宿舍办公区及相关配套设施。项目奶牛存栏5000头，年生产原奶23000吨。</w:t>
      </w:r>
      <w:r>
        <w:rPr>
          <w:rFonts w:hint="default" w:ascii="Times New Roman" w:hAnsi="Times New Roman" w:eastAsia="宋体" w:cs="Times New Roman"/>
          <w:color w:val="auto"/>
          <w:spacing w:val="0"/>
          <w:w w:val="100"/>
          <w:kern w:val="0"/>
          <w:position w:val="0"/>
          <w:sz w:val="24"/>
          <w:highlight w:val="none"/>
          <w:lang w:val="zh-CN" w:eastAsia="zh-CN"/>
        </w:rPr>
        <w:t>项目总投资</w:t>
      </w:r>
      <w:r>
        <w:rPr>
          <w:rFonts w:hint="default" w:ascii="Times New Roman" w:hAnsi="Times New Roman" w:eastAsia="宋体" w:cs="Times New Roman"/>
          <w:color w:val="auto"/>
          <w:spacing w:val="0"/>
          <w:w w:val="100"/>
          <w:kern w:val="0"/>
          <w:position w:val="0"/>
          <w:sz w:val="24"/>
          <w:highlight w:val="none"/>
          <w:lang w:val="en-US" w:eastAsia="zh-CN"/>
        </w:rPr>
        <w:t>7448.78万元</w:t>
      </w:r>
      <w:r>
        <w:rPr>
          <w:rFonts w:hint="default" w:ascii="Times New Roman" w:hAnsi="Times New Roman" w:eastAsia="宋体" w:cs="Times New Roman"/>
          <w:color w:val="auto"/>
          <w:spacing w:val="0"/>
          <w:w w:val="100"/>
          <w:kern w:val="0"/>
          <w:position w:val="0"/>
          <w:sz w:val="24"/>
          <w:highlight w:val="none"/>
          <w:lang w:val="zh-CN" w:eastAsia="zh-CN"/>
        </w:rPr>
        <w:t>，环保投资</w:t>
      </w:r>
      <w:r>
        <w:rPr>
          <w:rFonts w:hint="default" w:ascii="Times New Roman" w:hAnsi="Times New Roman" w:eastAsia="宋体" w:cs="Times New Roman"/>
          <w:color w:val="auto"/>
          <w:spacing w:val="0"/>
          <w:w w:val="100"/>
          <w:kern w:val="0"/>
          <w:position w:val="0"/>
          <w:sz w:val="24"/>
          <w:highlight w:val="none"/>
          <w:lang w:val="en-US" w:eastAsia="zh-CN"/>
        </w:rPr>
        <w:t>478.5</w:t>
      </w:r>
      <w:r>
        <w:rPr>
          <w:rFonts w:hint="default" w:ascii="Times New Roman" w:hAnsi="Times New Roman" w:eastAsia="宋体" w:cs="Times New Roman"/>
          <w:color w:val="auto"/>
          <w:spacing w:val="0"/>
          <w:w w:val="100"/>
          <w:kern w:val="0"/>
          <w:position w:val="0"/>
          <w:sz w:val="24"/>
          <w:highlight w:val="none"/>
          <w:lang w:val="zh-CN" w:eastAsia="zh-CN"/>
        </w:rPr>
        <w:t>万元，占总投资的</w:t>
      </w:r>
      <w:r>
        <w:rPr>
          <w:rFonts w:hint="eastAsia" w:ascii="Times New Roman" w:hAnsi="Times New Roman" w:cs="Times New Roman"/>
          <w:color w:val="auto"/>
          <w:spacing w:val="0"/>
          <w:w w:val="100"/>
          <w:kern w:val="0"/>
          <w:position w:val="0"/>
          <w:sz w:val="24"/>
          <w:highlight w:val="none"/>
          <w:lang w:val="en-US" w:eastAsia="zh-CN"/>
        </w:rPr>
        <w:t>6.42%</w:t>
      </w:r>
      <w:r>
        <w:rPr>
          <w:rFonts w:hint="default" w:ascii="Times New Roman" w:hAnsi="Times New Roman" w:eastAsia="宋体" w:cs="Times New Roman"/>
          <w:color w:val="auto"/>
          <w:spacing w:val="0"/>
          <w:w w:val="100"/>
          <w:kern w:val="0"/>
          <w:position w:val="0"/>
          <w:sz w:val="24"/>
          <w:highlight w:val="none"/>
          <w:lang w:val="zh-CN" w:eastAsia="zh-CN"/>
        </w:rPr>
        <w:t>。</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53" w:name="_Toc13805"/>
      <w:bookmarkStart w:id="1354" w:name="_Toc28672"/>
      <w:bookmarkStart w:id="1355" w:name="_Toc15520"/>
      <w:bookmarkStart w:id="1356" w:name="_Toc12325"/>
      <w:bookmarkStart w:id="1357" w:name="_Toc31646"/>
      <w:bookmarkStart w:id="1358" w:name="_Toc23143"/>
      <w:bookmarkStart w:id="1359" w:name="_Toc12045"/>
      <w:bookmarkStart w:id="1360" w:name="_Toc17717"/>
      <w:bookmarkStart w:id="1361" w:name="_Toc22990"/>
      <w:bookmarkStart w:id="1362" w:name="_Toc20932"/>
      <w:bookmarkStart w:id="1363" w:name="_Toc10540"/>
      <w:r>
        <w:rPr>
          <w:rFonts w:hint="default" w:ascii="Times New Roman" w:hAnsi="Times New Roman" w:eastAsia="宋体" w:cs="Times New Roman"/>
          <w:snapToGrid w:val="0"/>
          <w:color w:val="auto"/>
          <w:spacing w:val="0"/>
          <w:w w:val="100"/>
          <w:kern w:val="0"/>
          <w:position w:val="0"/>
          <w:highlight w:val="none"/>
          <w:lang w:val="en-US" w:eastAsia="zh-CN"/>
        </w:rPr>
        <w:t>10.2产业政策及规划符合性分析</w:t>
      </w:r>
      <w:bookmarkEnd w:id="1353"/>
      <w:bookmarkEnd w:id="1354"/>
      <w:bookmarkEnd w:id="1355"/>
      <w:bookmarkEnd w:id="1356"/>
      <w:bookmarkEnd w:id="1357"/>
      <w:bookmarkEnd w:id="1358"/>
      <w:bookmarkEnd w:id="1359"/>
      <w:bookmarkEnd w:id="1360"/>
      <w:bookmarkEnd w:id="1361"/>
      <w:bookmarkEnd w:id="1362"/>
      <w:bookmarkEnd w:id="1363"/>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lang w:val="zh-CN"/>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与《产业结构调整指导目录（2019年本）》的相符性</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本项目属于畜禽标准化规模养殖</w:t>
      </w:r>
      <w:r>
        <w:rPr>
          <w:rFonts w:hint="default" w:ascii="Times New Roman" w:hAnsi="Times New Roman" w:eastAsia="宋体" w:cs="Times New Roman"/>
          <w:color w:val="auto"/>
          <w:spacing w:val="0"/>
          <w:w w:val="100"/>
          <w:kern w:val="0"/>
          <w:position w:val="0"/>
          <w:sz w:val="24"/>
          <w:highlight w:val="none"/>
        </w:rPr>
        <w:t>场建设</w:t>
      </w:r>
      <w:r>
        <w:rPr>
          <w:rFonts w:hint="default" w:ascii="Times New Roman" w:hAnsi="Times New Roman" w:eastAsia="宋体" w:cs="Times New Roman"/>
          <w:color w:val="auto"/>
          <w:spacing w:val="0"/>
          <w:w w:val="100"/>
          <w:kern w:val="0"/>
          <w:position w:val="0"/>
          <w:sz w:val="24"/>
          <w:highlight w:val="none"/>
          <w:lang w:val="zh-CN"/>
        </w:rPr>
        <w:t>，根据《产业结构调整指导目录（201</w:t>
      </w:r>
      <w:r>
        <w:rPr>
          <w:rFonts w:hint="default" w:ascii="Times New Roman" w:hAnsi="Times New Roman" w:eastAsia="宋体" w:cs="Times New Roman"/>
          <w:color w:val="auto"/>
          <w:spacing w:val="0"/>
          <w:w w:val="100"/>
          <w:kern w:val="0"/>
          <w:position w:val="0"/>
          <w:sz w:val="24"/>
          <w:highlight w:val="none"/>
        </w:rPr>
        <w:t>9</w:t>
      </w:r>
      <w:r>
        <w:rPr>
          <w:rFonts w:hint="default" w:ascii="Times New Roman" w:hAnsi="Times New Roman" w:eastAsia="宋体" w:cs="Times New Roman"/>
          <w:color w:val="auto"/>
          <w:spacing w:val="0"/>
          <w:w w:val="100"/>
          <w:kern w:val="0"/>
          <w:position w:val="0"/>
          <w:sz w:val="24"/>
          <w:highlight w:val="none"/>
          <w:lang w:val="zh-CN"/>
        </w:rPr>
        <w:t>年本）》，本项目不属于鼓励、限制类、淘汰类，属于允许类项目，场区未使用淘汰类设备。因此本项目建设符合国家产业政策。</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lang w:val="zh-CN"/>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本项目的建设符合《中华人民共和国国民经济和社会发展第十四个五年规划和2035年远景目标纲要》、《中共宁夏回族自治区委员会关于制定国民经济和社会发展第十四个五年规划和二○三五年远景目标的建议》、《关于进一步明确畜禽粪污还田利用要求强化养殖污染监管的通知》、《关于做好畜禽规模养殖项目环境影响评价管理工作的通知》及“三线一单”的相关要求。 综上所述，项目符合国家和地方产业政策。</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rPr>
        <w:t>综上所述，项目符合国家和地方产业政策。</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64" w:name="_Toc22571"/>
      <w:bookmarkStart w:id="1365" w:name="_Toc32303"/>
      <w:bookmarkStart w:id="1366" w:name="_Toc25496"/>
      <w:bookmarkStart w:id="1367" w:name="_Toc11399"/>
      <w:bookmarkStart w:id="1368" w:name="_Toc30707"/>
      <w:bookmarkStart w:id="1369" w:name="_Toc1946"/>
      <w:bookmarkStart w:id="1370" w:name="_Toc21182"/>
      <w:bookmarkStart w:id="1371" w:name="_Toc18995"/>
      <w:bookmarkStart w:id="1372" w:name="_Toc11875"/>
      <w:bookmarkStart w:id="1373" w:name="_Toc29244"/>
      <w:bookmarkStart w:id="1374" w:name="_Toc24628"/>
      <w:r>
        <w:rPr>
          <w:rFonts w:hint="default" w:ascii="Times New Roman" w:hAnsi="Times New Roman" w:eastAsia="宋体" w:cs="Times New Roman"/>
          <w:snapToGrid w:val="0"/>
          <w:color w:val="auto"/>
          <w:spacing w:val="0"/>
          <w:w w:val="100"/>
          <w:kern w:val="0"/>
          <w:position w:val="0"/>
          <w:highlight w:val="none"/>
          <w:lang w:val="en-US" w:eastAsia="zh-CN"/>
        </w:rPr>
        <w:t>10.3选址合理性分析</w:t>
      </w:r>
      <w:bookmarkEnd w:id="1364"/>
      <w:bookmarkEnd w:id="1365"/>
      <w:bookmarkEnd w:id="1366"/>
      <w:bookmarkEnd w:id="1367"/>
      <w:bookmarkEnd w:id="1368"/>
      <w:bookmarkEnd w:id="1369"/>
      <w:bookmarkEnd w:id="1370"/>
      <w:bookmarkEnd w:id="1371"/>
      <w:bookmarkEnd w:id="1372"/>
      <w:bookmarkEnd w:id="1373"/>
      <w:bookmarkEnd w:id="1374"/>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bookmarkStart w:id="1375" w:name="_Toc13885"/>
      <w:bookmarkStart w:id="1376" w:name="_Toc7598"/>
      <w:bookmarkStart w:id="1377" w:name="_Toc7129"/>
      <w:bookmarkStart w:id="1378" w:name="_Toc20108"/>
      <w:r>
        <w:rPr>
          <w:rFonts w:hint="default" w:ascii="Times New Roman" w:hAnsi="Times New Roman" w:eastAsia="宋体" w:cs="Times New Roman"/>
          <w:color w:val="auto"/>
          <w:spacing w:val="0"/>
          <w:w w:val="100"/>
          <w:kern w:val="0"/>
          <w:position w:val="0"/>
          <w:sz w:val="24"/>
          <w:highlight w:val="none"/>
          <w:lang w:val="zh-CN"/>
        </w:rPr>
        <w:t>本项目建设用地为设施农用地，非基本农田保护区及耕地，非林业用地，项目500m范围内没有居民点等环境保护目标，建设区域不存在矿产资源，无天然气管线，无饮用水水源地。同时场区周围也没有受污染的水体及产生有害气体、烟雾、粉尘等污染源的工业企业或其他产生污染源的地区或场所，周围环境卫生条件良好。此外，本项目产生的污染物在采取本报告提出各项污染防治措施后，废水可综合利用，固体废物均可妥善处理，对周围环境影响较小，不会改变区域原有环境功能。</w:t>
      </w:r>
    </w:p>
    <w:p>
      <w:pPr>
        <w:adjustRightInd w:val="0"/>
        <w:snapToGrid w:val="0"/>
        <w:spacing w:line="360" w:lineRule="auto"/>
        <w:ind w:firstLine="480" w:firstLineChars="200"/>
        <w:jc w:val="both"/>
        <w:rPr>
          <w:rFonts w:hint="default" w:ascii="Times New Roman" w:hAnsi="Times New Roman" w:eastAsia="宋体" w:cs="Times New Roman"/>
          <w:bCs/>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综上所述，本项目的选址符合《畜禽养殖业污染防治技术规范》（HJ/T81-2001）的相关要求，选址较为合理。</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79" w:name="_Toc27991"/>
      <w:bookmarkStart w:id="1380" w:name="_Toc4373"/>
      <w:bookmarkStart w:id="1381" w:name="_Toc22261"/>
      <w:bookmarkStart w:id="1382" w:name="_Toc11742"/>
      <w:bookmarkStart w:id="1383" w:name="_Toc2948"/>
      <w:bookmarkStart w:id="1384" w:name="_Toc10840"/>
      <w:bookmarkStart w:id="1385" w:name="_Toc19234"/>
      <w:r>
        <w:rPr>
          <w:rFonts w:hint="default" w:ascii="Times New Roman" w:hAnsi="Times New Roman" w:eastAsia="宋体" w:cs="Times New Roman"/>
          <w:snapToGrid w:val="0"/>
          <w:color w:val="auto"/>
          <w:spacing w:val="0"/>
          <w:w w:val="100"/>
          <w:kern w:val="0"/>
          <w:position w:val="0"/>
          <w:highlight w:val="none"/>
          <w:lang w:val="en-US" w:eastAsia="zh-CN"/>
        </w:rPr>
        <w:t>10.4平面布置合理性分析</w:t>
      </w:r>
      <w:bookmarkEnd w:id="1375"/>
      <w:bookmarkEnd w:id="1376"/>
      <w:bookmarkEnd w:id="1377"/>
      <w:bookmarkEnd w:id="1378"/>
      <w:bookmarkEnd w:id="1379"/>
      <w:bookmarkEnd w:id="1380"/>
      <w:bookmarkEnd w:id="1381"/>
      <w:bookmarkEnd w:id="1382"/>
      <w:bookmarkEnd w:id="1383"/>
      <w:bookmarkEnd w:id="1384"/>
      <w:bookmarkEnd w:id="1385"/>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bookmarkStart w:id="1386" w:name="_Toc22927"/>
      <w:bookmarkStart w:id="1387" w:name="_Toc10324"/>
      <w:bookmarkStart w:id="1388" w:name="_Toc2608"/>
      <w:bookmarkStart w:id="1389" w:name="_Toc26779"/>
      <w:bookmarkStart w:id="1390" w:name="_Toc12712"/>
      <w:r>
        <w:rPr>
          <w:rFonts w:hint="default" w:ascii="Times New Roman" w:hAnsi="Times New Roman" w:eastAsia="宋体" w:cs="Times New Roman"/>
          <w:snapToGrid w:val="0"/>
          <w:color w:val="auto"/>
          <w:spacing w:val="0"/>
          <w:w w:val="100"/>
          <w:kern w:val="0"/>
          <w:position w:val="0"/>
          <w:sz w:val="24"/>
          <w:szCs w:val="32"/>
          <w:highlight w:val="none"/>
        </w:rPr>
        <w:t>本项目建设地点位于</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snapToGrid w:val="0"/>
          <w:color w:val="auto"/>
          <w:spacing w:val="0"/>
          <w:w w:val="100"/>
          <w:kern w:val="0"/>
          <w:position w:val="0"/>
          <w:sz w:val="24"/>
          <w:szCs w:val="32"/>
          <w:highlight w:val="none"/>
        </w:rPr>
        <w:t>，总平面布置根据养殖场各组成部门的性质、使用功能和卫生要求等因素，将性质相同、功能相近、联系密切、对环境要求相对一致的建筑物、构筑物及设施，分为若干组并结合用地的具体条件，进行功能分区，主要分为养殖区、生活管理区、辅助生产区、粪污处理区四大区。</w:t>
      </w:r>
    </w:p>
    <w:p>
      <w:pPr>
        <w:pStyle w:val="16"/>
        <w:keepNext w:val="0"/>
        <w:keepLines w:val="0"/>
        <w:pageBreakBefore w:val="0"/>
        <w:widowControl w:val="0"/>
        <w:numPr>
          <w:ilvl w:val="0"/>
          <w:numId w:val="0"/>
        </w:numPr>
        <w:tabs>
          <w:tab w:val="clear" w:pos="4153"/>
          <w:tab w:val="clear" w:pos="8306"/>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begin"/>
      </w:r>
      <w:r>
        <w:rPr>
          <w:rFonts w:hint="default" w:ascii="Times New Roman" w:hAnsi="Times New Roman" w:eastAsia="宋体" w:cs="Times New Roman"/>
          <w:snapToGrid w:val="0"/>
          <w:color w:val="auto"/>
          <w:spacing w:val="0"/>
          <w:w w:val="100"/>
          <w:kern w:val="0"/>
          <w:position w:val="0"/>
          <w:sz w:val="24"/>
          <w:szCs w:val="32"/>
          <w:highlight w:val="none"/>
          <w:lang w:val="en-US" w:eastAsia="zh-CN"/>
        </w:rPr>
        <w:instrText xml:space="preserve"> = 1 \* GB2 \* MERGEFORMAT </w:instrTex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separate"/>
      </w:r>
      <w:r>
        <w:rPr>
          <w:rFonts w:hint="default" w:ascii="Times New Roman" w:hAnsi="Times New Roman" w:eastAsia="宋体" w:cs="Times New Roman"/>
          <w:snapToGrid w:val="0"/>
          <w:color w:val="auto"/>
          <w:spacing w:val="0"/>
          <w:w w:val="100"/>
          <w:kern w:val="0"/>
          <w:position w:val="0"/>
          <w:sz w:val="24"/>
          <w:szCs w:val="32"/>
          <w:highlight w:val="none"/>
        </w:rPr>
        <w:t>⑴</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fldChar w:fldCharType="end"/>
      </w:r>
      <w:r>
        <w:rPr>
          <w:rFonts w:hint="default" w:ascii="Times New Roman" w:hAnsi="Times New Roman" w:eastAsia="宋体" w:cs="Times New Roman"/>
          <w:snapToGrid w:val="0"/>
          <w:color w:val="auto"/>
          <w:spacing w:val="0"/>
          <w:w w:val="100"/>
          <w:kern w:val="0"/>
          <w:position w:val="0"/>
          <w:sz w:val="24"/>
          <w:szCs w:val="32"/>
          <w:highlight w:val="none"/>
        </w:rPr>
        <w:t>养殖区：养殖区位于整个场区中部，建设有</w:t>
      </w:r>
      <w:r>
        <w:rPr>
          <w:rFonts w:hint="default" w:ascii="Times New Roman" w:hAnsi="Times New Roman" w:cs="Times New Roman"/>
          <w:snapToGrid w:val="0"/>
          <w:color w:val="auto"/>
          <w:spacing w:val="0"/>
          <w:w w:val="100"/>
          <w:kern w:val="0"/>
          <w:position w:val="0"/>
          <w:sz w:val="24"/>
          <w:szCs w:val="32"/>
          <w:highlight w:val="none"/>
          <w:lang w:eastAsia="zh-CN"/>
        </w:rPr>
        <w:t>奶</w:t>
      </w:r>
      <w:r>
        <w:rPr>
          <w:rFonts w:hint="eastAsia" w:ascii="Times New Roman" w:hAnsi="Times New Roman" w:cs="Times New Roman"/>
          <w:snapToGrid w:val="0"/>
          <w:color w:val="auto"/>
          <w:spacing w:val="0"/>
          <w:w w:val="100"/>
          <w:kern w:val="0"/>
          <w:position w:val="0"/>
          <w:sz w:val="24"/>
          <w:szCs w:val="32"/>
          <w:highlight w:val="none"/>
          <w:lang w:eastAsia="zh-CN"/>
        </w:rPr>
        <w:t>牛舍</w:t>
      </w:r>
      <w:r>
        <w:rPr>
          <w:rFonts w:hint="default" w:ascii="Times New Roman" w:hAnsi="Times New Roman" w:eastAsia="宋体" w:cs="Times New Roman"/>
          <w:snapToGrid w:val="0"/>
          <w:color w:val="auto"/>
          <w:spacing w:val="0"/>
          <w:w w:val="100"/>
          <w:kern w:val="0"/>
          <w:position w:val="0"/>
          <w:sz w:val="24"/>
          <w:szCs w:val="32"/>
          <w:highlight w:val="none"/>
          <w:lang w:eastAsia="zh-CN"/>
        </w:rPr>
        <w:t>、犊</w:t>
      </w:r>
      <w:r>
        <w:rPr>
          <w:rFonts w:hint="eastAsia" w:ascii="Times New Roman" w:hAnsi="Times New Roman" w:cs="Times New Roman"/>
          <w:snapToGrid w:val="0"/>
          <w:color w:val="auto"/>
          <w:spacing w:val="0"/>
          <w:w w:val="100"/>
          <w:kern w:val="0"/>
          <w:position w:val="0"/>
          <w:sz w:val="24"/>
          <w:szCs w:val="32"/>
          <w:highlight w:val="none"/>
          <w:lang w:eastAsia="zh-CN"/>
        </w:rPr>
        <w:t>牛舍</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cs="Times New Roman"/>
          <w:snapToGrid w:val="0"/>
          <w:color w:val="auto"/>
          <w:spacing w:val="0"/>
          <w:w w:val="100"/>
          <w:kern w:val="0"/>
          <w:position w:val="0"/>
          <w:sz w:val="24"/>
          <w:szCs w:val="32"/>
          <w:highlight w:val="none"/>
          <w:lang w:eastAsia="zh-CN"/>
        </w:rPr>
        <w:t>产牛舍</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eastAsia="zh-CN"/>
        </w:rPr>
        <w:t>共设置标准化</w:t>
      </w:r>
      <w:r>
        <w:rPr>
          <w:rFonts w:hint="eastAsia" w:ascii="Times New Roman" w:hAnsi="Times New Roman" w:cs="Times New Roman"/>
          <w:snapToGrid w:val="0"/>
          <w:color w:val="auto"/>
          <w:spacing w:val="0"/>
          <w:w w:val="100"/>
          <w:kern w:val="0"/>
          <w:position w:val="0"/>
          <w:sz w:val="24"/>
          <w:szCs w:val="32"/>
          <w:highlight w:val="none"/>
          <w:lang w:eastAsia="zh-CN"/>
        </w:rPr>
        <w:t>牛舍</w:t>
      </w:r>
      <w:r>
        <w:rPr>
          <w:rFonts w:hint="eastAsia" w:ascii="Times New Roman" w:hAnsi="Times New Roman" w:cs="Times New Roman"/>
          <w:snapToGrid w:val="0"/>
          <w:color w:val="auto"/>
          <w:spacing w:val="0"/>
          <w:w w:val="100"/>
          <w:kern w:val="0"/>
          <w:position w:val="0"/>
          <w:sz w:val="24"/>
          <w:szCs w:val="32"/>
          <w:highlight w:val="none"/>
          <w:lang w:val="en-US" w:eastAsia="zh-CN"/>
        </w:rPr>
        <w:t>10</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座，其中</w:t>
      </w:r>
      <w:r>
        <w:rPr>
          <w:rFonts w:hint="default" w:ascii="Times New Roman" w:hAnsi="Times New Roman" w:eastAsia="宋体" w:cs="Times New Roman"/>
          <w:color w:val="auto"/>
          <w:spacing w:val="0"/>
          <w:w w:val="100"/>
          <w:kern w:val="0"/>
          <w:position w:val="0"/>
          <w:sz w:val="24"/>
          <w:szCs w:val="24"/>
          <w:highlight w:val="none"/>
          <w:lang w:val="en-US" w:eastAsia="zh-CN" w:bidi="ar-SA"/>
        </w:rPr>
        <w:t>奶牛舍4栋、青年牛舍2栋、产牛舍1栋、犊牛舍2栋、怀犊牛舍3栋</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w:t>
      </w:r>
      <w:r>
        <w:rPr>
          <w:rFonts w:hint="default" w:ascii="Times New Roman" w:hAnsi="Times New Roman" w:eastAsia="宋体" w:cs="Times New Roman"/>
          <w:snapToGrid w:val="0"/>
          <w:color w:val="auto"/>
          <w:spacing w:val="0"/>
          <w:w w:val="100"/>
          <w:kern w:val="0"/>
          <w:position w:val="0"/>
          <w:sz w:val="24"/>
          <w:szCs w:val="32"/>
          <w:highlight w:val="none"/>
          <w:lang w:eastAsia="zh-CN"/>
        </w:rPr>
        <w:t>并于</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场区建设</w:t>
      </w:r>
      <w:r>
        <w:rPr>
          <w:rFonts w:hint="default" w:ascii="Times New Roman" w:hAnsi="Times New Roman" w:eastAsia="宋体" w:cs="Times New Roman"/>
          <w:snapToGrid w:val="0"/>
          <w:color w:val="auto"/>
          <w:spacing w:val="0"/>
          <w:w w:val="100"/>
          <w:kern w:val="0"/>
          <w:position w:val="0"/>
          <w:sz w:val="24"/>
          <w:szCs w:val="32"/>
          <w:highlight w:val="none"/>
          <w:lang w:eastAsia="zh-CN"/>
        </w:rPr>
        <w:t>挤奶</w:t>
      </w:r>
      <w:r>
        <w:rPr>
          <w:rFonts w:hint="default" w:ascii="Times New Roman" w:hAnsi="Times New Roman" w:cs="Times New Roman"/>
          <w:snapToGrid w:val="0"/>
          <w:color w:val="auto"/>
          <w:spacing w:val="0"/>
          <w:w w:val="100"/>
          <w:kern w:val="0"/>
          <w:position w:val="0"/>
          <w:sz w:val="24"/>
          <w:szCs w:val="32"/>
          <w:highlight w:val="none"/>
          <w:lang w:eastAsia="zh-CN"/>
        </w:rPr>
        <w:t>厅</w:t>
      </w:r>
      <w:r>
        <w:rPr>
          <w:rFonts w:hint="eastAsia" w:ascii="Times New Roman" w:hAnsi="Times New Roman" w:cs="Times New Roman"/>
          <w:snapToGrid w:val="0"/>
          <w:color w:val="auto"/>
          <w:spacing w:val="0"/>
          <w:w w:val="100"/>
          <w:kern w:val="0"/>
          <w:position w:val="0"/>
          <w:sz w:val="24"/>
          <w:szCs w:val="32"/>
          <w:highlight w:val="none"/>
          <w:lang w:val="en-US" w:eastAsia="zh-CN"/>
        </w:rPr>
        <w:t>3</w:t>
      </w:r>
      <w:r>
        <w:rPr>
          <w:rFonts w:hint="default" w:ascii="Times New Roman" w:hAnsi="Times New Roman" w:eastAsia="宋体" w:cs="Times New Roman"/>
          <w:snapToGrid w:val="0"/>
          <w:color w:val="auto"/>
          <w:spacing w:val="0"/>
          <w:w w:val="100"/>
          <w:kern w:val="0"/>
          <w:position w:val="0"/>
          <w:sz w:val="24"/>
          <w:szCs w:val="32"/>
          <w:highlight w:val="none"/>
          <w:lang w:eastAsia="zh-CN"/>
        </w:rPr>
        <w:t>座。牛场</w:t>
      </w:r>
      <w:r>
        <w:rPr>
          <w:rFonts w:hint="default" w:ascii="Times New Roman" w:hAnsi="Times New Roman" w:eastAsia="宋体" w:cs="Times New Roman"/>
          <w:snapToGrid w:val="0"/>
          <w:color w:val="auto"/>
          <w:spacing w:val="0"/>
          <w:w w:val="100"/>
          <w:kern w:val="0"/>
          <w:position w:val="0"/>
          <w:sz w:val="24"/>
          <w:szCs w:val="32"/>
          <w:highlight w:val="none"/>
        </w:rPr>
        <w:t>整体布局设净道（即牛群周转、饲养员行走、场内运送饲料的专用道路）与污道（即粪便等废弃物、淘汰牛出场的道路），污道在下风向，雨水和污水分开。</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(2)辅助生产区：建设有</w:t>
      </w:r>
      <w:r>
        <w:rPr>
          <w:rFonts w:hint="default" w:ascii="Times New Roman" w:hAnsi="Times New Roman" w:eastAsia="宋体" w:cs="Times New Roman"/>
          <w:snapToGrid w:val="0"/>
          <w:color w:val="auto"/>
          <w:spacing w:val="0"/>
          <w:w w:val="100"/>
          <w:kern w:val="0"/>
          <w:position w:val="0"/>
          <w:sz w:val="24"/>
          <w:szCs w:val="32"/>
          <w:highlight w:val="none"/>
          <w:lang w:eastAsia="zh-CN"/>
        </w:rPr>
        <w:t>草料棚</w:t>
      </w:r>
      <w:r>
        <w:rPr>
          <w:rFonts w:hint="default" w:ascii="Times New Roman" w:hAnsi="Times New Roman" w:eastAsia="宋体" w:cs="Times New Roman"/>
          <w:snapToGrid w:val="0"/>
          <w:color w:val="auto"/>
          <w:spacing w:val="0"/>
          <w:w w:val="100"/>
          <w:kern w:val="0"/>
          <w:position w:val="0"/>
          <w:sz w:val="24"/>
          <w:szCs w:val="32"/>
          <w:highlight w:val="none"/>
        </w:rPr>
        <w:t>、</w:t>
      </w:r>
      <w:r>
        <w:rPr>
          <w:rFonts w:hint="default" w:ascii="Times New Roman" w:hAnsi="Times New Roman" w:eastAsia="宋体" w:cs="Times New Roman"/>
          <w:snapToGrid w:val="0"/>
          <w:color w:val="auto"/>
          <w:spacing w:val="0"/>
          <w:w w:val="100"/>
          <w:kern w:val="0"/>
          <w:position w:val="0"/>
          <w:sz w:val="24"/>
          <w:szCs w:val="32"/>
          <w:highlight w:val="none"/>
          <w:lang w:eastAsia="zh-CN"/>
        </w:rPr>
        <w:t>饲料库、青贮池，</w:t>
      </w:r>
      <w:r>
        <w:rPr>
          <w:rFonts w:hint="default" w:ascii="Times New Roman" w:hAnsi="Times New Roman" w:eastAsia="宋体" w:cs="Times New Roman"/>
          <w:snapToGrid w:val="0"/>
          <w:color w:val="auto"/>
          <w:spacing w:val="0"/>
          <w:w w:val="100"/>
          <w:kern w:val="0"/>
          <w:position w:val="0"/>
          <w:sz w:val="24"/>
          <w:szCs w:val="32"/>
          <w:highlight w:val="none"/>
        </w:rPr>
        <w:t>整体位于场区</w:t>
      </w:r>
      <w:r>
        <w:rPr>
          <w:rFonts w:hint="default" w:ascii="Times New Roman" w:hAnsi="Times New Roman" w:cs="Times New Roman"/>
          <w:snapToGrid w:val="0"/>
          <w:color w:val="auto"/>
          <w:spacing w:val="0"/>
          <w:w w:val="100"/>
          <w:kern w:val="0"/>
          <w:position w:val="0"/>
          <w:sz w:val="24"/>
          <w:szCs w:val="32"/>
          <w:highlight w:val="none"/>
          <w:lang w:eastAsia="zh-CN"/>
        </w:rPr>
        <w:t>西</w:t>
      </w:r>
      <w:r>
        <w:rPr>
          <w:rFonts w:hint="default" w:ascii="Times New Roman" w:hAnsi="Times New Roman" w:eastAsia="宋体" w:cs="Times New Roman"/>
          <w:snapToGrid w:val="0"/>
          <w:color w:val="auto"/>
          <w:spacing w:val="0"/>
          <w:w w:val="100"/>
          <w:kern w:val="0"/>
          <w:position w:val="0"/>
          <w:sz w:val="24"/>
          <w:szCs w:val="32"/>
          <w:highlight w:val="none"/>
        </w:rPr>
        <w:t>侧。</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(3)粪污处理区：</w:t>
      </w:r>
      <w:r>
        <w:rPr>
          <w:rFonts w:hint="default" w:ascii="Times New Roman" w:hAnsi="Times New Roman" w:eastAsia="宋体" w:cs="Times New Roman"/>
          <w:snapToGrid w:val="0"/>
          <w:color w:val="auto"/>
          <w:spacing w:val="0"/>
          <w:w w:val="100"/>
          <w:kern w:val="0"/>
          <w:position w:val="0"/>
          <w:sz w:val="24"/>
          <w:szCs w:val="32"/>
          <w:highlight w:val="none"/>
          <w:lang w:eastAsia="zh-CN"/>
        </w:rPr>
        <w:t>场区</w:t>
      </w:r>
      <w:r>
        <w:rPr>
          <w:rFonts w:hint="default" w:ascii="Times New Roman" w:hAnsi="Times New Roman" w:cs="Times New Roman"/>
          <w:snapToGrid w:val="0"/>
          <w:color w:val="auto"/>
          <w:spacing w:val="0"/>
          <w:w w:val="100"/>
          <w:kern w:val="0"/>
          <w:position w:val="0"/>
          <w:sz w:val="24"/>
          <w:szCs w:val="32"/>
          <w:highlight w:val="none"/>
          <w:lang w:eastAsia="zh-CN"/>
        </w:rPr>
        <w:t>东</w:t>
      </w:r>
      <w:r>
        <w:rPr>
          <w:rFonts w:hint="default" w:ascii="Times New Roman" w:hAnsi="Times New Roman" w:eastAsia="宋体" w:cs="Times New Roman"/>
          <w:snapToGrid w:val="0"/>
          <w:color w:val="auto"/>
          <w:spacing w:val="0"/>
          <w:w w:val="100"/>
          <w:kern w:val="0"/>
          <w:position w:val="0"/>
          <w:sz w:val="24"/>
          <w:szCs w:val="32"/>
          <w:highlight w:val="none"/>
          <w:lang w:eastAsia="zh-CN"/>
        </w:rPr>
        <w:t>南角设置</w:t>
      </w:r>
      <w:r>
        <w:rPr>
          <w:rFonts w:hint="default" w:ascii="Times New Roman" w:hAnsi="Times New Roman" w:cs="Times New Roman"/>
          <w:snapToGrid w:val="0"/>
          <w:color w:val="auto"/>
          <w:spacing w:val="0"/>
          <w:w w:val="100"/>
          <w:kern w:val="0"/>
          <w:position w:val="0"/>
          <w:sz w:val="24"/>
          <w:szCs w:val="32"/>
          <w:highlight w:val="none"/>
          <w:lang w:val="en-US" w:eastAsia="zh-CN"/>
        </w:rPr>
        <w:t>1座污水处理站、1座氧化塘和1</w:t>
      </w:r>
      <w:r>
        <w:rPr>
          <w:rFonts w:hint="default" w:ascii="Times New Roman" w:hAnsi="Times New Roman" w:eastAsia="宋体" w:cs="Times New Roman"/>
          <w:snapToGrid w:val="0"/>
          <w:color w:val="auto"/>
          <w:spacing w:val="0"/>
          <w:w w:val="100"/>
          <w:kern w:val="0"/>
          <w:position w:val="0"/>
          <w:sz w:val="24"/>
          <w:szCs w:val="32"/>
          <w:highlight w:val="none"/>
          <w:lang w:eastAsia="zh-CN"/>
        </w:rPr>
        <w:t>座</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，处于项目生活管理区的</w:t>
      </w:r>
      <w:r>
        <w:rPr>
          <w:rFonts w:hint="default" w:ascii="Times New Roman" w:hAnsi="Times New Roman" w:eastAsia="宋体" w:cs="Times New Roman"/>
          <w:snapToGrid w:val="0"/>
          <w:color w:val="auto"/>
          <w:spacing w:val="0"/>
          <w:w w:val="100"/>
          <w:kern w:val="0"/>
          <w:position w:val="0"/>
          <w:sz w:val="24"/>
          <w:szCs w:val="32"/>
          <w:highlight w:val="none"/>
          <w:lang w:eastAsia="zh-CN"/>
        </w:rPr>
        <w:t>侧</w:t>
      </w:r>
      <w:r>
        <w:rPr>
          <w:rFonts w:hint="default" w:ascii="Times New Roman" w:hAnsi="Times New Roman" w:eastAsia="宋体" w:cs="Times New Roman"/>
          <w:snapToGrid w:val="0"/>
          <w:color w:val="auto"/>
          <w:spacing w:val="0"/>
          <w:w w:val="100"/>
          <w:kern w:val="0"/>
          <w:position w:val="0"/>
          <w:sz w:val="24"/>
          <w:szCs w:val="32"/>
          <w:highlight w:val="none"/>
        </w:rPr>
        <w:t>风向</w:t>
      </w:r>
      <w:r>
        <w:rPr>
          <w:rFonts w:hint="default" w:ascii="Times New Roman" w:hAnsi="Times New Roman" w:eastAsia="宋体" w:cs="Times New Roman"/>
          <w:snapToGrid w:val="0"/>
          <w:color w:val="auto"/>
          <w:spacing w:val="0"/>
          <w:w w:val="100"/>
          <w:kern w:val="0"/>
          <w:position w:val="0"/>
          <w:sz w:val="24"/>
          <w:szCs w:val="32"/>
          <w:highlight w:val="none"/>
          <w:lang w:eastAsia="zh-CN"/>
        </w:rPr>
        <w:t>，养殖区的下风向</w:t>
      </w:r>
      <w:r>
        <w:rPr>
          <w:rFonts w:hint="default" w:ascii="Times New Roman" w:hAnsi="Times New Roman" w:eastAsia="宋体" w:cs="Times New Roman"/>
          <w:snapToGrid w:val="0"/>
          <w:color w:val="auto"/>
          <w:spacing w:val="0"/>
          <w:w w:val="100"/>
          <w:kern w:val="0"/>
          <w:position w:val="0"/>
          <w:sz w:val="24"/>
          <w:szCs w:val="32"/>
          <w:highlight w:val="none"/>
        </w:rPr>
        <w:t>(项目所在区域主导风向为</w:t>
      </w:r>
      <w:r>
        <w:rPr>
          <w:rFonts w:hint="eastAsia" w:ascii="Times New Roman" w:hAnsi="Times New Roman" w:cs="Times New Roman"/>
          <w:snapToGrid w:val="0"/>
          <w:color w:val="auto"/>
          <w:spacing w:val="0"/>
          <w:w w:val="100"/>
          <w:kern w:val="0"/>
          <w:position w:val="0"/>
          <w:sz w:val="24"/>
          <w:szCs w:val="32"/>
          <w:highlight w:val="none"/>
          <w:lang w:val="en-US" w:eastAsia="zh-CN"/>
        </w:rPr>
        <w:t>S</w:t>
      </w:r>
      <w:r>
        <w:rPr>
          <w:rFonts w:hint="default" w:ascii="Times New Roman" w:hAnsi="Times New Roman" w:eastAsia="宋体" w:cs="Times New Roman"/>
          <w:snapToGrid w:val="0"/>
          <w:color w:val="auto"/>
          <w:spacing w:val="0"/>
          <w:w w:val="100"/>
          <w:kern w:val="0"/>
          <w:position w:val="0"/>
          <w:sz w:val="24"/>
          <w:szCs w:val="32"/>
          <w:highlight w:val="none"/>
        </w:rPr>
        <w:t>)，有效防止了恶臭气体对于项目生活管理区的影响。项目使用</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对粪便进行临时贮存</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color w:val="auto"/>
          <w:spacing w:val="0"/>
          <w:w w:val="100"/>
          <w:kern w:val="0"/>
          <w:position w:val="0"/>
          <w:sz w:val="24"/>
          <w:highlight w:val="none"/>
          <w:lang w:eastAsia="zh-CN"/>
        </w:rPr>
        <w:t>项目</w:t>
      </w:r>
      <w:r>
        <w:rPr>
          <w:rFonts w:hint="default" w:ascii="Times New Roman" w:hAnsi="Times New Roman" w:eastAsia="宋体" w:cs="Times New Roman"/>
          <w:color w:val="auto"/>
          <w:spacing w:val="0"/>
          <w:w w:val="100"/>
          <w:kern w:val="0"/>
          <w:position w:val="0"/>
          <w:sz w:val="24"/>
          <w:highlight w:val="none"/>
          <w:lang w:val="en-US" w:eastAsia="zh-CN"/>
        </w:rPr>
        <w:t>5km范围内无地表水体</w:t>
      </w:r>
      <w:r>
        <w:rPr>
          <w:rFonts w:hint="default" w:ascii="Times New Roman" w:hAnsi="Times New Roman" w:eastAsia="宋体" w:cs="Times New Roman"/>
          <w:snapToGrid w:val="0"/>
          <w:color w:val="auto"/>
          <w:spacing w:val="0"/>
          <w:w w:val="100"/>
          <w:kern w:val="0"/>
          <w:position w:val="0"/>
          <w:sz w:val="24"/>
          <w:szCs w:val="32"/>
          <w:highlight w:val="none"/>
        </w:rPr>
        <w:t>，因此项目</w:t>
      </w:r>
      <w:r>
        <w:rPr>
          <w:rFonts w:hint="default" w:ascii="Times New Roman" w:hAnsi="Times New Roman" w:cs="Times New Roman"/>
          <w:snapToGrid w:val="0"/>
          <w:color w:val="auto"/>
          <w:spacing w:val="0"/>
          <w:w w:val="100"/>
          <w:kern w:val="0"/>
          <w:position w:val="0"/>
          <w:sz w:val="24"/>
          <w:szCs w:val="32"/>
          <w:highlight w:val="none"/>
          <w:lang w:eastAsia="zh-CN"/>
        </w:rPr>
        <w:t>堆粪棚</w:t>
      </w:r>
      <w:r>
        <w:rPr>
          <w:rFonts w:hint="default" w:ascii="Times New Roman" w:hAnsi="Times New Roman" w:eastAsia="宋体" w:cs="Times New Roman"/>
          <w:snapToGrid w:val="0"/>
          <w:color w:val="auto"/>
          <w:spacing w:val="0"/>
          <w:w w:val="100"/>
          <w:kern w:val="0"/>
          <w:position w:val="0"/>
          <w:sz w:val="24"/>
          <w:szCs w:val="32"/>
          <w:highlight w:val="none"/>
        </w:rPr>
        <w:t>能够满足《畜禽养殖业污染防治技术规范》（HJ/T81-2001）中：</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snapToGrid w:val="0"/>
          <w:color w:val="auto"/>
          <w:spacing w:val="0"/>
          <w:w w:val="100"/>
          <w:kern w:val="0"/>
          <w:position w:val="0"/>
          <w:sz w:val="24"/>
          <w:szCs w:val="32"/>
          <w:highlight w:val="none"/>
        </w:rPr>
        <w:t>5畜禽粪便的贮存/</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5.2</w:t>
      </w:r>
      <w:r>
        <w:rPr>
          <w:rFonts w:hint="default" w:ascii="Times New Roman" w:hAnsi="Times New Roman" w:eastAsia="宋体" w:cs="Times New Roman"/>
          <w:snapToGrid w:val="0"/>
          <w:color w:val="auto"/>
          <w:spacing w:val="0"/>
          <w:w w:val="100"/>
          <w:kern w:val="0"/>
          <w:position w:val="0"/>
          <w:sz w:val="24"/>
          <w:szCs w:val="32"/>
          <w:highlight w:val="none"/>
        </w:rPr>
        <w:t>：贮存设施的位置必须远离各类功能地表水体（距离不得小于</w:t>
      </w:r>
      <w:r>
        <w:rPr>
          <w:rFonts w:hint="default" w:ascii="Times New Roman" w:hAnsi="Times New Roman" w:eastAsia="宋体" w:cs="Times New Roman"/>
          <w:snapToGrid w:val="0"/>
          <w:color w:val="auto"/>
          <w:spacing w:val="0"/>
          <w:w w:val="100"/>
          <w:kern w:val="0"/>
          <w:position w:val="0"/>
          <w:sz w:val="24"/>
          <w:szCs w:val="32"/>
          <w:highlight w:val="none"/>
          <w:lang w:val="en-US" w:eastAsia="zh-CN"/>
        </w:rPr>
        <w:t>400</w:t>
      </w:r>
      <w:r>
        <w:rPr>
          <w:rFonts w:hint="default" w:ascii="Times New Roman" w:hAnsi="Times New Roman" w:eastAsia="宋体" w:cs="Times New Roman"/>
          <w:snapToGrid w:val="0"/>
          <w:color w:val="auto"/>
          <w:spacing w:val="0"/>
          <w:w w:val="100"/>
          <w:kern w:val="0"/>
          <w:position w:val="0"/>
          <w:sz w:val="24"/>
          <w:szCs w:val="32"/>
          <w:highlight w:val="none"/>
        </w:rPr>
        <w:t>m），并应设在养殖场生产及生活管理区的常年主导风向的下风向或侧风向处</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r>
        <w:rPr>
          <w:rFonts w:hint="default" w:ascii="Times New Roman" w:hAnsi="Times New Roman" w:eastAsia="宋体" w:cs="Times New Roman"/>
          <w:snapToGrid w:val="0"/>
          <w:color w:val="auto"/>
          <w:spacing w:val="0"/>
          <w:w w:val="100"/>
          <w:kern w:val="0"/>
          <w:position w:val="0"/>
          <w:sz w:val="24"/>
          <w:szCs w:val="32"/>
          <w:highlight w:val="none"/>
        </w:rPr>
        <w:t>的规定。</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lang w:eastAsia="zh-CN"/>
        </w:rPr>
      </w:pPr>
      <w:r>
        <w:rPr>
          <w:rFonts w:hint="default" w:ascii="Times New Roman" w:hAnsi="Times New Roman" w:eastAsia="宋体" w:cs="Times New Roman"/>
          <w:snapToGrid w:val="0"/>
          <w:color w:val="auto"/>
          <w:spacing w:val="0"/>
          <w:w w:val="100"/>
          <w:kern w:val="0"/>
          <w:position w:val="0"/>
          <w:sz w:val="24"/>
          <w:szCs w:val="32"/>
          <w:highlight w:val="none"/>
        </w:rPr>
        <w:t>(4)生活管理区：建设有办公</w:t>
      </w:r>
      <w:r>
        <w:rPr>
          <w:rFonts w:hint="default" w:ascii="Times New Roman" w:hAnsi="Times New Roman" w:eastAsia="宋体" w:cs="Times New Roman"/>
          <w:snapToGrid w:val="0"/>
          <w:color w:val="auto"/>
          <w:spacing w:val="0"/>
          <w:w w:val="100"/>
          <w:kern w:val="0"/>
          <w:position w:val="0"/>
          <w:sz w:val="24"/>
          <w:szCs w:val="32"/>
          <w:highlight w:val="none"/>
          <w:lang w:eastAsia="zh-CN"/>
        </w:rPr>
        <w:t>楼</w:t>
      </w:r>
      <w:r>
        <w:rPr>
          <w:rFonts w:hint="default" w:ascii="Times New Roman" w:hAnsi="Times New Roman" w:eastAsia="宋体" w:cs="Times New Roman"/>
          <w:snapToGrid w:val="0"/>
          <w:color w:val="auto"/>
          <w:spacing w:val="0"/>
          <w:w w:val="100"/>
          <w:kern w:val="0"/>
          <w:position w:val="0"/>
          <w:sz w:val="24"/>
          <w:szCs w:val="32"/>
          <w:highlight w:val="none"/>
        </w:rPr>
        <w:t>及</w:t>
      </w:r>
      <w:r>
        <w:rPr>
          <w:rFonts w:hint="default" w:ascii="Times New Roman" w:hAnsi="Times New Roman" w:eastAsia="宋体" w:cs="Times New Roman"/>
          <w:snapToGrid w:val="0"/>
          <w:color w:val="auto"/>
          <w:spacing w:val="0"/>
          <w:w w:val="100"/>
          <w:kern w:val="0"/>
          <w:position w:val="0"/>
          <w:sz w:val="24"/>
          <w:szCs w:val="32"/>
          <w:highlight w:val="none"/>
          <w:lang w:eastAsia="zh-CN"/>
        </w:rPr>
        <w:t>辅助用房</w:t>
      </w:r>
      <w:r>
        <w:rPr>
          <w:rFonts w:hint="default" w:ascii="Times New Roman" w:hAnsi="Times New Roman" w:eastAsia="宋体" w:cs="Times New Roman"/>
          <w:snapToGrid w:val="0"/>
          <w:color w:val="auto"/>
          <w:spacing w:val="0"/>
          <w:w w:val="100"/>
          <w:kern w:val="0"/>
          <w:position w:val="0"/>
          <w:sz w:val="24"/>
          <w:szCs w:val="32"/>
          <w:highlight w:val="none"/>
        </w:rPr>
        <w:t>，整体位于场区</w:t>
      </w:r>
      <w:r>
        <w:rPr>
          <w:rFonts w:hint="default" w:ascii="Times New Roman" w:hAnsi="Times New Roman" w:eastAsia="宋体" w:cs="Times New Roman"/>
          <w:snapToGrid w:val="0"/>
          <w:color w:val="auto"/>
          <w:spacing w:val="0"/>
          <w:w w:val="100"/>
          <w:kern w:val="0"/>
          <w:position w:val="0"/>
          <w:sz w:val="24"/>
          <w:szCs w:val="32"/>
          <w:highlight w:val="none"/>
          <w:lang w:eastAsia="zh-CN"/>
        </w:rPr>
        <w:t>北</w:t>
      </w:r>
      <w:r>
        <w:rPr>
          <w:rFonts w:hint="default" w:ascii="Times New Roman" w:hAnsi="Times New Roman" w:eastAsia="宋体" w:cs="Times New Roman"/>
          <w:snapToGrid w:val="0"/>
          <w:color w:val="auto"/>
          <w:spacing w:val="0"/>
          <w:w w:val="100"/>
          <w:kern w:val="0"/>
          <w:position w:val="0"/>
          <w:sz w:val="24"/>
          <w:szCs w:val="32"/>
          <w:highlight w:val="none"/>
        </w:rPr>
        <w:t>侧，生活区与养殖区之间由绿化带相隔，有效地降低了养殖废气对于项目生活管理区的影响</w:t>
      </w:r>
      <w:r>
        <w:rPr>
          <w:rFonts w:hint="default" w:ascii="Times New Roman" w:hAnsi="Times New Roman" w:eastAsia="宋体" w:cs="Times New Roman"/>
          <w:snapToGrid w:val="0"/>
          <w:color w:val="auto"/>
          <w:spacing w:val="0"/>
          <w:w w:val="100"/>
          <w:kern w:val="0"/>
          <w:position w:val="0"/>
          <w:sz w:val="24"/>
          <w:szCs w:val="32"/>
          <w:highlight w:val="none"/>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0"/>
          <w:w w:val="100"/>
          <w:kern w:val="0"/>
          <w:position w:val="0"/>
          <w:sz w:val="24"/>
          <w:szCs w:val="32"/>
          <w:highlight w:val="none"/>
        </w:rPr>
      </w:pPr>
      <w:r>
        <w:rPr>
          <w:rFonts w:hint="default" w:ascii="Times New Roman" w:hAnsi="Times New Roman" w:eastAsia="宋体" w:cs="Times New Roman"/>
          <w:snapToGrid w:val="0"/>
          <w:color w:val="auto"/>
          <w:spacing w:val="0"/>
          <w:w w:val="100"/>
          <w:kern w:val="0"/>
          <w:position w:val="0"/>
          <w:sz w:val="24"/>
          <w:szCs w:val="32"/>
          <w:highlight w:val="none"/>
        </w:rPr>
        <w:t>本项目总平面布置根据本项目的工艺流程，充分考虑自然地形地貌条件，满足生产和方便管理及消防等规范、标准要求。合理布置场区的建筑物、运输线路，使场内的物料运输路径短捷，提高了生产效率，降低了运输成本。从环保角度分析，本项目平面布局基本合理。</w:t>
      </w:r>
    </w:p>
    <w:p>
      <w:pPr>
        <w:pStyle w:val="43"/>
        <w:keepNext/>
        <w:keepLines/>
        <w:pageBreakBefore w:val="0"/>
        <w:widowControl w:val="0"/>
        <w:kinsoku/>
        <w:wordWrap/>
        <w:overflowPunct/>
        <w:topLinePunct w:val="0"/>
        <w:autoSpaceDE/>
        <w:autoSpaceDN/>
        <w:bidi w:val="0"/>
        <w:adjustRightInd w:val="0"/>
        <w:snapToGrid w:val="0"/>
        <w:spacing w:before="156" w:beforeLines="50" w:after="95" w:afterLines="3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91" w:name="_Toc25260"/>
      <w:bookmarkStart w:id="1392" w:name="_Toc23370"/>
      <w:r>
        <w:rPr>
          <w:rFonts w:hint="default" w:ascii="Times New Roman" w:hAnsi="Times New Roman" w:eastAsia="宋体" w:cs="Times New Roman"/>
          <w:snapToGrid w:val="0"/>
          <w:color w:val="auto"/>
          <w:spacing w:val="0"/>
          <w:w w:val="100"/>
          <w:kern w:val="0"/>
          <w:position w:val="0"/>
          <w:highlight w:val="none"/>
          <w:lang w:val="en-US" w:eastAsia="zh-CN"/>
        </w:rPr>
        <w:t>10.5环境质量现状评价结论</w:t>
      </w:r>
      <w:bookmarkEnd w:id="1386"/>
      <w:bookmarkEnd w:id="1387"/>
      <w:bookmarkEnd w:id="1388"/>
      <w:bookmarkEnd w:id="1389"/>
      <w:bookmarkEnd w:id="1390"/>
      <w:bookmarkEnd w:id="1391"/>
      <w:bookmarkEnd w:id="139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fldChar w:fldCharType="begin"/>
      </w:r>
      <w:r>
        <w:rPr>
          <w:rFonts w:hint="default" w:ascii="Times New Roman" w:hAnsi="Times New Roman" w:eastAsia="宋体" w:cs="Times New Roman"/>
          <w:color w:val="auto"/>
          <w:spacing w:val="0"/>
          <w:w w:val="100"/>
          <w:kern w:val="0"/>
          <w:position w:val="0"/>
          <w:sz w:val="24"/>
          <w:szCs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szCs w:val="24"/>
          <w:highlight w:val="none"/>
        </w:rPr>
        <w:fldChar w:fldCharType="separate"/>
      </w:r>
      <w:r>
        <w:rPr>
          <w:rFonts w:hint="default" w:ascii="Times New Roman" w:hAnsi="Times New Roman" w:eastAsia="宋体" w:cs="Times New Roman"/>
          <w:color w:val="auto"/>
          <w:spacing w:val="0"/>
          <w:w w:val="100"/>
          <w:kern w:val="0"/>
          <w:position w:val="0"/>
          <w:sz w:val="24"/>
          <w:szCs w:val="24"/>
          <w:highlight w:val="none"/>
        </w:rPr>
        <w:t>⑴</w:t>
      </w:r>
      <w:r>
        <w:rPr>
          <w:rFonts w:hint="default" w:ascii="Times New Roman" w:hAnsi="Times New Roman" w:eastAsia="宋体" w:cs="Times New Roman"/>
          <w:color w:val="auto"/>
          <w:spacing w:val="0"/>
          <w:w w:val="100"/>
          <w:kern w:val="0"/>
          <w:position w:val="0"/>
          <w:sz w:val="24"/>
          <w:szCs w:val="24"/>
          <w:highlight w:val="none"/>
        </w:rPr>
        <w:fldChar w:fldCharType="end"/>
      </w:r>
      <w:r>
        <w:rPr>
          <w:rFonts w:hint="default" w:ascii="Times New Roman" w:hAnsi="Times New Roman" w:eastAsia="宋体" w:cs="Times New Roman"/>
          <w:color w:val="auto"/>
          <w:spacing w:val="0"/>
          <w:w w:val="100"/>
          <w:kern w:val="0"/>
          <w:position w:val="0"/>
          <w:sz w:val="24"/>
          <w:szCs w:val="24"/>
          <w:highlight w:val="none"/>
        </w:rPr>
        <w:t>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eastAsia="zh-CN"/>
        </w:rPr>
      </w:pPr>
      <w:r>
        <w:rPr>
          <w:rFonts w:hint="default" w:ascii="Times New Roman" w:hAnsi="Times New Roman" w:eastAsia="宋体" w:cs="Times New Roman"/>
          <w:color w:val="auto"/>
          <w:spacing w:val="0"/>
          <w:w w:val="100"/>
          <w:kern w:val="0"/>
          <w:position w:val="0"/>
          <w:sz w:val="24"/>
          <w:szCs w:val="24"/>
          <w:lang w:val="en-US" w:eastAsia="zh-CN" w:bidi="ar"/>
        </w:rPr>
        <w:t>本项目位于吴忠市</w:t>
      </w:r>
      <w:r>
        <w:rPr>
          <w:rFonts w:hint="default" w:ascii="Times New Roman" w:hAnsi="Times New Roman" w:eastAsia="宋体" w:cs="Times New Roman"/>
          <w:color w:val="auto"/>
          <w:spacing w:val="0"/>
          <w:w w:val="100"/>
          <w:kern w:val="0"/>
          <w:position w:val="0"/>
          <w:sz w:val="24"/>
          <w:szCs w:val="24"/>
          <w:lang w:eastAsia="zh-CN"/>
        </w:rPr>
        <w:t>同心县下马关镇上垣村</w:t>
      </w:r>
      <w:r>
        <w:rPr>
          <w:rFonts w:hint="default" w:ascii="Times New Roman" w:hAnsi="Times New Roman" w:eastAsia="宋体" w:cs="Times New Roman"/>
          <w:color w:val="auto"/>
          <w:spacing w:val="0"/>
          <w:w w:val="100"/>
          <w:kern w:val="0"/>
          <w:position w:val="0"/>
          <w:sz w:val="24"/>
          <w:szCs w:val="24"/>
        </w:rPr>
        <w:t>，根据《2020宁夏生态环境质量状况》公开的区域环境空气质量数据可以看出，</w:t>
      </w:r>
      <w:r>
        <w:rPr>
          <w:rFonts w:hint="default" w:ascii="Times New Roman" w:hAnsi="Times New Roman" w:eastAsia="宋体" w:cs="Times New Roman"/>
          <w:color w:val="auto"/>
          <w:spacing w:val="0"/>
          <w:w w:val="100"/>
          <w:kern w:val="0"/>
          <w:position w:val="0"/>
          <w:sz w:val="24"/>
          <w:szCs w:val="24"/>
          <w:lang w:eastAsia="zh-CN"/>
        </w:rPr>
        <w:t>吴忠市</w:t>
      </w:r>
      <w:r>
        <w:rPr>
          <w:rFonts w:hint="default" w:ascii="Times New Roman" w:hAnsi="Times New Roman" w:eastAsia="宋体" w:cs="Times New Roman"/>
          <w:color w:val="auto"/>
          <w:spacing w:val="0"/>
          <w:w w:val="100"/>
          <w:kern w:val="0"/>
          <w:position w:val="0"/>
          <w:sz w:val="24"/>
          <w:szCs w:val="24"/>
          <w:lang w:val="en-US" w:eastAsia="zh-CN"/>
        </w:rPr>
        <w:t>2020年</w:t>
      </w:r>
      <w:r>
        <w:rPr>
          <w:rFonts w:hint="default" w:ascii="Times New Roman" w:hAnsi="Times New Roman" w:eastAsia="宋体" w:cs="Times New Roman"/>
          <w:color w:val="auto"/>
          <w:spacing w:val="0"/>
          <w:w w:val="100"/>
          <w:kern w:val="0"/>
          <w:position w:val="0"/>
          <w:sz w:val="24"/>
          <w:szCs w:val="24"/>
        </w:rPr>
        <w:t>SO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、NO</w:t>
      </w:r>
      <w:r>
        <w:rPr>
          <w:rFonts w:hint="default" w:ascii="Times New Roman" w:hAnsi="Times New Roman" w:eastAsia="宋体" w:cs="Times New Roman"/>
          <w:color w:val="auto"/>
          <w:spacing w:val="0"/>
          <w:w w:val="100"/>
          <w:kern w:val="0"/>
          <w:position w:val="0"/>
          <w:sz w:val="24"/>
          <w:szCs w:val="24"/>
          <w:vertAlign w:val="subscript"/>
        </w:rPr>
        <w:t>2</w:t>
      </w:r>
      <w:r>
        <w:rPr>
          <w:rFonts w:hint="default" w:ascii="Times New Roman" w:hAnsi="Times New Roman" w:eastAsia="宋体" w:cs="Times New Roman"/>
          <w:color w:val="auto"/>
          <w:spacing w:val="0"/>
          <w:w w:val="100"/>
          <w:kern w:val="0"/>
          <w:position w:val="0"/>
          <w:sz w:val="24"/>
          <w:szCs w:val="24"/>
        </w:rPr>
        <w:t>、年均值、O</w:t>
      </w:r>
      <w:r>
        <w:rPr>
          <w:rFonts w:hint="default" w:ascii="Times New Roman" w:hAnsi="Times New Roman" w:eastAsia="宋体" w:cs="Times New Roman"/>
          <w:color w:val="auto"/>
          <w:spacing w:val="0"/>
          <w:w w:val="100"/>
          <w:kern w:val="0"/>
          <w:position w:val="0"/>
          <w:sz w:val="24"/>
          <w:szCs w:val="24"/>
          <w:vertAlign w:val="subscript"/>
        </w:rPr>
        <w:t>3</w:t>
      </w:r>
      <w:r>
        <w:rPr>
          <w:rFonts w:hint="default" w:ascii="Times New Roman" w:hAnsi="Times New Roman" w:eastAsia="宋体" w:cs="Times New Roman"/>
          <w:color w:val="auto"/>
          <w:spacing w:val="0"/>
          <w:w w:val="100"/>
          <w:kern w:val="0"/>
          <w:position w:val="0"/>
          <w:sz w:val="24"/>
          <w:szCs w:val="24"/>
        </w:rPr>
        <w:t>日最大8h滑动平均值的第90百分位数、CO24h平均第95百分位数均满足《环境空气质量标准》（GB3095-2012及2018年修改单）中二级标准要求，PM</w:t>
      </w:r>
      <w:r>
        <w:rPr>
          <w:rFonts w:hint="default" w:ascii="Times New Roman" w:hAnsi="Times New Roman" w:eastAsia="宋体" w:cs="Times New Roman"/>
          <w:color w:val="auto"/>
          <w:spacing w:val="0"/>
          <w:w w:val="100"/>
          <w:kern w:val="0"/>
          <w:position w:val="0"/>
          <w:sz w:val="24"/>
          <w:szCs w:val="24"/>
          <w:vertAlign w:val="subscript"/>
          <w:lang w:val="en-US" w:eastAsia="zh-CN"/>
        </w:rPr>
        <w:t>10</w:t>
      </w:r>
      <w:r>
        <w:rPr>
          <w:rFonts w:hint="default" w:ascii="Times New Roman" w:hAnsi="Times New Roman" w:eastAsia="宋体" w:cs="Times New Roman"/>
          <w:color w:val="auto"/>
          <w:spacing w:val="0"/>
          <w:w w:val="100"/>
          <w:kern w:val="0"/>
          <w:position w:val="0"/>
          <w:sz w:val="24"/>
          <w:szCs w:val="24"/>
        </w:rPr>
        <w:t>、PM</w:t>
      </w:r>
      <w:r>
        <w:rPr>
          <w:rFonts w:hint="default" w:ascii="Times New Roman" w:hAnsi="Times New Roman" w:eastAsia="宋体" w:cs="Times New Roman"/>
          <w:color w:val="auto"/>
          <w:spacing w:val="0"/>
          <w:w w:val="100"/>
          <w:kern w:val="0"/>
          <w:position w:val="0"/>
          <w:sz w:val="24"/>
          <w:szCs w:val="24"/>
          <w:vertAlign w:val="subscript"/>
        </w:rPr>
        <w:t>2.5</w:t>
      </w:r>
      <w:r>
        <w:rPr>
          <w:rFonts w:hint="default" w:ascii="Times New Roman" w:hAnsi="Times New Roman" w:eastAsia="宋体" w:cs="Times New Roman"/>
          <w:color w:val="auto"/>
          <w:spacing w:val="0"/>
          <w:w w:val="100"/>
          <w:kern w:val="0"/>
          <w:position w:val="0"/>
          <w:sz w:val="24"/>
          <w:szCs w:val="24"/>
        </w:rPr>
        <w:t>超过《环境空气质量标准》（GB3095-2012）二级标准，按照《环境影响评价技术导则 大气环境》（HJ2.2-2018）对项目所在区达标判断结果可知，本项目所在区为不达标区。</w:t>
      </w:r>
      <w:r>
        <w:rPr>
          <w:rFonts w:hint="default" w:ascii="Times New Roman" w:hAnsi="Times New Roman" w:eastAsia="宋体" w:cs="Times New Roman"/>
          <w:color w:val="auto"/>
          <w:spacing w:val="0"/>
          <w:w w:val="100"/>
          <w:kern w:val="0"/>
          <w:position w:val="0"/>
          <w:sz w:val="24"/>
          <w:szCs w:val="24"/>
          <w:highlight w:val="none"/>
          <w:lang w:eastAsia="zh-CN"/>
        </w:rPr>
        <w:t>补充监测</w:t>
      </w:r>
      <w:r>
        <w:rPr>
          <w:rFonts w:hint="default" w:ascii="Times New Roman" w:hAnsi="Times New Roman" w:eastAsia="宋体" w:cs="Times New Roman"/>
          <w:color w:val="auto"/>
          <w:spacing w:val="0"/>
          <w:w w:val="100"/>
          <w:kern w:val="0"/>
          <w:position w:val="0"/>
          <w:sz w:val="24"/>
          <w:szCs w:val="24"/>
          <w:highlight w:val="none"/>
        </w:rPr>
        <w:t>因子中</w:t>
      </w:r>
      <w:r>
        <w:rPr>
          <w:rFonts w:hint="default" w:ascii="Times New Roman" w:hAnsi="Times New Roman" w:eastAsia="宋体" w:cs="Times New Roman"/>
          <w:color w:val="auto"/>
          <w:spacing w:val="0"/>
          <w:w w:val="100"/>
          <w:kern w:val="0"/>
          <w:position w:val="0"/>
          <w:sz w:val="24"/>
          <w:szCs w:val="24"/>
          <w:highlight w:val="none"/>
          <w:lang w:val="en-US" w:eastAsia="zh-CN"/>
        </w:rPr>
        <w:t>TSP</w:t>
      </w:r>
      <w:r>
        <w:rPr>
          <w:rFonts w:hint="default" w:ascii="Times New Roman" w:hAnsi="Times New Roman" w:eastAsia="宋体" w:cs="Times New Roman"/>
          <w:color w:val="auto"/>
          <w:spacing w:val="0"/>
          <w:w w:val="100"/>
          <w:kern w:val="0"/>
          <w:position w:val="0"/>
          <w:sz w:val="24"/>
          <w:szCs w:val="24"/>
          <w:highlight w:val="none"/>
        </w:rPr>
        <w:t>浓度均满足</w:t>
      </w:r>
      <w:r>
        <w:rPr>
          <w:rFonts w:hint="default" w:ascii="Times New Roman" w:hAnsi="Times New Roman" w:eastAsia="宋体" w:cs="Times New Roman"/>
          <w:b w:val="0"/>
          <w:bCs w:val="0"/>
          <w:color w:val="auto"/>
          <w:spacing w:val="0"/>
          <w:w w:val="100"/>
          <w:kern w:val="0"/>
          <w:position w:val="0"/>
          <w:sz w:val="24"/>
          <w:szCs w:val="24"/>
          <w:highlight w:val="none"/>
        </w:rPr>
        <w:t>《环境空气质量标准》（GB3095-2012）中的二级标准</w:t>
      </w:r>
      <w:r>
        <w:rPr>
          <w:rFonts w:hint="default" w:ascii="Times New Roman" w:hAnsi="Times New Roman" w:eastAsia="宋体" w:cs="Times New Roman"/>
          <w:b w:val="0"/>
          <w:bCs w:val="0"/>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NH</w:t>
      </w:r>
      <w:r>
        <w:rPr>
          <w:rFonts w:hint="default" w:ascii="Times New Roman" w:hAnsi="Times New Roman" w:eastAsia="宋体" w:cs="Times New Roman"/>
          <w:color w:val="auto"/>
          <w:spacing w:val="0"/>
          <w:w w:val="100"/>
          <w:kern w:val="0"/>
          <w:position w:val="0"/>
          <w:sz w:val="24"/>
          <w:szCs w:val="24"/>
          <w:highlight w:val="none"/>
          <w:vertAlign w:val="subscript"/>
        </w:rPr>
        <w:t>3</w:t>
      </w:r>
      <w:r>
        <w:rPr>
          <w:rFonts w:hint="default" w:ascii="Times New Roman" w:hAnsi="Times New Roman" w:eastAsia="宋体" w:cs="Times New Roman"/>
          <w:color w:val="auto"/>
          <w:spacing w:val="0"/>
          <w:w w:val="100"/>
          <w:kern w:val="0"/>
          <w:position w:val="0"/>
          <w:sz w:val="24"/>
          <w:szCs w:val="24"/>
          <w:highlight w:val="none"/>
          <w:lang w:eastAsia="zh-CN"/>
        </w:rPr>
        <w:t>、</w:t>
      </w:r>
      <w:r>
        <w:rPr>
          <w:rFonts w:hint="default" w:ascii="Times New Roman" w:hAnsi="Times New Roman" w:eastAsia="宋体" w:cs="Times New Roman"/>
          <w:color w:val="auto"/>
          <w:spacing w:val="0"/>
          <w:w w:val="100"/>
          <w:kern w:val="0"/>
          <w:position w:val="0"/>
          <w:sz w:val="24"/>
          <w:szCs w:val="24"/>
          <w:highlight w:val="none"/>
        </w:rPr>
        <w:t>H</w:t>
      </w:r>
      <w:r>
        <w:rPr>
          <w:rFonts w:hint="default" w:ascii="Times New Roman" w:hAnsi="Times New Roman" w:eastAsia="宋体" w:cs="Times New Roman"/>
          <w:color w:val="auto"/>
          <w:spacing w:val="0"/>
          <w:w w:val="100"/>
          <w:kern w:val="0"/>
          <w:position w:val="0"/>
          <w:sz w:val="24"/>
          <w:szCs w:val="24"/>
          <w:highlight w:val="none"/>
          <w:vertAlign w:val="subscript"/>
        </w:rPr>
        <w:t>2</w:t>
      </w:r>
      <w:r>
        <w:rPr>
          <w:rFonts w:hint="default" w:ascii="Times New Roman" w:hAnsi="Times New Roman" w:eastAsia="宋体" w:cs="Times New Roman"/>
          <w:color w:val="auto"/>
          <w:spacing w:val="0"/>
          <w:w w:val="100"/>
          <w:kern w:val="0"/>
          <w:position w:val="0"/>
          <w:sz w:val="24"/>
          <w:szCs w:val="24"/>
          <w:highlight w:val="none"/>
        </w:rPr>
        <w:t>S</w:t>
      </w:r>
      <w:r>
        <w:rPr>
          <w:rFonts w:hint="default" w:ascii="Times New Roman" w:hAnsi="Times New Roman" w:eastAsia="宋体" w:cs="Times New Roman"/>
          <w:color w:val="auto"/>
          <w:spacing w:val="0"/>
          <w:w w:val="100"/>
          <w:kern w:val="0"/>
          <w:position w:val="0"/>
          <w:sz w:val="24"/>
          <w:szCs w:val="24"/>
          <w:highlight w:val="none"/>
          <w:lang w:eastAsia="zh-CN"/>
        </w:rPr>
        <w:t>浓度满足</w:t>
      </w:r>
      <w:r>
        <w:rPr>
          <w:rFonts w:hint="default" w:ascii="Times New Roman" w:hAnsi="Times New Roman" w:eastAsia="宋体" w:cs="Times New Roman"/>
          <w:color w:val="auto"/>
          <w:spacing w:val="0"/>
          <w:w w:val="100"/>
          <w:kern w:val="0"/>
          <w:position w:val="0"/>
          <w:sz w:val="24"/>
          <w:szCs w:val="24"/>
          <w:highlight w:val="none"/>
        </w:rPr>
        <w:t>《环境影响评价技术导则 大气环境》（HJ2.2-2018）中附录D中其他污染物空气质量浓度限值要求</w:t>
      </w:r>
      <w:r>
        <w:rPr>
          <w:rFonts w:hint="default" w:ascii="Times New Roman" w:hAnsi="Times New Roman" w:eastAsia="宋体" w:cs="Times New Roman"/>
          <w:color w:val="auto"/>
          <w:spacing w:val="0"/>
          <w:w w:val="100"/>
          <w:kern w:val="0"/>
          <w:position w:val="0"/>
          <w:sz w:val="24"/>
          <w:szCs w:val="24"/>
          <w:highlight w:val="none"/>
          <w:lang w:eastAsia="zh-CN"/>
        </w:rPr>
        <w:t>；臭气浓度仅作为现状背景值。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pacing w:val="0"/>
          <w:w w:val="100"/>
          <w:kern w:val="0"/>
          <w:position w:val="0"/>
          <w:sz w:val="24"/>
          <w:highlight w:val="none"/>
          <w:lang w:eastAsia="zh-CN"/>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cs="Times New Roman"/>
          <w:color w:val="auto"/>
          <w:spacing w:val="0"/>
          <w:w w:val="100"/>
          <w:kern w:val="0"/>
          <w:position w:val="0"/>
          <w:sz w:val="24"/>
          <w:highlight w:val="none"/>
          <w:lang w:eastAsia="zh-CN"/>
        </w:rPr>
        <w:t>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lang w:eastAsia="zh-CN"/>
        </w:rPr>
      </w:pPr>
      <w:r>
        <w:rPr>
          <w:rFonts w:hint="default" w:ascii="Times New Roman" w:hAnsi="Times New Roman" w:eastAsia="宋体" w:cs="Times New Roman"/>
          <w:color w:val="auto"/>
          <w:spacing w:val="0"/>
          <w:w w:val="100"/>
          <w:kern w:val="0"/>
          <w:position w:val="0"/>
          <w:sz w:val="24"/>
          <w:highlight w:val="none"/>
          <w:lang w:eastAsia="zh-CN"/>
        </w:rPr>
        <w:t>苦水河孙家滩断面水质单因子指数中溶解氧、化学需氧量、总氮、氟化物等指数均大于1，由此说明苦水河孙家滩监测断面处水质超过《地表水环境质量标准》（GB3838-2002）中的Ⅳ类标准要求。其中溶解氧、化学需氧量、总氮等指数超标主要原因为苦水河水量小，自净能力差，沿途接纳了周边地区生活污水所致，氟化物超标主要为区域气候干燥，地表蒸发量大，导致背景值较高所致</w:t>
      </w:r>
      <w:r>
        <w:rPr>
          <w:rFonts w:hint="default" w:ascii="Times New Roman" w:hAnsi="Times New Roman" w:cs="Times New Roman"/>
          <w:color w:val="auto"/>
          <w:spacing w:val="0"/>
          <w:w w:val="100"/>
          <w:kern w:val="0"/>
          <w:positio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⑶</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地</w:t>
      </w:r>
      <w:r>
        <w:rPr>
          <w:rFonts w:hint="default" w:ascii="Times New Roman" w:hAnsi="Times New Roman" w:eastAsia="宋体" w:cs="Times New Roman"/>
          <w:color w:val="auto"/>
          <w:spacing w:val="0"/>
          <w:w w:val="100"/>
          <w:kern w:val="0"/>
          <w:position w:val="0"/>
          <w:sz w:val="24"/>
          <w:highlight w:val="none"/>
          <w:lang w:eastAsia="zh-CN"/>
        </w:rPr>
        <w:t>下</w:t>
      </w:r>
      <w:r>
        <w:rPr>
          <w:rFonts w:hint="default" w:ascii="Times New Roman" w:hAnsi="Times New Roman" w:eastAsia="宋体" w:cs="Times New Roman"/>
          <w:color w:val="auto"/>
          <w:spacing w:val="0"/>
          <w:w w:val="100"/>
          <w:kern w:val="0"/>
          <w:position w:val="0"/>
          <w:sz w:val="24"/>
          <w:highlight w:val="none"/>
        </w:rPr>
        <w:t>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eastAsia="zh-CN"/>
        </w:rPr>
        <w:t>根据</w:t>
      </w:r>
      <w:r>
        <w:rPr>
          <w:rFonts w:hint="eastAsia" w:ascii="Times New Roman" w:hAnsi="Times New Roman" w:cs="Times New Roman"/>
          <w:snapToGrid w:val="0"/>
          <w:color w:val="auto"/>
          <w:spacing w:val="0"/>
          <w:w w:val="100"/>
          <w:kern w:val="0"/>
          <w:position w:val="0"/>
          <w:sz w:val="24"/>
          <w:highlight w:val="none"/>
          <w:lang w:val="en-US" w:eastAsia="zh-CN"/>
        </w:rPr>
        <w:t>项目所在区域</w:t>
      </w:r>
      <w:r>
        <w:rPr>
          <w:rFonts w:hint="default" w:ascii="Times New Roman" w:hAnsi="Times New Roman" w:eastAsia="宋体" w:cs="Times New Roman"/>
          <w:snapToGrid w:val="0"/>
          <w:color w:val="auto"/>
          <w:spacing w:val="0"/>
          <w:w w:val="100"/>
          <w:kern w:val="0"/>
          <w:position w:val="0"/>
          <w:sz w:val="24"/>
          <w:highlight w:val="none"/>
          <w:lang w:val="sq-AL"/>
        </w:rPr>
        <w:t>地下水</w:t>
      </w:r>
      <w:r>
        <w:rPr>
          <w:rFonts w:hint="default" w:ascii="Times New Roman" w:hAnsi="Times New Roman" w:eastAsia="宋体" w:cs="Times New Roman"/>
          <w:snapToGrid w:val="0"/>
          <w:color w:val="auto"/>
          <w:spacing w:val="0"/>
          <w:w w:val="100"/>
          <w:kern w:val="0"/>
          <w:position w:val="0"/>
          <w:sz w:val="24"/>
          <w:highlight w:val="none"/>
          <w:lang w:val="sq-AL" w:eastAsia="zh-CN"/>
        </w:rPr>
        <w:t>的监测结果可知，</w:t>
      </w:r>
      <w:r>
        <w:rPr>
          <w:rFonts w:hint="eastAsia" w:ascii="Times New Roman" w:hAnsi="Times New Roman" w:cs="Times New Roman"/>
          <w:color w:val="auto"/>
          <w:spacing w:val="0"/>
          <w:w w:val="100"/>
          <w:kern w:val="0"/>
          <w:position w:val="0"/>
          <w:sz w:val="24"/>
          <w:szCs w:val="24"/>
          <w:lang w:eastAsia="zh-CN"/>
        </w:rPr>
        <w:t>监测</w:t>
      </w:r>
      <w:r>
        <w:rPr>
          <w:rFonts w:hint="default" w:ascii="Times New Roman" w:hAnsi="Times New Roman" w:eastAsia="宋体" w:cs="Times New Roman"/>
          <w:color w:val="auto"/>
          <w:spacing w:val="0"/>
          <w:w w:val="100"/>
          <w:kern w:val="0"/>
          <w:position w:val="0"/>
          <w:sz w:val="24"/>
          <w:szCs w:val="24"/>
        </w:rPr>
        <w:t>因子中总硬度</w:t>
      </w:r>
      <w:r>
        <w:rPr>
          <w:rFonts w:hint="eastAsia" w:ascii="Times New Roman" w:hAnsi="Times New Roman" w:cs="Times New Roman"/>
          <w:color w:val="auto"/>
          <w:spacing w:val="0"/>
          <w:w w:val="100"/>
          <w:kern w:val="0"/>
          <w:position w:val="0"/>
          <w:sz w:val="24"/>
          <w:szCs w:val="24"/>
          <w:lang w:eastAsia="zh-CN"/>
        </w:rPr>
        <w:t>、溶解性总固体、氟化物、氯化物、硫酸盐</w:t>
      </w:r>
      <w:r>
        <w:rPr>
          <w:rFonts w:hint="default" w:ascii="Times New Roman" w:hAnsi="Times New Roman" w:eastAsia="宋体" w:cs="Times New Roman"/>
          <w:color w:val="auto"/>
          <w:spacing w:val="0"/>
          <w:w w:val="100"/>
          <w:kern w:val="0"/>
          <w:position w:val="0"/>
          <w:sz w:val="24"/>
          <w:szCs w:val="24"/>
        </w:rPr>
        <w:t>出现超标</w:t>
      </w:r>
      <w:r>
        <w:rPr>
          <w:rFonts w:hint="default" w:ascii="Times New Roman" w:hAnsi="Times New Roman" w:eastAsia="宋体" w:cs="Times New Roman"/>
          <w:color w:val="auto"/>
          <w:spacing w:val="0"/>
          <w:w w:val="100"/>
          <w:kern w:val="0"/>
          <w:position w:val="0"/>
          <w:sz w:val="24"/>
          <w:szCs w:val="24"/>
          <w:lang w:eastAsia="zh-CN"/>
        </w:rPr>
        <w:t>，</w:t>
      </w:r>
      <w:r>
        <w:rPr>
          <w:rFonts w:hint="default" w:ascii="Times New Roman" w:hAnsi="Times New Roman" w:eastAsia="宋体" w:cs="Times New Roman"/>
          <w:color w:val="auto"/>
          <w:spacing w:val="0"/>
          <w:w w:val="100"/>
          <w:kern w:val="0"/>
          <w:position w:val="0"/>
          <w:sz w:val="24"/>
          <w:szCs w:val="24"/>
        </w:rPr>
        <w:t>超标原因主要为该区域地下水背景值较高所致不能满足《地下水质量标准》（GB/T14848-2017）中的Ⅲ类标准</w:t>
      </w:r>
      <w:r>
        <w:rPr>
          <w:rFonts w:hint="default" w:ascii="Times New Roman" w:hAnsi="Times New Roman" w:eastAsia="宋体" w:cs="Times New Roman"/>
          <w:color w:val="auto"/>
          <w:spacing w:val="0"/>
          <w:w w:val="100"/>
          <w:kern w:val="0"/>
          <w:position w:val="0"/>
          <w:sz w:val="24"/>
          <w:szCs w:val="24"/>
          <w:lang w:eastAsia="zh-CN"/>
        </w:rPr>
        <w:t>，其他因子均符合</w:t>
      </w:r>
      <w:r>
        <w:rPr>
          <w:rFonts w:hint="default" w:ascii="Times New Roman" w:hAnsi="Times New Roman" w:eastAsia="宋体" w:cs="Times New Roman"/>
          <w:color w:val="auto"/>
          <w:spacing w:val="0"/>
          <w:w w:val="100"/>
          <w:kern w:val="0"/>
          <w:position w:val="0"/>
          <w:sz w:val="24"/>
          <w:szCs w:val="24"/>
        </w:rPr>
        <w:t>《地下水质量标准》（GB/T14848-2017）中的Ⅲ类标准</w:t>
      </w:r>
      <w:r>
        <w:rPr>
          <w:rFonts w:hint="default" w:ascii="Times New Roman" w:hAnsi="Times New Roman" w:eastAsia="宋体" w:cs="Times New Roman"/>
          <w:color w:val="auto"/>
          <w:spacing w:val="0"/>
          <w:w w:val="100"/>
          <w:kern w:val="0"/>
          <w:position w:val="0"/>
          <w:sz w:val="24"/>
          <w:szCs w:val="24"/>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4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rPr>
        <w:t>⑷</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rPr>
        <w:t>声环境质量现状</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4"/>
        </w:rPr>
      </w:pPr>
      <w:r>
        <w:rPr>
          <w:rFonts w:hint="default" w:ascii="Times New Roman" w:hAnsi="Times New Roman" w:eastAsia="宋体" w:cs="Times New Roman"/>
          <w:color w:val="auto"/>
          <w:spacing w:val="0"/>
          <w:w w:val="100"/>
          <w:kern w:val="0"/>
          <w:position w:val="0"/>
          <w:sz w:val="24"/>
          <w:highlight w:val="none"/>
          <w:lang w:eastAsia="zh-CN"/>
        </w:rPr>
        <w:t>根据</w:t>
      </w:r>
      <w:r>
        <w:rPr>
          <w:rFonts w:hint="default" w:ascii="Times New Roman" w:hAnsi="Times New Roman" w:eastAsia="宋体" w:cs="Times New Roman"/>
          <w:color w:val="auto"/>
          <w:spacing w:val="0"/>
          <w:w w:val="100"/>
          <w:kern w:val="0"/>
          <w:position w:val="0"/>
          <w:sz w:val="24"/>
          <w:szCs w:val="24"/>
          <w:highlight w:val="none"/>
        </w:rPr>
        <w:t>项目厂址区域环境噪声</w:t>
      </w:r>
      <w:r>
        <w:rPr>
          <w:rFonts w:hint="default" w:ascii="Times New Roman" w:hAnsi="Times New Roman" w:eastAsia="宋体" w:cs="Times New Roman"/>
          <w:color w:val="auto"/>
          <w:spacing w:val="0"/>
          <w:w w:val="100"/>
          <w:kern w:val="0"/>
          <w:position w:val="0"/>
          <w:sz w:val="24"/>
          <w:szCs w:val="24"/>
          <w:highlight w:val="none"/>
          <w:lang w:eastAsia="zh-CN"/>
        </w:rPr>
        <w:t>的</w:t>
      </w:r>
      <w:r>
        <w:rPr>
          <w:rFonts w:hint="default" w:ascii="Times New Roman" w:hAnsi="Times New Roman" w:eastAsia="宋体" w:cs="Times New Roman"/>
          <w:color w:val="auto"/>
          <w:spacing w:val="0"/>
          <w:w w:val="100"/>
          <w:kern w:val="0"/>
          <w:position w:val="0"/>
          <w:sz w:val="24"/>
          <w:highlight w:val="none"/>
        </w:rPr>
        <w:t>监测结果</w:t>
      </w:r>
      <w:r>
        <w:rPr>
          <w:rFonts w:hint="default" w:ascii="Times New Roman" w:hAnsi="Times New Roman" w:eastAsia="宋体" w:cs="Times New Roman"/>
          <w:color w:val="auto"/>
          <w:spacing w:val="0"/>
          <w:w w:val="100"/>
          <w:kern w:val="0"/>
          <w:position w:val="0"/>
          <w:sz w:val="24"/>
          <w:highlight w:val="none"/>
          <w:lang w:eastAsia="zh-CN"/>
        </w:rPr>
        <w:t>可知，</w:t>
      </w:r>
      <w:r>
        <w:rPr>
          <w:rFonts w:hint="default" w:ascii="Times New Roman" w:hAnsi="Times New Roman" w:eastAsia="宋体" w:cs="Times New Roman"/>
          <w:color w:val="auto"/>
          <w:spacing w:val="0"/>
          <w:w w:val="100"/>
          <w:kern w:val="0"/>
          <w:position w:val="0"/>
          <w:sz w:val="24"/>
          <w:szCs w:val="28"/>
        </w:rPr>
        <w:t>本项目所在地声环境较好，无超标现象</w:t>
      </w:r>
      <w:r>
        <w:rPr>
          <w:rFonts w:hint="default" w:ascii="Times New Roman" w:hAnsi="Times New Roman" w:eastAsia="宋体" w:cs="Times New Roman"/>
          <w:color w:val="auto"/>
          <w:spacing w:val="0"/>
          <w:w w:val="100"/>
          <w:kern w:val="0"/>
          <w:position w:val="0"/>
          <w:sz w:val="24"/>
          <w:szCs w:val="28"/>
          <w:lang w:eastAsia="zh-CN"/>
        </w:rPr>
        <w:t>，监测点噪声值</w:t>
      </w:r>
      <w:r>
        <w:rPr>
          <w:rFonts w:hint="default" w:ascii="Times New Roman" w:hAnsi="Times New Roman" w:eastAsia="宋体" w:cs="Times New Roman"/>
          <w:color w:val="auto"/>
          <w:spacing w:val="0"/>
          <w:w w:val="100"/>
          <w:kern w:val="0"/>
          <w:position w:val="0"/>
          <w:sz w:val="24"/>
          <w:highlight w:val="none"/>
        </w:rPr>
        <w:t>符合《</w:t>
      </w:r>
      <w:r>
        <w:rPr>
          <w:rFonts w:hint="default" w:ascii="Times New Roman" w:hAnsi="Times New Roman" w:eastAsia="宋体" w:cs="Times New Roman"/>
          <w:color w:val="auto"/>
          <w:spacing w:val="0"/>
          <w:w w:val="100"/>
          <w:kern w:val="0"/>
          <w:position w:val="0"/>
          <w:sz w:val="24"/>
          <w:szCs w:val="28"/>
        </w:rPr>
        <w:t>声环境质量标准</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szCs w:val="28"/>
        </w:rPr>
        <w:t>GB3096-2008</w:t>
      </w:r>
      <w:r>
        <w:rPr>
          <w:rFonts w:hint="default" w:ascii="Times New Roman" w:hAnsi="Times New Roman" w:eastAsia="宋体" w:cs="Times New Roman"/>
          <w:color w:val="auto"/>
          <w:spacing w:val="0"/>
          <w:w w:val="100"/>
          <w:kern w:val="0"/>
          <w:position w:val="0"/>
          <w:sz w:val="24"/>
          <w:highlight w:val="none"/>
        </w:rPr>
        <w:t>）</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类声环境功能区标准要求。</w:t>
      </w:r>
    </w:p>
    <w:p>
      <w:pPr>
        <w:pStyle w:val="3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⑸土壤环境质量现状</w:t>
      </w:r>
    </w:p>
    <w:p>
      <w:pPr>
        <w:pStyle w:val="3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bCs/>
          <w:color w:val="auto"/>
          <w:spacing w:val="0"/>
          <w:w w:val="100"/>
          <w:kern w:val="0"/>
          <w:position w:val="0"/>
          <w:sz w:val="24"/>
          <w:highlight w:val="none"/>
        </w:rPr>
        <w:t>由监测结果可知，项目区域各监测点土壤监测值均低于</w:t>
      </w:r>
      <w:r>
        <w:rPr>
          <w:rFonts w:hint="default" w:ascii="Times New Roman" w:hAnsi="Times New Roman" w:eastAsia="宋体" w:cs="Times New Roman"/>
          <w:color w:val="auto"/>
          <w:spacing w:val="0"/>
          <w:w w:val="100"/>
          <w:kern w:val="0"/>
          <w:position w:val="0"/>
          <w:sz w:val="24"/>
          <w:szCs w:val="24"/>
          <w:highlight w:val="none"/>
        </w:rPr>
        <w:t>《土壤环境质量</w:t>
      </w:r>
      <w:r>
        <w:rPr>
          <w:rFonts w:hint="default" w:ascii="Times New Roman" w:hAnsi="Times New Roman" w:eastAsia="宋体" w:cs="Times New Roman"/>
          <w:color w:val="auto"/>
          <w:spacing w:val="0"/>
          <w:w w:val="100"/>
          <w:kern w:val="0"/>
          <w:position w:val="0"/>
          <w:sz w:val="24"/>
          <w:szCs w:val="24"/>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24"/>
          <w:highlight w:val="none"/>
        </w:rPr>
        <w:t>农用地土壤污染风险管控标准》（试行）（GB15618-2018）风险筛选值。</w:t>
      </w:r>
    </w:p>
    <w:p>
      <w:pPr>
        <w:pStyle w:val="43"/>
        <w:keepNext/>
        <w:keepLines/>
        <w:pageBreakBefore w:val="0"/>
        <w:widowControl w:val="0"/>
        <w:kinsoku/>
        <w:wordWrap/>
        <w:overflowPunct/>
        <w:topLinePunct w:val="0"/>
        <w:autoSpaceDE/>
        <w:autoSpaceDN/>
        <w:bidi w:val="0"/>
        <w:adjustRightInd/>
        <w:snapToGrid w:val="0"/>
        <w:spacing w:before="156" w:beforeLines="50" w:after="156" w:afterLines="50"/>
        <w:contextualSpacing/>
        <w:textAlignment w:val="auto"/>
        <w:outlineLvl w:val="1"/>
        <w:rPr>
          <w:rFonts w:hint="default" w:ascii="Times New Roman" w:hAnsi="Times New Roman" w:eastAsia="宋体" w:cs="Times New Roman"/>
          <w:snapToGrid w:val="0"/>
          <w:color w:val="auto"/>
          <w:spacing w:val="0"/>
          <w:w w:val="100"/>
          <w:kern w:val="0"/>
          <w:position w:val="0"/>
          <w:highlight w:val="none"/>
          <w:lang w:val="en-US" w:eastAsia="zh-CN"/>
        </w:rPr>
      </w:pPr>
      <w:bookmarkStart w:id="1393" w:name="_Toc24495"/>
      <w:bookmarkStart w:id="1394" w:name="_Toc502"/>
      <w:bookmarkStart w:id="1395" w:name="_Toc28465"/>
      <w:bookmarkStart w:id="1396" w:name="_Toc12832"/>
      <w:bookmarkStart w:id="1397" w:name="_Toc14623"/>
      <w:bookmarkStart w:id="1398" w:name="_Toc26524"/>
      <w:bookmarkStart w:id="1399" w:name="_Toc32607"/>
      <w:bookmarkStart w:id="1400" w:name="_Toc23289"/>
      <w:r>
        <w:rPr>
          <w:rFonts w:hint="default" w:ascii="Times New Roman" w:hAnsi="Times New Roman" w:eastAsia="宋体" w:cs="Times New Roman"/>
          <w:snapToGrid w:val="0"/>
          <w:color w:val="auto"/>
          <w:spacing w:val="0"/>
          <w:w w:val="100"/>
          <w:kern w:val="0"/>
          <w:position w:val="0"/>
          <w:highlight w:val="none"/>
          <w:lang w:val="en-US" w:eastAsia="zh-CN"/>
        </w:rPr>
        <w:t>10.6污染防治与达标排放可行性</w:t>
      </w:r>
      <w:bookmarkEnd w:id="1393"/>
      <w:bookmarkEnd w:id="1394"/>
      <w:bookmarkEnd w:id="1395"/>
      <w:bookmarkEnd w:id="1396"/>
      <w:bookmarkEnd w:id="1397"/>
      <w:bookmarkEnd w:id="1398"/>
      <w:bookmarkEnd w:id="1399"/>
      <w:bookmarkEnd w:id="1400"/>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401" w:name="_Toc30592"/>
      <w:bookmarkStart w:id="1402" w:name="_Toc29589"/>
      <w:bookmarkStart w:id="1403" w:name="_Toc332203467"/>
      <w:bookmarkStart w:id="1404" w:name="_Toc21363"/>
      <w:bookmarkStart w:id="1405" w:name="_Toc381"/>
      <w:bookmarkStart w:id="1406" w:name="_Toc387745804"/>
      <w:bookmarkStart w:id="1407" w:name="_Toc491610175"/>
      <w:bookmarkStart w:id="1408" w:name="_Toc318043720"/>
      <w:bookmarkStart w:id="1409" w:name="_Toc388620215"/>
      <w:r>
        <w:rPr>
          <w:rFonts w:hint="default" w:ascii="Times New Roman" w:hAnsi="Times New Roman" w:eastAsia="宋体" w:cs="Times New Roman"/>
          <w:snapToGrid w:val="0"/>
          <w:color w:val="auto"/>
          <w:spacing w:val="0"/>
          <w:w w:val="100"/>
          <w:kern w:val="0"/>
          <w:position w:val="0"/>
          <w:sz w:val="28"/>
          <w:szCs w:val="28"/>
          <w:highlight w:val="none"/>
          <w:lang w:val="en-US" w:eastAsia="zh-CN"/>
        </w:rPr>
        <w:t>10.6.1废气污防治措施与达标排放可行性</w:t>
      </w:r>
      <w:bookmarkEnd w:id="1401"/>
      <w:bookmarkEnd w:id="1402"/>
      <w:bookmarkEnd w:id="1403"/>
      <w:bookmarkEnd w:id="1404"/>
      <w:bookmarkEnd w:id="1405"/>
      <w:bookmarkEnd w:id="1406"/>
      <w:bookmarkEnd w:id="1407"/>
      <w:bookmarkEnd w:id="1408"/>
      <w:bookmarkEnd w:id="1409"/>
    </w:p>
    <w:bookmarkEnd w:id="1341"/>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fldChar w:fldCharType="begin"/>
      </w:r>
      <w:r>
        <w:rPr>
          <w:rFonts w:hint="default" w:ascii="Times New Roman" w:hAnsi="Times New Roman" w:eastAsia="宋体" w:cs="Times New Roman"/>
          <w:color w:val="auto"/>
          <w:spacing w:val="0"/>
          <w:w w:val="100"/>
          <w:kern w:val="0"/>
          <w:position w:val="0"/>
          <w:highlight w:val="none"/>
        </w:rPr>
        <w:instrText xml:space="preserve"> = 1 \* GB2 \* MERGEFORMAT </w:instrText>
      </w:r>
      <w:r>
        <w:rPr>
          <w:rFonts w:hint="default" w:ascii="Times New Roman" w:hAnsi="Times New Roman" w:eastAsia="宋体" w:cs="Times New Roman"/>
          <w:color w:val="auto"/>
          <w:spacing w:val="0"/>
          <w:w w:val="100"/>
          <w:kern w:val="0"/>
          <w:position w:val="0"/>
          <w:highlight w:val="none"/>
        </w:rPr>
        <w:fldChar w:fldCharType="separate"/>
      </w:r>
      <w:r>
        <w:rPr>
          <w:rFonts w:hint="default" w:ascii="Times New Roman" w:hAnsi="Times New Roman" w:eastAsia="宋体" w:cs="Times New Roman"/>
          <w:color w:val="auto"/>
          <w:spacing w:val="0"/>
          <w:w w:val="100"/>
          <w:kern w:val="0"/>
          <w:position w:val="0"/>
          <w:highlight w:val="none"/>
          <w:lang w:val="zh-CN"/>
        </w:rPr>
        <w:t>⑴</w:t>
      </w:r>
      <w:r>
        <w:rPr>
          <w:rFonts w:hint="default" w:ascii="Times New Roman" w:hAnsi="Times New Roman" w:eastAsia="宋体" w:cs="Times New Roman"/>
          <w:color w:val="auto"/>
          <w:spacing w:val="0"/>
          <w:w w:val="100"/>
          <w:kern w:val="0"/>
          <w:position w:val="0"/>
          <w:highlight w:val="none"/>
        </w:rPr>
        <w:fldChar w:fldCharType="end"/>
      </w:r>
      <w:r>
        <w:rPr>
          <w:rFonts w:hint="default" w:ascii="Times New Roman" w:hAnsi="Times New Roman" w:eastAsia="宋体" w:cs="Times New Roman"/>
          <w:color w:val="auto"/>
          <w:spacing w:val="0"/>
          <w:w w:val="100"/>
          <w:kern w:val="0"/>
          <w:position w:val="0"/>
          <w:highlight w:val="none"/>
        </w:rPr>
        <w:t>恶臭气体</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szCs w:val="24"/>
          <w:highlight w:val="none"/>
        </w:rPr>
        <w:t>本项目对</w:t>
      </w:r>
      <w:r>
        <w:rPr>
          <w:rFonts w:hint="eastAsia" w:ascii="Times New Roman" w:hAnsi="Times New Roman" w:eastAsia="宋体" w:cs="Times New Roman"/>
          <w:color w:val="auto"/>
          <w:spacing w:val="0"/>
          <w:w w:val="100"/>
          <w:kern w:val="0"/>
          <w:position w:val="0"/>
          <w:szCs w:val="24"/>
          <w:highlight w:val="none"/>
          <w:lang w:eastAsia="zh-CN"/>
        </w:rPr>
        <w:t>牛舍</w:t>
      </w:r>
      <w:r>
        <w:rPr>
          <w:rFonts w:hint="default" w:ascii="Times New Roman" w:hAnsi="Times New Roman" w:eastAsia="宋体" w:cs="Times New Roman"/>
          <w:color w:val="auto"/>
          <w:spacing w:val="0"/>
          <w:w w:val="100"/>
          <w:kern w:val="0"/>
          <w:position w:val="0"/>
          <w:szCs w:val="24"/>
          <w:highlight w:val="none"/>
        </w:rPr>
        <w:t>及运动场的牛粪，采用干清粪方式及时进行清理，定期消毒，喷洒除臭剂（生石灰）等；</w:t>
      </w:r>
      <w:r>
        <w:rPr>
          <w:rFonts w:hint="default" w:ascii="Times New Roman" w:hAnsi="Times New Roman" w:eastAsia="宋体" w:cs="Times New Roman"/>
          <w:color w:val="auto"/>
          <w:spacing w:val="0"/>
          <w:w w:val="100"/>
          <w:kern w:val="0"/>
          <w:position w:val="0"/>
          <w:szCs w:val="24"/>
          <w:highlight w:val="none"/>
          <w:lang w:eastAsia="zh-CN"/>
        </w:rPr>
        <w:t>堆粪棚</w:t>
      </w:r>
      <w:r>
        <w:rPr>
          <w:rFonts w:hint="default" w:ascii="Times New Roman" w:hAnsi="Times New Roman" w:eastAsia="宋体" w:cs="Times New Roman"/>
          <w:color w:val="auto"/>
          <w:spacing w:val="0"/>
          <w:w w:val="100"/>
          <w:kern w:val="0"/>
          <w:position w:val="0"/>
          <w:szCs w:val="24"/>
          <w:highlight w:val="none"/>
        </w:rPr>
        <w:t>加强过程控制和清运管理，减少牛粪和污泥堆存，定期消毒，在牛粪干湿分离、</w:t>
      </w:r>
      <w:r>
        <w:rPr>
          <w:rFonts w:hint="default" w:ascii="Times New Roman" w:hAnsi="Times New Roman" w:eastAsia="宋体" w:cs="Times New Roman"/>
          <w:color w:val="auto"/>
          <w:spacing w:val="0"/>
          <w:w w:val="100"/>
          <w:kern w:val="0"/>
          <w:position w:val="0"/>
          <w:szCs w:val="24"/>
          <w:highlight w:val="none"/>
          <w:lang w:eastAsia="zh-CN"/>
        </w:rPr>
        <w:t>堆粪棚</w:t>
      </w:r>
      <w:r>
        <w:rPr>
          <w:rFonts w:hint="default" w:ascii="Times New Roman" w:hAnsi="Times New Roman" w:eastAsia="宋体" w:cs="Times New Roman"/>
          <w:color w:val="auto"/>
          <w:spacing w:val="0"/>
          <w:w w:val="100"/>
          <w:kern w:val="0"/>
          <w:position w:val="0"/>
          <w:szCs w:val="24"/>
          <w:highlight w:val="none"/>
        </w:rPr>
        <w:t>等加入对粪污进行降解除臭的特定微生物菌；污水处理区各类池体加盖封闭，加强周边绿化、喷洒除臭剂；饲养过程需科学管理、调配饲料等措施治理恶臭</w:t>
      </w:r>
      <w:r>
        <w:rPr>
          <w:rFonts w:hint="default" w:ascii="Times New Roman" w:hAnsi="Times New Roman" w:eastAsia="宋体" w:cs="Times New Roman"/>
          <w:color w:val="auto"/>
          <w:spacing w:val="0"/>
          <w:w w:val="100"/>
          <w:kern w:val="0"/>
          <w:position w:val="0"/>
          <w:szCs w:val="24"/>
          <w:highlight w:val="none"/>
          <w:lang w:eastAsia="zh-CN"/>
        </w:rPr>
        <w:t>；</w:t>
      </w:r>
      <w:r>
        <w:rPr>
          <w:rFonts w:hint="default" w:ascii="Times New Roman" w:hAnsi="Times New Roman" w:eastAsia="宋体" w:cs="Times New Roman"/>
          <w:bCs/>
          <w:color w:val="auto"/>
          <w:spacing w:val="0"/>
          <w:w w:val="100"/>
          <w:kern w:val="0"/>
          <w:position w:val="0"/>
          <w:sz w:val="24"/>
          <w:highlight w:val="none"/>
        </w:rPr>
        <w:t>本项目建设地下结构污水处理站，且对各个污水处理池采取加盖封闭，同时定期喷洒除臭剂抑制恶臭的产生，加强污水处理系统周围的绿化等措施</w:t>
      </w:r>
      <w:r>
        <w:rPr>
          <w:rFonts w:hint="default" w:ascii="Times New Roman" w:hAnsi="Times New Roman" w:eastAsia="宋体" w:cs="Times New Roman"/>
          <w:color w:val="auto"/>
          <w:spacing w:val="0"/>
          <w:w w:val="100"/>
          <w:kern w:val="0"/>
          <w:position w:val="0"/>
          <w:szCs w:val="24"/>
          <w:highlight w:val="none"/>
        </w:rPr>
        <w:t>。</w:t>
      </w:r>
      <w:r>
        <w:rPr>
          <w:rFonts w:hint="default" w:ascii="Times New Roman" w:hAnsi="Times New Roman" w:eastAsia="宋体" w:cs="Times New Roman"/>
          <w:color w:val="auto"/>
          <w:spacing w:val="0"/>
          <w:w w:val="100"/>
          <w:kern w:val="0"/>
          <w:position w:val="0"/>
          <w:highlight w:val="none"/>
        </w:rPr>
        <w:t>通过对同类别企业废气污染物产生情况的调查，项目臭气污染排放以NH</w:t>
      </w:r>
      <w:r>
        <w:rPr>
          <w:rFonts w:hint="default" w:ascii="Times New Roman" w:hAnsi="Times New Roman" w:eastAsia="宋体" w:cs="Times New Roman"/>
          <w:color w:val="auto"/>
          <w:spacing w:val="0"/>
          <w:w w:val="100"/>
          <w:kern w:val="0"/>
          <w:position w:val="0"/>
          <w:highlight w:val="none"/>
          <w:vertAlign w:val="subscript"/>
        </w:rPr>
        <w:t>3</w:t>
      </w:r>
      <w:r>
        <w:rPr>
          <w:rFonts w:hint="default" w:ascii="Times New Roman" w:hAnsi="Times New Roman" w:eastAsia="宋体" w:cs="Times New Roman"/>
          <w:color w:val="auto"/>
          <w:spacing w:val="0"/>
          <w:w w:val="100"/>
          <w:kern w:val="0"/>
          <w:position w:val="0"/>
          <w:highlight w:val="none"/>
        </w:rPr>
        <w:t>和H</w:t>
      </w:r>
      <w:r>
        <w:rPr>
          <w:rFonts w:hint="default" w:ascii="Times New Roman" w:hAnsi="Times New Roman" w:eastAsia="宋体" w:cs="Times New Roman"/>
          <w:color w:val="auto"/>
          <w:spacing w:val="0"/>
          <w:w w:val="100"/>
          <w:kern w:val="0"/>
          <w:position w:val="0"/>
          <w:highlight w:val="none"/>
          <w:vertAlign w:val="subscript"/>
        </w:rPr>
        <w:t>2</w:t>
      </w:r>
      <w:r>
        <w:rPr>
          <w:rFonts w:hint="default" w:ascii="Times New Roman" w:hAnsi="Times New Roman" w:eastAsia="宋体" w:cs="Times New Roman"/>
          <w:color w:val="auto"/>
          <w:spacing w:val="0"/>
          <w:w w:val="100"/>
          <w:kern w:val="0"/>
          <w:position w:val="0"/>
          <w:highlight w:val="none"/>
        </w:rPr>
        <w:t>S浓度为有效源强计算，</w:t>
      </w:r>
      <w:r>
        <w:rPr>
          <w:rFonts w:hint="default" w:ascii="Times New Roman" w:hAnsi="Times New Roman" w:eastAsia="宋体" w:cs="Times New Roman"/>
          <w:color w:val="auto"/>
          <w:spacing w:val="0"/>
          <w:w w:val="100"/>
          <w:kern w:val="0"/>
          <w:position w:val="0"/>
          <w:szCs w:val="24"/>
          <w:highlight w:val="none"/>
        </w:rPr>
        <w:t>恶臭气体</w:t>
      </w:r>
      <w:r>
        <w:rPr>
          <w:rFonts w:hint="default" w:ascii="Times New Roman" w:hAnsi="Times New Roman" w:eastAsia="宋体" w:cs="Times New Roman"/>
          <w:snapToGrid w:val="0"/>
          <w:color w:val="auto"/>
          <w:spacing w:val="0"/>
          <w:w w:val="100"/>
          <w:kern w:val="0"/>
          <w:position w:val="0"/>
          <w:szCs w:val="24"/>
          <w:highlight w:val="none"/>
        </w:rPr>
        <w:t>NH</w:t>
      </w:r>
      <w:r>
        <w:rPr>
          <w:rFonts w:hint="default" w:ascii="Times New Roman" w:hAnsi="Times New Roman" w:eastAsia="宋体" w:cs="Times New Roman"/>
          <w:snapToGrid w:val="0"/>
          <w:color w:val="auto"/>
          <w:spacing w:val="0"/>
          <w:w w:val="100"/>
          <w:kern w:val="0"/>
          <w:position w:val="0"/>
          <w:szCs w:val="24"/>
          <w:highlight w:val="none"/>
          <w:vertAlign w:val="subscript"/>
        </w:rPr>
        <w:t>3</w:t>
      </w:r>
      <w:r>
        <w:rPr>
          <w:rFonts w:hint="default" w:ascii="Times New Roman" w:hAnsi="Times New Roman" w:eastAsia="宋体" w:cs="Times New Roman"/>
          <w:snapToGrid w:val="0"/>
          <w:color w:val="auto"/>
          <w:spacing w:val="0"/>
          <w:w w:val="100"/>
          <w:kern w:val="0"/>
          <w:position w:val="0"/>
          <w:szCs w:val="24"/>
          <w:highlight w:val="none"/>
        </w:rPr>
        <w:t>、H</w:t>
      </w:r>
      <w:r>
        <w:rPr>
          <w:rFonts w:hint="default" w:ascii="Times New Roman" w:hAnsi="Times New Roman" w:eastAsia="宋体" w:cs="Times New Roman"/>
          <w:snapToGrid w:val="0"/>
          <w:color w:val="auto"/>
          <w:spacing w:val="0"/>
          <w:w w:val="100"/>
          <w:kern w:val="0"/>
          <w:position w:val="0"/>
          <w:szCs w:val="24"/>
          <w:highlight w:val="none"/>
          <w:vertAlign w:val="subscript"/>
        </w:rPr>
        <w:t>2</w:t>
      </w:r>
      <w:r>
        <w:rPr>
          <w:rFonts w:hint="default" w:ascii="Times New Roman" w:hAnsi="Times New Roman" w:eastAsia="宋体" w:cs="Times New Roman"/>
          <w:snapToGrid w:val="0"/>
          <w:color w:val="auto"/>
          <w:spacing w:val="0"/>
          <w:w w:val="100"/>
          <w:kern w:val="0"/>
          <w:position w:val="0"/>
          <w:szCs w:val="24"/>
          <w:highlight w:val="none"/>
        </w:rPr>
        <w:t>S可</w:t>
      </w:r>
      <w:r>
        <w:rPr>
          <w:rFonts w:hint="default" w:ascii="Times New Roman" w:hAnsi="Times New Roman" w:eastAsia="宋体" w:cs="Times New Roman"/>
          <w:color w:val="auto"/>
          <w:spacing w:val="0"/>
          <w:w w:val="100"/>
          <w:kern w:val="0"/>
          <w:position w:val="0"/>
          <w:highlight w:val="none"/>
          <w:lang w:val="zh-CN"/>
        </w:rPr>
        <w:t>满足《恶臭污染物排放标准》（GB14554-93）表</w:t>
      </w:r>
      <w:r>
        <w:rPr>
          <w:rFonts w:hint="default" w:ascii="Times New Roman" w:hAnsi="Times New Roman" w:eastAsia="宋体" w:cs="Times New Roman"/>
          <w:color w:val="auto"/>
          <w:spacing w:val="0"/>
          <w:w w:val="100"/>
          <w:kern w:val="0"/>
          <w:position w:val="0"/>
          <w:highlight w:val="none"/>
          <w:lang w:val="en-US" w:eastAsia="zh-CN"/>
        </w:rPr>
        <w:t>1</w:t>
      </w:r>
      <w:r>
        <w:rPr>
          <w:rFonts w:hint="default" w:ascii="Times New Roman" w:hAnsi="Times New Roman" w:eastAsia="宋体" w:cs="Times New Roman"/>
          <w:color w:val="auto"/>
          <w:spacing w:val="0"/>
          <w:w w:val="100"/>
          <w:kern w:val="0"/>
          <w:position w:val="0"/>
          <w:highlight w:val="none"/>
          <w:lang w:val="zh-CN"/>
        </w:rPr>
        <w:t>中的二级标准（新改扩建）</w:t>
      </w:r>
      <w:r>
        <w:rPr>
          <w:rFonts w:hint="default" w:ascii="Times New Roman" w:hAnsi="Times New Roman" w:eastAsia="宋体" w:cs="Times New Roman"/>
          <w:snapToGrid w:val="0"/>
          <w:color w:val="auto"/>
          <w:spacing w:val="0"/>
          <w:w w:val="100"/>
          <w:kern w:val="0"/>
          <w:position w:val="0"/>
          <w:szCs w:val="24"/>
          <w:highlight w:val="none"/>
        </w:rPr>
        <w:t>，臭气浓度可满足《畜禽养殖业污染物排放标准》（GB18596-2001）的标准</w:t>
      </w:r>
      <w:r>
        <w:rPr>
          <w:rFonts w:hint="default" w:ascii="Times New Roman" w:hAnsi="Times New Roman" w:eastAsia="宋体" w:cs="Times New Roman"/>
          <w:color w:val="auto"/>
          <w:spacing w:val="0"/>
          <w:w w:val="100"/>
          <w:kern w:val="0"/>
          <w:position w:val="0"/>
          <w:highlight w:val="none"/>
        </w:rPr>
        <w:t>。</w:t>
      </w:r>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highlight w:val="none"/>
        </w:rPr>
      </w:pPr>
      <w:r>
        <w:rPr>
          <w:rFonts w:hint="default" w:ascii="Times New Roman" w:hAnsi="Times New Roman" w:eastAsia="宋体" w:cs="Times New Roman"/>
          <w:color w:val="auto"/>
          <w:spacing w:val="0"/>
          <w:w w:val="100"/>
          <w:kern w:val="0"/>
          <w:position w:val="0"/>
          <w:highlight w:val="none"/>
        </w:rPr>
        <w:t>⑵饲料加工粉尘</w:t>
      </w:r>
    </w:p>
    <w:p>
      <w:pPr>
        <w:pStyle w:val="59"/>
        <w:widowControl w:val="0"/>
        <w:spacing w:line="360" w:lineRule="auto"/>
        <w:ind w:firstLine="480"/>
        <w:jc w:val="both"/>
        <w:rPr>
          <w:rFonts w:hint="default" w:ascii="Times New Roman" w:hAnsi="Times New Roman" w:eastAsia="宋体" w:cs="Times New Roman"/>
          <w:bCs/>
          <w:color w:val="auto"/>
          <w:spacing w:val="0"/>
          <w:w w:val="100"/>
          <w:kern w:val="0"/>
          <w:position w:val="0"/>
          <w:highlight w:val="none"/>
        </w:rPr>
      </w:pPr>
      <w:r>
        <w:rPr>
          <w:rFonts w:hint="default" w:ascii="Times New Roman" w:hAnsi="Times New Roman" w:eastAsia="宋体" w:cs="Times New Roman"/>
          <w:bCs/>
          <w:color w:val="auto"/>
          <w:spacing w:val="0"/>
          <w:w w:val="100"/>
          <w:kern w:val="0"/>
          <w:position w:val="0"/>
          <w:highlight w:val="none"/>
        </w:rPr>
        <w:t>本项目粉尘主要来自于厂内饲料加工，饲料加工粉碎在半封闭式厂房内进行，采用日粮混合机进行湿润搅拌，设备自带除尘设施，因此，饲料加工过程中产生的粉尘量极少，对周围环境影响较小。粉尘经布袋除尘器处理后，满足《大气污染物综合排放标准》（GB16297-1996）中二级标准。</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410" w:name="_Toc2273"/>
      <w:bookmarkStart w:id="1411" w:name="_Toc2133"/>
      <w:bookmarkStart w:id="1412" w:name="_Toc21177"/>
      <w:bookmarkStart w:id="1413" w:name="_Toc26435"/>
      <w:r>
        <w:rPr>
          <w:rFonts w:hint="default" w:ascii="Times New Roman" w:hAnsi="Times New Roman" w:eastAsia="宋体" w:cs="Times New Roman"/>
          <w:snapToGrid w:val="0"/>
          <w:color w:val="auto"/>
          <w:spacing w:val="0"/>
          <w:w w:val="100"/>
          <w:kern w:val="0"/>
          <w:position w:val="0"/>
          <w:sz w:val="28"/>
          <w:szCs w:val="28"/>
          <w:highlight w:val="none"/>
          <w:lang w:val="en-US" w:eastAsia="zh-CN"/>
        </w:rPr>
        <w:t>10.6.2废水治理措施与达标排放可行性</w:t>
      </w:r>
      <w:bookmarkEnd w:id="1410"/>
      <w:bookmarkEnd w:id="1411"/>
      <w:bookmarkEnd w:id="1412"/>
      <w:bookmarkEnd w:id="1413"/>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lang w:val="zh-CN"/>
        </w:rPr>
        <w:t>本项目废水主要为职工生活污水、挤奶厅、奶缸等设施清洗废水、挤奶厅地面冲洗</w:t>
      </w:r>
      <w:r>
        <w:rPr>
          <w:rFonts w:hint="default" w:ascii="Times New Roman" w:hAnsi="Times New Roman" w:eastAsia="宋体" w:cs="Times New Roman"/>
          <w:color w:val="auto"/>
          <w:spacing w:val="0"/>
          <w:w w:val="100"/>
          <w:kern w:val="0"/>
          <w:position w:val="0"/>
          <w:sz w:val="24"/>
          <w:highlight w:val="none"/>
          <w:lang w:val="zh-CN" w:eastAsia="zh-CN"/>
        </w:rPr>
        <w:t>废水、</w:t>
      </w:r>
      <w:r>
        <w:rPr>
          <w:rFonts w:hint="default" w:ascii="Times New Roman" w:hAnsi="Times New Roman" w:eastAsia="宋体" w:cs="Times New Roman"/>
          <w:color w:val="auto"/>
          <w:spacing w:val="0"/>
          <w:w w:val="100"/>
          <w:kern w:val="0"/>
          <w:position w:val="0"/>
          <w:sz w:val="24"/>
          <w:highlight w:val="none"/>
          <w:lang w:val="zh-CN"/>
        </w:rPr>
        <w:t>牛槽清洗废水。上述废水经场区</w:t>
      </w:r>
      <w:r>
        <w:rPr>
          <w:rFonts w:hint="default" w:ascii="Times New Roman" w:hAnsi="Times New Roman" w:eastAsia="宋体" w:cs="Times New Roman"/>
          <w:color w:val="auto"/>
          <w:spacing w:val="0"/>
          <w:w w:val="100"/>
          <w:kern w:val="0"/>
          <w:position w:val="0"/>
          <w:sz w:val="24"/>
          <w:highlight w:val="none"/>
        </w:rPr>
        <w:t>拟自建处理能力</w:t>
      </w:r>
      <w:r>
        <w:rPr>
          <w:rFonts w:hint="default" w:ascii="Times New Roman" w:hAnsi="Times New Roman" w:cs="Times New Roman"/>
          <w:color w:val="auto"/>
          <w:spacing w:val="0"/>
          <w:w w:val="100"/>
          <w:kern w:val="0"/>
          <w:position w:val="0"/>
          <w:sz w:val="24"/>
          <w:highlight w:val="none"/>
          <w:lang w:val="en-US" w:eastAsia="zh-CN"/>
        </w:rPr>
        <w:t>100</w:t>
      </w:r>
      <w:r>
        <w:rPr>
          <w:rFonts w:hint="default" w:ascii="Times New Roman" w:hAnsi="Times New Roman" w:eastAsia="宋体" w:cs="Times New Roman"/>
          <w:color w:val="auto"/>
          <w:spacing w:val="0"/>
          <w:w w:val="100"/>
          <w:kern w:val="0"/>
          <w:position w:val="0"/>
          <w:sz w:val="24"/>
          <w:highlight w:val="none"/>
        </w:rPr>
        <w:t>m</w:t>
      </w:r>
      <w:r>
        <w:rPr>
          <w:rFonts w:hint="default" w:ascii="Times New Roman" w:hAnsi="Times New Roman" w:eastAsia="宋体" w:cs="Times New Roman"/>
          <w:color w:val="auto"/>
          <w:spacing w:val="0"/>
          <w:w w:val="100"/>
          <w:kern w:val="0"/>
          <w:position w:val="0"/>
          <w:sz w:val="24"/>
          <w:highlight w:val="none"/>
          <w:vertAlign w:val="superscript"/>
        </w:rPr>
        <w:t>3</w:t>
      </w:r>
      <w:r>
        <w:rPr>
          <w:rFonts w:hint="default" w:ascii="Times New Roman" w:hAnsi="Times New Roman" w:eastAsia="宋体" w:cs="Times New Roman"/>
          <w:color w:val="auto"/>
          <w:spacing w:val="0"/>
          <w:w w:val="100"/>
          <w:kern w:val="0"/>
          <w:position w:val="0"/>
          <w:sz w:val="24"/>
          <w:highlight w:val="none"/>
        </w:rPr>
        <w:t>/d的污水处理站处理，采用</w:t>
      </w:r>
      <w:r>
        <w:rPr>
          <w:rFonts w:hint="default" w:ascii="Times New Roman" w:hAnsi="Times New Roman" w:eastAsia="宋体" w:cs="Times New Roman"/>
          <w:color w:val="auto"/>
          <w:spacing w:val="0"/>
          <w:w w:val="100"/>
          <w:kern w:val="0"/>
          <w:position w:val="0"/>
          <w:sz w:val="24"/>
          <w:highlight w:val="none"/>
          <w:lang w:eastAsia="zh-CN"/>
        </w:rPr>
        <w:t>“初沉池+调节池+压滤机+中间水池+A/O/O反应池+二沉池+消毒池+氧化塘”</w:t>
      </w:r>
      <w:r>
        <w:rPr>
          <w:rFonts w:hint="default" w:ascii="Times New Roman" w:hAnsi="Times New Roman" w:eastAsia="宋体" w:cs="Times New Roman"/>
          <w:color w:val="auto"/>
          <w:spacing w:val="0"/>
          <w:w w:val="100"/>
          <w:kern w:val="0"/>
          <w:position w:val="0"/>
          <w:sz w:val="24"/>
          <w:highlight w:val="none"/>
        </w:rPr>
        <w:t>无害化处理工艺，出水水质满足《农田灌溉水质标准》（GB5084-2005）中</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旱作</w:t>
      </w:r>
      <w:r>
        <w:rPr>
          <w:rFonts w:hint="default" w:ascii="Times New Roman" w:hAnsi="Times New Roman" w:eastAsia="宋体" w:cs="Times New Roman"/>
          <w:color w:val="auto"/>
          <w:spacing w:val="0"/>
          <w:w w:val="100"/>
          <w:kern w:val="0"/>
          <w:position w:val="0"/>
          <w:sz w:val="24"/>
          <w:highlight w:val="none"/>
          <w:lang w:eastAsia="zh-CN"/>
        </w:rPr>
        <w:t>”</w:t>
      </w:r>
      <w:r>
        <w:rPr>
          <w:rFonts w:hint="default" w:ascii="Times New Roman" w:hAnsi="Times New Roman" w:eastAsia="宋体" w:cs="Times New Roman"/>
          <w:color w:val="auto"/>
          <w:spacing w:val="0"/>
          <w:w w:val="100"/>
          <w:kern w:val="0"/>
          <w:position w:val="0"/>
          <w:sz w:val="24"/>
          <w:highlight w:val="none"/>
        </w:rPr>
        <w:t>标准，用于</w:t>
      </w:r>
      <w:r>
        <w:rPr>
          <w:rFonts w:hint="eastAsia" w:ascii="Times New Roman" w:hAnsi="Times New Roman" w:cs="Times New Roman"/>
          <w:color w:val="auto"/>
          <w:spacing w:val="0"/>
          <w:w w:val="100"/>
          <w:kern w:val="0"/>
          <w:position w:val="0"/>
          <w:sz w:val="24"/>
          <w:highlight w:val="none"/>
          <w:lang w:eastAsia="zh-CN"/>
        </w:rPr>
        <w:t>周边农田灌溉</w:t>
      </w:r>
      <w:r>
        <w:rPr>
          <w:rFonts w:hint="default" w:ascii="Times New Roman" w:hAnsi="Times New Roman" w:eastAsia="宋体" w:cs="Times New Roman"/>
          <w:color w:val="auto"/>
          <w:spacing w:val="0"/>
          <w:w w:val="100"/>
          <w:kern w:val="0"/>
          <w:position w:val="0"/>
          <w:sz w:val="24"/>
          <w:highlight w:val="none"/>
        </w:rPr>
        <w:t>。</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highlight w:val="none"/>
          <w:lang w:val="zh-CN"/>
        </w:rPr>
      </w:pPr>
      <w:r>
        <w:rPr>
          <w:rFonts w:hint="default" w:ascii="Times New Roman" w:hAnsi="Times New Roman" w:eastAsia="宋体" w:cs="Times New Roman"/>
          <w:color w:val="auto"/>
          <w:spacing w:val="0"/>
          <w:w w:val="100"/>
          <w:kern w:val="0"/>
          <w:position w:val="0"/>
          <w:sz w:val="24"/>
          <w:highlight w:val="none"/>
        </w:rPr>
        <w:t>综上，本项目采取的废水治理措施可行。</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414" w:name="_Toc27519"/>
      <w:bookmarkStart w:id="1415" w:name="_Toc10192"/>
      <w:bookmarkStart w:id="1416" w:name="_Toc32658"/>
      <w:r>
        <w:rPr>
          <w:rFonts w:hint="default" w:ascii="Times New Roman" w:hAnsi="Times New Roman" w:eastAsia="宋体" w:cs="Times New Roman"/>
          <w:snapToGrid w:val="0"/>
          <w:color w:val="auto"/>
          <w:spacing w:val="0"/>
          <w:w w:val="100"/>
          <w:kern w:val="0"/>
          <w:position w:val="0"/>
          <w:sz w:val="28"/>
          <w:szCs w:val="28"/>
          <w:highlight w:val="none"/>
          <w:lang w:val="en-US" w:eastAsia="zh-CN"/>
        </w:rPr>
        <w:t>10.6.3环境噪声污染防治措施与达标排放的可行性</w:t>
      </w:r>
      <w:bookmarkEnd w:id="1414"/>
      <w:bookmarkEnd w:id="1415"/>
      <w:bookmarkEnd w:id="1416"/>
    </w:p>
    <w:p>
      <w:pPr>
        <w:pStyle w:val="59"/>
        <w:widowControl w:val="0"/>
        <w:spacing w:line="360" w:lineRule="auto"/>
        <w:ind w:firstLine="480"/>
        <w:jc w:val="both"/>
        <w:rPr>
          <w:rFonts w:hint="default" w:ascii="Times New Roman" w:hAnsi="Times New Roman" w:eastAsia="宋体" w:cs="Times New Roman"/>
          <w:color w:val="auto"/>
          <w:spacing w:val="0"/>
          <w:w w:val="100"/>
          <w:kern w:val="0"/>
          <w:position w:val="0"/>
          <w:szCs w:val="24"/>
          <w:highlight w:val="none"/>
          <w:lang w:val="zh-CN"/>
        </w:rPr>
      </w:pPr>
      <w:r>
        <w:rPr>
          <w:rFonts w:hint="default" w:ascii="Times New Roman" w:hAnsi="Times New Roman" w:eastAsia="宋体" w:cs="Times New Roman"/>
          <w:color w:val="auto"/>
          <w:spacing w:val="0"/>
          <w:w w:val="100"/>
          <w:kern w:val="0"/>
          <w:position w:val="0"/>
          <w:szCs w:val="22"/>
          <w:highlight w:val="none"/>
        </w:rPr>
        <w:t>本项目噪声主要来自TMR搅拌站内饲料配料混合设备、粉碎机、水泵及牛群活动叫声等。</w:t>
      </w:r>
      <w:r>
        <w:rPr>
          <w:rFonts w:hint="default" w:ascii="Times New Roman" w:hAnsi="Times New Roman" w:eastAsia="宋体" w:cs="Times New Roman"/>
          <w:color w:val="auto"/>
          <w:spacing w:val="0"/>
          <w:w w:val="100"/>
          <w:kern w:val="0"/>
          <w:position w:val="0"/>
          <w:szCs w:val="24"/>
          <w:highlight w:val="none"/>
        </w:rPr>
        <w:t>噪声声级在60~90dB（A）。</w:t>
      </w:r>
      <w:r>
        <w:rPr>
          <w:rFonts w:hint="default" w:ascii="Times New Roman" w:hAnsi="Times New Roman" w:eastAsia="宋体" w:cs="Times New Roman"/>
          <w:color w:val="auto"/>
          <w:spacing w:val="0"/>
          <w:w w:val="100"/>
          <w:kern w:val="0"/>
          <w:position w:val="0"/>
          <w:szCs w:val="24"/>
          <w:highlight w:val="none"/>
          <w:lang w:val="zh-CN"/>
        </w:rPr>
        <w:t>针对不同噪声源采用隔声、消声、合理布局等治理措施。</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根据监测结果，采取有效的减振降噪措施后，前述主要生产设备噪声源衰减至厂界外1m的噪声值，噪声符合《工业企业厂界环境噪声排放标准》（GB12348-2008）</w:t>
      </w:r>
      <w:r>
        <w:rPr>
          <w:rFonts w:hint="default" w:ascii="Times New Roman" w:hAnsi="Times New Roman" w:eastAsia="宋体" w:cs="Times New Roman"/>
          <w:color w:val="auto"/>
          <w:spacing w:val="0"/>
          <w:w w:val="100"/>
          <w:kern w:val="0"/>
          <w:position w:val="0"/>
          <w:sz w:val="24"/>
          <w:highlight w:val="none"/>
          <w:lang w:val="en-US" w:eastAsia="zh-CN"/>
        </w:rPr>
        <w:t>1</w:t>
      </w:r>
      <w:r>
        <w:rPr>
          <w:rFonts w:hint="default" w:ascii="Times New Roman" w:hAnsi="Times New Roman" w:eastAsia="宋体" w:cs="Times New Roman"/>
          <w:color w:val="auto"/>
          <w:spacing w:val="0"/>
          <w:w w:val="100"/>
          <w:kern w:val="0"/>
          <w:position w:val="0"/>
          <w:sz w:val="24"/>
          <w:highlight w:val="none"/>
        </w:rPr>
        <w:t>类声环境功能区标准要求。</w:t>
      </w:r>
    </w:p>
    <w:p>
      <w:pPr>
        <w:pStyle w:val="44"/>
        <w:keepNext/>
        <w:keepLines/>
        <w:pageBreakBefore w:val="0"/>
        <w:widowControl/>
        <w:tabs>
          <w:tab w:val="left" w:pos="284"/>
        </w:tabs>
        <w:kinsoku/>
        <w:wordWrap/>
        <w:overflowPunct/>
        <w:topLinePunct w:val="0"/>
        <w:autoSpaceDE/>
        <w:autoSpaceDN/>
        <w:bidi w:val="0"/>
        <w:adjustRightInd/>
        <w:snapToGrid w:val="0"/>
        <w:spacing w:before="156" w:beforeLines="50" w:after="156" w:afterLines="50"/>
        <w:contextualSpacing/>
        <w:textAlignment w:val="auto"/>
        <w:outlineLvl w:val="2"/>
        <w:rPr>
          <w:rFonts w:hint="default" w:ascii="Times New Roman" w:hAnsi="Times New Roman" w:eastAsia="宋体" w:cs="Times New Roman"/>
          <w:snapToGrid w:val="0"/>
          <w:color w:val="auto"/>
          <w:spacing w:val="0"/>
          <w:w w:val="100"/>
          <w:kern w:val="0"/>
          <w:position w:val="0"/>
          <w:sz w:val="28"/>
          <w:szCs w:val="28"/>
          <w:highlight w:val="none"/>
          <w:lang w:val="en-US" w:eastAsia="zh-CN"/>
        </w:rPr>
      </w:pPr>
      <w:bookmarkStart w:id="1417" w:name="_Toc29627"/>
      <w:bookmarkStart w:id="1418" w:name="_Toc18430"/>
      <w:bookmarkStart w:id="1419" w:name="_Toc32333"/>
      <w:r>
        <w:rPr>
          <w:rFonts w:hint="default" w:ascii="Times New Roman" w:hAnsi="Times New Roman" w:eastAsia="宋体" w:cs="Times New Roman"/>
          <w:snapToGrid w:val="0"/>
          <w:color w:val="auto"/>
          <w:spacing w:val="0"/>
          <w:w w:val="100"/>
          <w:kern w:val="0"/>
          <w:position w:val="0"/>
          <w:sz w:val="28"/>
          <w:szCs w:val="28"/>
          <w:highlight w:val="none"/>
          <w:lang w:val="en-US" w:eastAsia="zh-CN"/>
        </w:rPr>
        <w:t>10.6.4固体废物产生及处理、处置情况</w:t>
      </w:r>
      <w:bookmarkEnd w:id="1417"/>
      <w:bookmarkEnd w:id="1418"/>
      <w:bookmarkEnd w:id="1419"/>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本项目运营后，固体废物主要有</w:t>
      </w:r>
      <w:r>
        <w:rPr>
          <w:rFonts w:hint="default" w:ascii="Times New Roman" w:hAnsi="Times New Roman" w:eastAsia="宋体" w:cs="Times New Roman"/>
          <w:color w:val="auto"/>
          <w:spacing w:val="0"/>
          <w:w w:val="100"/>
          <w:kern w:val="0"/>
          <w:position w:val="0"/>
          <w:sz w:val="24"/>
          <w:szCs w:val="24"/>
          <w:highlight w:val="none"/>
        </w:rPr>
        <w:t>牛粪、病死牛尸体及胎盘、污水处理站污泥、兽医站少量医疗废物、除尘器</w:t>
      </w:r>
      <w:r>
        <w:rPr>
          <w:rFonts w:hint="default" w:ascii="Times New Roman" w:hAnsi="Times New Roman" w:eastAsia="宋体" w:cs="Times New Roman"/>
          <w:color w:val="auto"/>
          <w:spacing w:val="0"/>
          <w:w w:val="100"/>
          <w:kern w:val="0"/>
          <w:position w:val="0"/>
          <w:sz w:val="24"/>
          <w:szCs w:val="24"/>
          <w:highlight w:val="none"/>
          <w:lang w:eastAsia="zh-CN"/>
        </w:rPr>
        <w:t>收尘灰</w:t>
      </w:r>
      <w:r>
        <w:rPr>
          <w:rFonts w:hint="default" w:ascii="Times New Roman" w:hAnsi="Times New Roman" w:eastAsia="宋体" w:cs="Times New Roman"/>
          <w:color w:val="auto"/>
          <w:spacing w:val="0"/>
          <w:w w:val="100"/>
          <w:kern w:val="0"/>
          <w:position w:val="0"/>
          <w:sz w:val="24"/>
          <w:szCs w:val="24"/>
          <w:highlight w:val="none"/>
        </w:rPr>
        <w:t>及生活垃圾</w:t>
      </w:r>
      <w:r>
        <w:rPr>
          <w:rFonts w:hint="default" w:ascii="Times New Roman" w:hAnsi="Times New Roman" w:eastAsia="宋体" w:cs="Times New Roman"/>
          <w:color w:val="auto"/>
          <w:spacing w:val="0"/>
          <w:w w:val="100"/>
          <w:kern w:val="0"/>
          <w:position w:val="0"/>
          <w:sz w:val="24"/>
          <w:szCs w:val="22"/>
          <w:highlight w:val="none"/>
        </w:rPr>
        <w:t>等。</w:t>
      </w:r>
    </w:p>
    <w:p>
      <w:pPr>
        <w:pStyle w:val="16"/>
        <w:adjustRightInd w:val="0"/>
        <w:spacing w:line="360" w:lineRule="auto"/>
        <w:ind w:firstLine="480" w:firstLineChars="200"/>
        <w:jc w:val="both"/>
        <w:rPr>
          <w:rFonts w:hint="default" w:ascii="Times New Roman" w:hAnsi="Times New Roman" w:eastAsia="宋体" w:cs="Times New Roman"/>
          <w:color w:val="auto"/>
          <w:spacing w:val="0"/>
          <w:w w:val="100"/>
          <w:kern w:val="0"/>
          <w:position w:val="0"/>
          <w:sz w:val="24"/>
          <w:szCs w:val="22"/>
          <w:highlight w:val="none"/>
        </w:rPr>
      </w:pPr>
      <w:r>
        <w:rPr>
          <w:rFonts w:hint="default" w:ascii="Times New Roman" w:hAnsi="Times New Roman" w:eastAsia="宋体" w:cs="Times New Roman"/>
          <w:color w:val="auto"/>
          <w:spacing w:val="0"/>
          <w:w w:val="100"/>
          <w:kern w:val="0"/>
          <w:position w:val="0"/>
          <w:sz w:val="24"/>
          <w:szCs w:val="22"/>
          <w:highlight w:val="none"/>
        </w:rPr>
        <w:t>牛粪采取人工机械+人工干法清粪方式将粪便及时、单独清出，做到日产日清，处理后的牛粪存放于</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，出售给周边农户，还田利用，将其变废为宝，实现粪便无害化处置；运营期将病死牛尸体及胎盘</w:t>
      </w:r>
      <w:r>
        <w:rPr>
          <w:rFonts w:hint="default" w:ascii="Times New Roman" w:hAnsi="Times New Roman" w:eastAsia="宋体" w:cs="Times New Roman"/>
          <w:color w:val="auto"/>
          <w:spacing w:val="0"/>
          <w:w w:val="100"/>
          <w:kern w:val="0"/>
          <w:position w:val="0"/>
          <w:sz w:val="24"/>
          <w:szCs w:val="22"/>
          <w:highlight w:val="none"/>
          <w:lang w:eastAsia="zh-CN"/>
        </w:rPr>
        <w:t>由防疫部门</w:t>
      </w:r>
      <w:r>
        <w:rPr>
          <w:rFonts w:hint="default" w:ascii="Times New Roman" w:hAnsi="Times New Roman" w:eastAsia="宋体" w:cs="Times New Roman"/>
          <w:color w:val="auto"/>
          <w:spacing w:val="0"/>
          <w:w w:val="100"/>
          <w:kern w:val="0"/>
          <w:position w:val="0"/>
          <w:sz w:val="24"/>
          <w:szCs w:val="22"/>
          <w:highlight w:val="none"/>
        </w:rPr>
        <w:t>送</w:t>
      </w:r>
      <w:r>
        <w:rPr>
          <w:rFonts w:hint="default" w:ascii="Times New Roman" w:hAnsi="Times New Roman" w:eastAsia="宋体" w:cs="Times New Roman"/>
          <w:color w:val="auto"/>
          <w:spacing w:val="0"/>
          <w:w w:val="100"/>
          <w:kern w:val="0"/>
          <w:position w:val="0"/>
          <w:sz w:val="24"/>
          <w:szCs w:val="22"/>
          <w:highlight w:val="none"/>
          <w:lang w:eastAsia="zh-CN"/>
        </w:rPr>
        <w:t>至</w:t>
      </w:r>
      <w:r>
        <w:rPr>
          <w:rFonts w:hint="default" w:ascii="Times New Roman" w:hAnsi="Times New Roman" w:eastAsia="宋体" w:cs="Times New Roman"/>
          <w:color w:val="auto"/>
          <w:spacing w:val="0"/>
          <w:w w:val="100"/>
          <w:kern w:val="0"/>
          <w:position w:val="0"/>
          <w:sz w:val="24"/>
          <w:szCs w:val="22"/>
          <w:highlight w:val="none"/>
        </w:rPr>
        <w:t>无害化填埋场处置；污水处理站污泥污泥进行脱水处理后，运至</w:t>
      </w:r>
      <w:r>
        <w:rPr>
          <w:rFonts w:hint="default" w:ascii="Times New Roman" w:hAnsi="Times New Roman" w:cs="Times New Roman"/>
          <w:color w:val="auto"/>
          <w:spacing w:val="0"/>
          <w:w w:val="100"/>
          <w:kern w:val="0"/>
          <w:position w:val="0"/>
          <w:sz w:val="24"/>
          <w:szCs w:val="22"/>
          <w:highlight w:val="none"/>
          <w:lang w:eastAsia="zh-CN"/>
        </w:rPr>
        <w:t>堆粪棚</w:t>
      </w:r>
      <w:r>
        <w:rPr>
          <w:rFonts w:hint="default" w:ascii="Times New Roman" w:hAnsi="Times New Roman" w:eastAsia="宋体" w:cs="Times New Roman"/>
          <w:color w:val="auto"/>
          <w:spacing w:val="0"/>
          <w:w w:val="100"/>
          <w:kern w:val="0"/>
          <w:position w:val="0"/>
          <w:sz w:val="24"/>
          <w:szCs w:val="22"/>
          <w:highlight w:val="none"/>
        </w:rPr>
        <w:t>储存，与牛粪</w:t>
      </w:r>
      <w:r>
        <w:rPr>
          <w:rFonts w:hint="default" w:ascii="Times New Roman" w:hAnsi="Times New Roman" w:eastAsia="宋体" w:cs="Times New Roman"/>
          <w:color w:val="auto"/>
          <w:spacing w:val="0"/>
          <w:w w:val="100"/>
          <w:kern w:val="0"/>
          <w:position w:val="0"/>
          <w:sz w:val="24"/>
          <w:szCs w:val="22"/>
          <w:highlight w:val="none"/>
          <w:lang w:eastAsia="zh-CN"/>
        </w:rPr>
        <w:t>作为原料外售生产</w:t>
      </w:r>
      <w:r>
        <w:rPr>
          <w:rFonts w:hint="default" w:ascii="Times New Roman" w:hAnsi="Times New Roman" w:eastAsia="宋体" w:cs="Times New Roman"/>
          <w:color w:val="auto"/>
          <w:spacing w:val="0"/>
          <w:w w:val="100"/>
          <w:kern w:val="0"/>
          <w:position w:val="0"/>
          <w:sz w:val="24"/>
          <w:szCs w:val="22"/>
          <w:highlight w:val="none"/>
        </w:rPr>
        <w:t>有机肥；医疗废物属于危险废物，集中收集后委托有危废处理资质的单位集中处理；</w:t>
      </w:r>
      <w:r>
        <w:rPr>
          <w:rFonts w:hint="default" w:ascii="Times New Roman" w:hAnsi="Times New Roman" w:eastAsia="宋体" w:cs="Times New Roman"/>
          <w:color w:val="auto"/>
          <w:spacing w:val="0"/>
          <w:w w:val="100"/>
          <w:kern w:val="0"/>
          <w:position w:val="0"/>
          <w:sz w:val="24"/>
          <w:szCs w:val="24"/>
          <w:highlight w:val="none"/>
        </w:rPr>
        <w:t>除尘器</w:t>
      </w:r>
      <w:r>
        <w:rPr>
          <w:rFonts w:hint="default" w:ascii="Times New Roman" w:hAnsi="Times New Roman" w:eastAsia="宋体" w:cs="Times New Roman"/>
          <w:color w:val="auto"/>
          <w:spacing w:val="0"/>
          <w:w w:val="100"/>
          <w:kern w:val="0"/>
          <w:position w:val="0"/>
          <w:sz w:val="24"/>
          <w:szCs w:val="24"/>
          <w:highlight w:val="none"/>
          <w:lang w:eastAsia="zh-CN"/>
        </w:rPr>
        <w:t>收尘灰</w:t>
      </w:r>
      <w:r>
        <w:rPr>
          <w:rFonts w:hint="default" w:ascii="Times New Roman" w:hAnsi="Times New Roman" w:eastAsia="宋体" w:cs="Times New Roman"/>
          <w:color w:val="auto"/>
          <w:spacing w:val="0"/>
          <w:w w:val="100"/>
          <w:kern w:val="0"/>
          <w:position w:val="0"/>
          <w:sz w:val="24"/>
          <w:szCs w:val="22"/>
          <w:highlight w:val="none"/>
        </w:rPr>
        <w:t>全部重新混入原料中加工成饲料，回收利用</w:t>
      </w:r>
      <w:r>
        <w:rPr>
          <w:rFonts w:hint="default" w:ascii="Times New Roman" w:hAnsi="Times New Roman" w:eastAsia="宋体" w:cs="Times New Roman"/>
          <w:color w:val="auto"/>
          <w:spacing w:val="0"/>
          <w:w w:val="100"/>
          <w:kern w:val="0"/>
          <w:position w:val="0"/>
          <w:sz w:val="24"/>
          <w:szCs w:val="22"/>
          <w:highlight w:val="none"/>
          <w:lang w:eastAsia="zh-CN"/>
        </w:rPr>
        <w:t>；</w:t>
      </w:r>
      <w:r>
        <w:rPr>
          <w:rFonts w:hint="default" w:ascii="Times New Roman" w:hAnsi="Times New Roman" w:eastAsia="宋体" w:cs="Times New Roman"/>
          <w:color w:val="auto"/>
          <w:spacing w:val="0"/>
          <w:w w:val="100"/>
          <w:kern w:val="0"/>
          <w:position w:val="0"/>
          <w:sz w:val="24"/>
          <w:szCs w:val="22"/>
          <w:highlight w:val="none"/>
        </w:rPr>
        <w:t>生活垃圾收集后送至</w:t>
      </w:r>
      <w:r>
        <w:rPr>
          <w:rFonts w:hint="default" w:ascii="Times New Roman" w:hAnsi="Times New Roman" w:eastAsia="宋体" w:cs="Times New Roman"/>
          <w:color w:val="auto"/>
          <w:spacing w:val="0"/>
          <w:w w:val="100"/>
          <w:kern w:val="0"/>
          <w:position w:val="0"/>
          <w:sz w:val="24"/>
          <w:szCs w:val="22"/>
          <w:highlight w:val="none"/>
          <w:lang w:eastAsia="zh-CN"/>
        </w:rPr>
        <w:t>附近</w:t>
      </w:r>
      <w:r>
        <w:rPr>
          <w:rFonts w:hint="default" w:ascii="Times New Roman" w:hAnsi="Times New Roman" w:eastAsia="宋体" w:cs="Times New Roman"/>
          <w:color w:val="auto"/>
          <w:spacing w:val="0"/>
          <w:w w:val="100"/>
          <w:kern w:val="0"/>
          <w:position w:val="0"/>
          <w:sz w:val="24"/>
          <w:szCs w:val="22"/>
          <w:highlight w:val="none"/>
        </w:rPr>
        <w:t>生活垃圾填埋场处理。</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rPr>
      </w:pPr>
      <w:r>
        <w:rPr>
          <w:rFonts w:hint="default" w:ascii="Times New Roman" w:hAnsi="Times New Roman" w:eastAsia="宋体" w:cs="Times New Roman"/>
          <w:color w:val="auto"/>
          <w:spacing w:val="0"/>
          <w:w w:val="100"/>
          <w:kern w:val="0"/>
          <w:position w:val="0"/>
          <w:sz w:val="24"/>
          <w:highlight w:val="none"/>
        </w:rPr>
        <w:t>综上所述，本项目固体废物均综合利用或无害化处理，不外排。</w:t>
      </w:r>
    </w:p>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1420" w:name="_Toc28509"/>
      <w:bookmarkStart w:id="1421" w:name="_Toc19888"/>
      <w:bookmarkStart w:id="1422" w:name="_Toc18903"/>
      <w:bookmarkStart w:id="1423" w:name="_Toc23079"/>
      <w:bookmarkStart w:id="1424" w:name="_Toc32177"/>
      <w:bookmarkStart w:id="1425" w:name="_Toc7871"/>
      <w:bookmarkStart w:id="1426" w:name="_Toc5074"/>
      <w:r>
        <w:rPr>
          <w:rFonts w:hint="default" w:ascii="Times New Roman" w:hAnsi="Times New Roman" w:eastAsia="宋体" w:cs="Times New Roman"/>
          <w:snapToGrid w:val="0"/>
          <w:color w:val="auto"/>
          <w:spacing w:val="0"/>
          <w:w w:val="100"/>
          <w:kern w:val="0"/>
          <w:position w:val="0"/>
          <w:highlight w:val="none"/>
          <w:lang w:val="en-US" w:eastAsia="zh-CN"/>
        </w:rPr>
        <w:t>10.7公众参与</w:t>
      </w:r>
      <w:bookmarkEnd w:id="1420"/>
      <w:bookmarkEnd w:id="1421"/>
      <w:bookmarkEnd w:id="1422"/>
      <w:bookmarkEnd w:id="1423"/>
      <w:bookmarkEnd w:id="1424"/>
      <w:bookmarkEnd w:id="1425"/>
      <w:bookmarkEnd w:id="1426"/>
    </w:p>
    <w:p>
      <w:pPr>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rPr>
      </w:pPr>
      <w:bookmarkStart w:id="1427" w:name="_Toc1078"/>
      <w:bookmarkStart w:id="1428" w:name="_Toc21310"/>
      <w:bookmarkStart w:id="1429" w:name="_Toc14850"/>
      <w:bookmarkStart w:id="1430" w:name="_Toc21362"/>
      <w:bookmarkStart w:id="1431" w:name="_Toc21797"/>
      <w:bookmarkStart w:id="1432" w:name="_Toc18685"/>
      <w:bookmarkStart w:id="1433" w:name="_Toc4954"/>
      <w:bookmarkStart w:id="1434" w:name="_Toc28865"/>
      <w:bookmarkStart w:id="1435" w:name="_Toc13662"/>
      <w:r>
        <w:rPr>
          <w:rFonts w:hint="default" w:ascii="Times New Roman" w:hAnsi="Times New Roman" w:eastAsia="宋体" w:cs="Times New Roman"/>
          <w:snapToGrid w:val="0"/>
          <w:color w:val="auto"/>
          <w:spacing w:val="0"/>
          <w:w w:val="100"/>
          <w:kern w:val="0"/>
          <w:position w:val="0"/>
          <w:sz w:val="24"/>
          <w:szCs w:val="24"/>
        </w:rPr>
        <w:t>本次公众参与结论依据宁夏垣盛越农牧综合开发有限公司5000头奶牛扶贫养殖基地公众参与说明结论：2021年10月</w:t>
      </w:r>
      <w:r>
        <w:rPr>
          <w:rFonts w:hint="eastAsia" w:ascii="Times New Roman" w:hAnsi="Times New Roman" w:cs="Times New Roman"/>
          <w:snapToGrid w:val="0"/>
          <w:color w:val="auto"/>
          <w:spacing w:val="0"/>
          <w:w w:val="100"/>
          <w:kern w:val="0"/>
          <w:position w:val="0"/>
          <w:sz w:val="24"/>
          <w:szCs w:val="24"/>
          <w:lang w:val="en-US" w:eastAsia="zh-CN"/>
        </w:rPr>
        <w:t>9</w:t>
      </w:r>
      <w:r>
        <w:rPr>
          <w:rFonts w:hint="default" w:ascii="Times New Roman" w:hAnsi="Times New Roman" w:eastAsia="宋体" w:cs="Times New Roman"/>
          <w:snapToGrid w:val="0"/>
          <w:color w:val="auto"/>
          <w:spacing w:val="0"/>
          <w:w w:val="100"/>
          <w:kern w:val="0"/>
          <w:position w:val="0"/>
          <w:sz w:val="24"/>
          <w:szCs w:val="24"/>
        </w:rPr>
        <w:t>日委托宁夏锦润万鑫环境科技有限公司开展环境影响评价工作，</w:t>
      </w:r>
      <w:r>
        <w:rPr>
          <w:rFonts w:hint="eastAsia" w:ascii="Times New Roman" w:hAnsi="Times New Roman" w:cs="Times New Roman"/>
          <w:snapToGrid w:val="0"/>
          <w:color w:val="auto"/>
          <w:spacing w:val="0"/>
          <w:w w:val="100"/>
          <w:kern w:val="0"/>
          <w:position w:val="0"/>
          <w:sz w:val="24"/>
          <w:szCs w:val="24"/>
          <w:lang w:eastAsia="zh-CN"/>
        </w:rPr>
        <w:t>宁夏垣盛越农牧综合开发有限公司</w:t>
      </w:r>
      <w:r>
        <w:rPr>
          <w:rFonts w:hint="default" w:ascii="Times New Roman" w:hAnsi="Times New Roman" w:eastAsia="宋体" w:cs="Times New Roman"/>
          <w:snapToGrid w:val="0"/>
          <w:color w:val="auto"/>
          <w:spacing w:val="0"/>
          <w:w w:val="100"/>
          <w:kern w:val="0"/>
          <w:position w:val="0"/>
          <w:sz w:val="24"/>
          <w:szCs w:val="24"/>
        </w:rPr>
        <w:t>于2021年10月</w:t>
      </w:r>
      <w:r>
        <w:rPr>
          <w:rFonts w:hint="eastAsia" w:ascii="Times New Roman" w:hAnsi="Times New Roman" w:cs="Times New Roman"/>
          <w:snapToGrid w:val="0"/>
          <w:color w:val="auto"/>
          <w:spacing w:val="0"/>
          <w:w w:val="100"/>
          <w:kern w:val="0"/>
          <w:position w:val="0"/>
          <w:sz w:val="24"/>
          <w:szCs w:val="24"/>
          <w:lang w:val="en-US" w:eastAsia="zh-CN"/>
        </w:rPr>
        <w:t>13</w:t>
      </w:r>
      <w:r>
        <w:rPr>
          <w:rFonts w:hint="default" w:ascii="Times New Roman" w:hAnsi="Times New Roman" w:eastAsia="宋体" w:cs="Times New Roman"/>
          <w:snapToGrid w:val="0"/>
          <w:color w:val="auto"/>
          <w:spacing w:val="0"/>
          <w:w w:val="100"/>
          <w:kern w:val="0"/>
          <w:position w:val="0"/>
          <w:sz w:val="24"/>
          <w:szCs w:val="24"/>
        </w:rPr>
        <w:t>日在宁夏新闻上发布《</w:t>
      </w:r>
      <w:r>
        <w:rPr>
          <w:rFonts w:hint="eastAsia" w:ascii="Times New Roman" w:hAnsi="Times New Roman" w:cs="Times New Roman"/>
          <w:snapToGrid w:val="0"/>
          <w:color w:val="auto"/>
          <w:spacing w:val="0"/>
          <w:w w:val="100"/>
          <w:kern w:val="0"/>
          <w:position w:val="0"/>
          <w:sz w:val="24"/>
          <w:szCs w:val="24"/>
          <w:lang w:eastAsia="zh-CN"/>
        </w:rPr>
        <w:t>宁夏垣盛越农牧综合开发有限公司5000头奶牛扶贫养殖基地</w:t>
      </w:r>
      <w:r>
        <w:rPr>
          <w:rFonts w:hint="default" w:ascii="Times New Roman" w:hAnsi="Times New Roman" w:eastAsia="宋体" w:cs="Times New Roman"/>
          <w:snapToGrid w:val="0"/>
          <w:color w:val="auto"/>
          <w:spacing w:val="0"/>
          <w:w w:val="100"/>
          <w:kern w:val="0"/>
          <w:position w:val="0"/>
          <w:sz w:val="24"/>
          <w:szCs w:val="24"/>
        </w:rPr>
        <w:t>环境影响评价公众参与信息征集第一次公告》；在环评报告书初稿完成后，固原市羽欣华耀新材料科技有限公司于2021年</w:t>
      </w:r>
      <w:r>
        <w:rPr>
          <w:rFonts w:hint="eastAsia" w:ascii="Times New Roman" w:hAnsi="Times New Roman" w:cs="Times New Roman"/>
          <w:snapToGrid w:val="0"/>
          <w:color w:val="auto"/>
          <w:spacing w:val="0"/>
          <w:w w:val="100"/>
          <w:kern w:val="0"/>
          <w:position w:val="0"/>
          <w:sz w:val="24"/>
          <w:szCs w:val="24"/>
          <w:lang w:val="en-US" w:eastAsia="zh-CN"/>
        </w:rPr>
        <w:t>12</w:t>
      </w:r>
      <w:r>
        <w:rPr>
          <w:rFonts w:hint="default" w:ascii="Times New Roman" w:hAnsi="Times New Roman" w:eastAsia="宋体" w:cs="Times New Roman"/>
          <w:snapToGrid w:val="0"/>
          <w:color w:val="auto"/>
          <w:spacing w:val="0"/>
          <w:w w:val="100"/>
          <w:kern w:val="0"/>
          <w:position w:val="0"/>
          <w:sz w:val="24"/>
          <w:szCs w:val="24"/>
        </w:rPr>
        <w:t>月</w:t>
      </w:r>
      <w:r>
        <w:rPr>
          <w:rFonts w:hint="eastAsia" w:ascii="Times New Roman" w:hAnsi="Times New Roman" w:cs="Times New Roman"/>
          <w:snapToGrid w:val="0"/>
          <w:color w:val="auto"/>
          <w:spacing w:val="0"/>
          <w:w w:val="100"/>
          <w:kern w:val="0"/>
          <w:position w:val="0"/>
          <w:sz w:val="24"/>
          <w:szCs w:val="24"/>
          <w:lang w:val="en-US" w:eastAsia="zh-CN"/>
        </w:rPr>
        <w:t>22</w:t>
      </w:r>
      <w:r>
        <w:rPr>
          <w:rFonts w:hint="default" w:ascii="Times New Roman" w:hAnsi="Times New Roman" w:eastAsia="宋体" w:cs="Times New Roman"/>
          <w:snapToGrid w:val="0"/>
          <w:color w:val="auto"/>
          <w:spacing w:val="0"/>
          <w:w w:val="100"/>
          <w:kern w:val="0"/>
          <w:position w:val="0"/>
          <w:sz w:val="24"/>
          <w:szCs w:val="24"/>
        </w:rPr>
        <w:t>日在宁夏新闻网和《宁夏法制报》上进行了项目征求意见稿第一次公示，又于2021年12月</w:t>
      </w:r>
      <w:r>
        <w:rPr>
          <w:rFonts w:hint="eastAsia" w:ascii="Times New Roman" w:hAnsi="Times New Roman" w:cs="Times New Roman"/>
          <w:snapToGrid w:val="0"/>
          <w:color w:val="auto"/>
          <w:spacing w:val="0"/>
          <w:w w:val="100"/>
          <w:kern w:val="0"/>
          <w:position w:val="0"/>
          <w:sz w:val="24"/>
          <w:szCs w:val="24"/>
          <w:lang w:val="en-US" w:eastAsia="zh-CN"/>
        </w:rPr>
        <w:t>29</w:t>
      </w:r>
      <w:r>
        <w:rPr>
          <w:rFonts w:hint="default" w:ascii="Times New Roman" w:hAnsi="Times New Roman" w:eastAsia="宋体" w:cs="Times New Roman"/>
          <w:snapToGrid w:val="0"/>
          <w:color w:val="auto"/>
          <w:spacing w:val="0"/>
          <w:w w:val="100"/>
          <w:kern w:val="0"/>
          <w:position w:val="0"/>
          <w:sz w:val="24"/>
          <w:szCs w:val="24"/>
        </w:rPr>
        <w:t xml:space="preserve">日在《宁夏法制报》上进行了项目征求意见稿第二次公示，在征求意见稿公示的同时，在厂区外醒目位置张贴了公示。 </w:t>
      </w:r>
    </w:p>
    <w:p>
      <w:pPr>
        <w:spacing w:line="360" w:lineRule="auto"/>
        <w:ind w:firstLine="480" w:firstLineChars="200"/>
        <w:rPr>
          <w:rFonts w:hint="default" w:ascii="Times New Roman" w:hAnsi="Times New Roman" w:eastAsia="宋体"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rPr>
        <w:t>建设单位按照《环境影响评价公众参与办法》的相关要求开展了公众参与调查工作，在公示有效期内，未收到群众反馈的建设项目环境影响评价公众意见表。总体而言，本项目的建设最终得到了广大公众的了解与支持。</w:t>
      </w:r>
    </w:p>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1436" w:name="_Toc9239"/>
      <w:bookmarkStart w:id="1437" w:name="_Toc20758"/>
      <w:r>
        <w:rPr>
          <w:rFonts w:hint="default" w:ascii="Times New Roman" w:hAnsi="Times New Roman" w:eastAsia="宋体" w:cs="Times New Roman"/>
          <w:snapToGrid w:val="0"/>
          <w:color w:val="auto"/>
          <w:spacing w:val="0"/>
          <w:w w:val="100"/>
          <w:kern w:val="0"/>
          <w:position w:val="0"/>
          <w:highlight w:val="none"/>
          <w:lang w:val="en-US" w:eastAsia="zh-CN"/>
        </w:rPr>
        <w:t>10.8结论</w:t>
      </w:r>
      <w:bookmarkEnd w:id="1427"/>
      <w:bookmarkEnd w:id="1428"/>
      <w:bookmarkEnd w:id="1429"/>
      <w:bookmarkEnd w:id="1430"/>
      <w:bookmarkEnd w:id="1431"/>
      <w:bookmarkEnd w:id="1432"/>
      <w:bookmarkEnd w:id="1433"/>
      <w:bookmarkEnd w:id="1434"/>
      <w:bookmarkEnd w:id="1435"/>
      <w:bookmarkEnd w:id="1436"/>
      <w:bookmarkEnd w:id="1437"/>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lang w:val="zh-CN"/>
        </w:rPr>
        <w:t>综上所述，本项目建设符合国家及地方有关产业政策，选址合理。其污染防治措施比较完善可行并达标排放，项目的实施对周围环境影响较小；污染物排放总量能够满足环境容量要求；具有较好的社会效益和经济效益，有利于带动地方经济的发展。在严格执行“三同时”制度、落实本报告书提出的各项环保措施的前提下，从环境保护角度分析，本项目的建设是可行的。</w:t>
      </w:r>
    </w:p>
    <w:p>
      <w:pPr>
        <w:pStyle w:val="43"/>
        <w:snapToGrid w:val="0"/>
        <w:spacing w:before="156" w:beforeLines="50" w:after="156" w:afterLines="50"/>
        <w:contextualSpacing/>
        <w:outlineLvl w:val="0"/>
        <w:rPr>
          <w:rFonts w:hint="default" w:ascii="Times New Roman" w:hAnsi="Times New Roman" w:eastAsia="宋体" w:cs="Times New Roman"/>
          <w:snapToGrid w:val="0"/>
          <w:color w:val="auto"/>
          <w:spacing w:val="0"/>
          <w:w w:val="100"/>
          <w:kern w:val="0"/>
          <w:position w:val="0"/>
          <w:highlight w:val="none"/>
          <w:lang w:val="en-US" w:eastAsia="zh-CN"/>
        </w:rPr>
      </w:pPr>
      <w:bookmarkStart w:id="1438" w:name="_Toc25454"/>
      <w:bookmarkStart w:id="1439" w:name="_Toc433"/>
      <w:bookmarkStart w:id="1440" w:name="_Toc9813"/>
      <w:bookmarkStart w:id="1441" w:name="_Toc24393"/>
      <w:bookmarkStart w:id="1442" w:name="_Toc9988"/>
      <w:bookmarkStart w:id="1443" w:name="_Toc9237"/>
      <w:bookmarkStart w:id="1444" w:name="_Toc15802"/>
      <w:bookmarkStart w:id="1445" w:name="_Toc18974"/>
      <w:bookmarkStart w:id="1446" w:name="_Toc14498"/>
      <w:bookmarkStart w:id="1447" w:name="_Toc23386"/>
      <w:bookmarkStart w:id="1448" w:name="_Toc30217"/>
      <w:r>
        <w:rPr>
          <w:rFonts w:hint="default" w:ascii="Times New Roman" w:hAnsi="Times New Roman" w:eastAsia="宋体" w:cs="Times New Roman"/>
          <w:snapToGrid w:val="0"/>
          <w:color w:val="auto"/>
          <w:spacing w:val="0"/>
          <w:w w:val="100"/>
          <w:kern w:val="0"/>
          <w:position w:val="0"/>
          <w:highlight w:val="none"/>
          <w:lang w:val="en-US" w:eastAsia="zh-CN"/>
        </w:rPr>
        <w:t>10.9建议</w:t>
      </w:r>
      <w:bookmarkEnd w:id="1438"/>
      <w:bookmarkEnd w:id="1439"/>
      <w:bookmarkEnd w:id="1440"/>
      <w:bookmarkEnd w:id="1441"/>
      <w:bookmarkEnd w:id="1442"/>
      <w:bookmarkEnd w:id="1443"/>
      <w:bookmarkEnd w:id="1444"/>
      <w:bookmarkEnd w:id="1445"/>
      <w:bookmarkEnd w:id="1446"/>
      <w:bookmarkEnd w:id="1447"/>
      <w:bookmarkEnd w:id="1448"/>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1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lang w:val="zh-CN"/>
        </w:rPr>
        <w:t>⑴</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lang w:val="zh-CN"/>
        </w:rPr>
        <w:t>制定全厂环境管理和生产制度章程；设专职环境管理人员，按本报告书中的要求认真落实环境监测计划，负责开展日常的环境监测工作，统计整理有关环境监测资料，并上报地方环保部门，若发现问题，及时采取措施，防止发生环境污染；检查监督污染治理处理装置的运行、维修等管理情况；</w:t>
      </w:r>
    </w:p>
    <w:p>
      <w:pPr>
        <w:adjustRightInd w:val="0"/>
        <w:snapToGrid w:val="0"/>
        <w:spacing w:line="360" w:lineRule="auto"/>
        <w:ind w:firstLine="480" w:firstLineChars="200"/>
        <w:jc w:val="both"/>
        <w:rPr>
          <w:rFonts w:hint="default" w:ascii="Times New Roman" w:hAnsi="Times New Roman" w:eastAsia="宋体" w:cs="Times New Roman"/>
          <w:color w:val="auto"/>
          <w:spacing w:val="0"/>
          <w:w w:val="100"/>
          <w:kern w:val="0"/>
          <w:position w:val="0"/>
          <w:sz w:val="24"/>
          <w:highlight w:val="none"/>
          <w:lang w:val="zh-CN"/>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2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lang w:val="zh-CN"/>
        </w:rPr>
        <w:t>⑵</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lang w:val="zh-CN"/>
        </w:rPr>
        <w:t>在设备选型上，要认真考查和论证，选用先进的低噪声设备，保证工程正常运行的同时，最大限度地减少各种污染物的产生，减轻项目对环境的影响；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w w:val="100"/>
          <w:kern w:val="0"/>
          <w:position w:val="0"/>
          <w:lang w:eastAsia="zh-CN"/>
        </w:rPr>
      </w:pPr>
      <w:r>
        <w:rPr>
          <w:rFonts w:hint="default" w:ascii="Times New Roman" w:hAnsi="Times New Roman" w:eastAsia="宋体" w:cs="Times New Roman"/>
          <w:color w:val="auto"/>
          <w:spacing w:val="0"/>
          <w:w w:val="100"/>
          <w:kern w:val="0"/>
          <w:position w:val="0"/>
          <w:sz w:val="24"/>
          <w:highlight w:val="none"/>
        </w:rPr>
        <w:fldChar w:fldCharType="begin"/>
      </w:r>
      <w:r>
        <w:rPr>
          <w:rFonts w:hint="default" w:ascii="Times New Roman" w:hAnsi="Times New Roman" w:eastAsia="宋体" w:cs="Times New Roman"/>
          <w:color w:val="auto"/>
          <w:spacing w:val="0"/>
          <w:w w:val="100"/>
          <w:kern w:val="0"/>
          <w:position w:val="0"/>
          <w:sz w:val="24"/>
          <w:highlight w:val="none"/>
        </w:rPr>
        <w:instrText xml:space="preserve"> = 3 \* GB2 \* MERGEFORMAT </w:instrText>
      </w:r>
      <w:r>
        <w:rPr>
          <w:rFonts w:hint="default" w:ascii="Times New Roman" w:hAnsi="Times New Roman" w:eastAsia="宋体" w:cs="Times New Roman"/>
          <w:color w:val="auto"/>
          <w:spacing w:val="0"/>
          <w:w w:val="100"/>
          <w:kern w:val="0"/>
          <w:position w:val="0"/>
          <w:sz w:val="24"/>
          <w:highlight w:val="none"/>
        </w:rPr>
        <w:fldChar w:fldCharType="separate"/>
      </w:r>
      <w:r>
        <w:rPr>
          <w:rFonts w:hint="default" w:ascii="Times New Roman" w:hAnsi="Times New Roman" w:eastAsia="宋体" w:cs="Times New Roman"/>
          <w:color w:val="auto"/>
          <w:spacing w:val="0"/>
          <w:w w:val="100"/>
          <w:kern w:val="0"/>
          <w:position w:val="0"/>
          <w:sz w:val="24"/>
          <w:highlight w:val="none"/>
          <w:lang w:val="zh-CN"/>
        </w:rPr>
        <w:t>⑶</w:t>
      </w:r>
      <w:r>
        <w:rPr>
          <w:rFonts w:hint="default" w:ascii="Times New Roman" w:hAnsi="Times New Roman" w:eastAsia="宋体" w:cs="Times New Roman"/>
          <w:color w:val="auto"/>
          <w:spacing w:val="0"/>
          <w:w w:val="100"/>
          <w:kern w:val="0"/>
          <w:position w:val="0"/>
          <w:sz w:val="24"/>
          <w:highlight w:val="none"/>
        </w:rPr>
        <w:fldChar w:fldCharType="end"/>
      </w:r>
      <w:r>
        <w:rPr>
          <w:rFonts w:hint="default" w:ascii="Times New Roman" w:hAnsi="Times New Roman" w:eastAsia="宋体" w:cs="Times New Roman"/>
          <w:color w:val="auto"/>
          <w:spacing w:val="0"/>
          <w:w w:val="100"/>
          <w:kern w:val="0"/>
          <w:position w:val="0"/>
          <w:sz w:val="24"/>
          <w:highlight w:val="none"/>
          <w:lang w:val="zh-CN"/>
        </w:rPr>
        <w:t>搞好</w:t>
      </w:r>
      <w:r>
        <w:rPr>
          <w:rFonts w:hint="eastAsia" w:ascii="Times New Roman" w:hAnsi="Times New Roman" w:cs="Times New Roman"/>
          <w:color w:val="auto"/>
          <w:spacing w:val="0"/>
          <w:w w:val="100"/>
          <w:kern w:val="0"/>
          <w:position w:val="0"/>
          <w:sz w:val="24"/>
          <w:highlight w:val="none"/>
          <w:lang w:val="zh-CN"/>
        </w:rPr>
        <w:t>牛舍</w:t>
      </w:r>
      <w:r>
        <w:rPr>
          <w:rFonts w:hint="default" w:ascii="Times New Roman" w:hAnsi="Times New Roman" w:eastAsia="宋体" w:cs="Times New Roman"/>
          <w:color w:val="auto"/>
          <w:spacing w:val="0"/>
          <w:w w:val="100"/>
          <w:kern w:val="0"/>
          <w:position w:val="0"/>
          <w:sz w:val="24"/>
          <w:highlight w:val="none"/>
          <w:lang w:val="zh-CN"/>
        </w:rPr>
        <w:t>内卫生，发现有牛病死或因其它意外致死的，要及时清理消毒，并设置专用防疫通道输送，防止牛群交叉感染。</w:t>
      </w:r>
    </w:p>
    <w:sectPr>
      <w:footerReference r:id="rId18" w:type="default"/>
      <w:pgSz w:w="11906" w:h="16838"/>
      <w:pgMar w:top="1587"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MingLiU">
    <w:panose1 w:val="02020509000000000000"/>
    <w:charset w:val="88"/>
    <w:family w:val="modern"/>
    <w:pitch w:val="default"/>
    <w:sig w:usb0="A00002FF" w:usb1="28CFFCFA" w:usb2="00000016" w:usb3="00000000" w:csb0="00100001" w:csb1="00000000"/>
  </w:font>
  <w:font w:name="Arial Unicode MS">
    <w:panose1 w:val="020B0604020202020204"/>
    <w:charset w:val="86"/>
    <w:family w:val="roman"/>
    <w:pitch w:val="default"/>
    <w:sig w:usb0="FFFFFFFF" w:usb1="E9FFFFFF" w:usb2="0000003F" w:usb3="00000000" w:csb0="603F01FF" w:csb1="FFFF0000"/>
  </w:font>
  <w:font w:name="Sylfaen">
    <w:panose1 w:val="010A0502050306030303"/>
    <w:charset w:val="00"/>
    <w:family w:val="roman"/>
    <w:pitch w:val="default"/>
    <w:sig w:usb0="04000687" w:usb1="00000000" w:usb2="00000000" w:usb3="00000000" w:csb0="2000009F"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idowControl w:val="0"/>
      <w:pBdr>
        <w:top w:val="none" w:color="auto" w:sz="0" w:space="1"/>
        <w:left w:val="none" w:color="auto" w:sz="0" w:space="4"/>
        <w:bottom w:val="none" w:color="auto" w:sz="0" w:space="1"/>
        <w:right w:val="none" w:color="auto" w:sz="0" w:space="4"/>
        <w:between w:val="none" w:color="auto" w:sz="0" w:space="0"/>
      </w:pBdr>
      <w:snapToGrid w:val="0"/>
      <w:jc w:val="distribute"/>
      <w:rPr>
        <w:rFonts w:hint="eastAsia"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idowControl w:val="0"/>
      <w:pBdr>
        <w:top w:val="thinThickSmallGap" w:color="auto" w:sz="12" w:space="1"/>
        <w:left w:val="none" w:color="auto" w:sz="0" w:space="4"/>
        <w:bottom w:val="none" w:color="auto" w:sz="0" w:space="1"/>
        <w:right w:val="none" w:color="auto" w:sz="0" w:space="4"/>
        <w:between w:val="none" w:color="auto" w:sz="0" w:space="0"/>
      </w:pBdr>
      <w:snapToGrid w:val="0"/>
      <w:jc w:val="distribute"/>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idowControl w:val="0"/>
      <w:pBdr>
        <w:top w:val="thinThickSmallGap" w:color="auto" w:sz="12" w:space="1"/>
        <w:left w:val="none" w:color="auto" w:sz="0" w:space="4"/>
        <w:bottom w:val="none" w:color="auto" w:sz="0" w:space="1"/>
        <w:right w:val="none" w:color="auto" w:sz="0" w:space="4"/>
        <w:between w:val="none" w:color="auto" w:sz="0" w:space="0"/>
      </w:pBdr>
      <w:snapToGrid w:val="0"/>
      <w:jc w:val="distribute"/>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XVII</w:t>
                          </w:r>
                          <w:r>
                            <w:rPr>
                              <w:rFonts w:hint="default"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XVII</w:t>
                    </w:r>
                    <w:r>
                      <w:rPr>
                        <w:rFonts w:hint="default" w:ascii="Times New Roman" w:hAnsi="Times New Roman" w:eastAsia="宋体" w:cs="Times New Roman"/>
                      </w:rPr>
                      <w:fldChar w:fldCharType="end"/>
                    </w:r>
                  </w:p>
                </w:txbxContent>
              </v:textbox>
            </v:shape>
          </w:pict>
        </mc:Fallback>
      </mc:AlternateConten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thinThickSmallGap" w:color="auto" w:sz="12"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CLXXIX</w:t>
                          </w:r>
                          <w:r>
                            <w:rPr>
                              <w:rFonts w:hint="default"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CLXXIX</w:t>
                    </w:r>
                    <w:r>
                      <w:rPr>
                        <w:rFonts w:hint="default" w:ascii="Times New Roman" w:hAnsi="Times New Roman" w:eastAsia="宋体"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idowControl w:val="0"/>
      <w:pBdr>
        <w:top w:val="none" w:color="auto" w:sz="0" w:space="1"/>
        <w:left w:val="none" w:color="auto" w:sz="0" w:space="4"/>
        <w:bottom w:val="thickThinSmallGap" w:color="auto" w:sz="12" w:space="1"/>
        <w:right w:val="none" w:color="auto" w:sz="0" w:space="4"/>
        <w:between w:val="none" w:color="auto" w:sz="0" w:space="0"/>
      </w:pBdr>
      <w:snapToGrid w:val="0"/>
      <w:spacing w:line="240" w:lineRule="auto"/>
      <w:contextualSpacing/>
      <w:jc w:val="left"/>
      <w:outlineLvl w:val="9"/>
      <w:rPr>
        <w:rFonts w:hint="default" w:ascii="Times New Roman" w:hAnsi="Times New Roman" w:cs="Times New Roman"/>
      </w:rPr>
    </w:pPr>
    <w:r>
      <w:rPr>
        <w:rFonts w:hint="default" w:ascii="Times New Roman" w:hAnsi="Times New Roman" w:cs="Times New Roman"/>
        <w:b/>
        <w:i w:val="0"/>
        <w:iCs/>
        <w:lang w:val="en-US" w:eastAsia="zh-CN"/>
      </w:rPr>
      <w:t>宁夏垣盛越农牧综合开发有限公司</w:t>
    </w:r>
    <w:r>
      <w:rPr>
        <w:rFonts w:hint="eastAsia" w:ascii="Times New Roman" w:hAnsi="Times New Roman" w:cs="Times New Roman"/>
        <w:b/>
        <w:i w:val="0"/>
        <w:iCs/>
        <w:lang w:val="en-US" w:eastAsia="zh-CN"/>
      </w:rPr>
      <w:t>5000头奶牛扶贫养殖基地</w:t>
    </w:r>
    <w:r>
      <w:rPr>
        <w:rFonts w:hint="default" w:ascii="Times New Roman" w:hAnsi="Times New Roman" w:cs="Times New Roman"/>
        <w:b/>
        <w:i w:val="0"/>
        <w:iCs/>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rFonts w:hint="eastAsia"/>
        <w:b/>
        <w:i w:val="0"/>
        <w:iCs/>
        <w:sz w:val="18"/>
        <w:szCs w:val="18"/>
        <w:lang w:val="en-US" w:eastAsia="zh-CN"/>
      </w:rPr>
      <w:t xml:space="preserve">          </w:t>
    </w:r>
    <w:r>
      <w:rPr>
        <w:b/>
        <w:i w:val="0"/>
        <w:iCs/>
        <w:sz w:val="18"/>
        <w:szCs w:val="18"/>
      </w:rPr>
      <w:t>环境影响报告书</w:t>
    </w:r>
    <w:r>
      <w:rPr>
        <w:rFonts w:hint="eastAsia"/>
        <w:b/>
        <w:i/>
        <w:lang w:val="en-US" w:eastAsia="zh-CN"/>
      </w:rPr>
      <w:t xml:space="preserve">                                  </w:t>
    </w:r>
    <w:r>
      <w:rPr>
        <w:rFonts w:hint="eastAsia"/>
        <w:b/>
        <w:i/>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b/>
        <w:i w:val="0"/>
        <w:iCs/>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idowControl w:val="0"/>
      <w:pBdr>
        <w:top w:val="none" w:color="auto" w:sz="0" w:space="1"/>
        <w:left w:val="none" w:color="auto" w:sz="0" w:space="4"/>
        <w:bottom w:val="thickThinSmallGap" w:color="auto" w:sz="12" w:space="1"/>
        <w:right w:val="none" w:color="auto" w:sz="0" w:space="4"/>
        <w:between w:val="none" w:color="auto" w:sz="0" w:space="0"/>
      </w:pBdr>
      <w:snapToGrid w:val="0"/>
      <w:spacing w:line="240" w:lineRule="auto"/>
      <w:contextualSpacing/>
      <w:jc w:val="left"/>
      <w:outlineLvl w:val="9"/>
      <w:rPr>
        <w:rFonts w:hint="default" w:ascii="Times New Roman" w:hAnsi="Times New Roman" w:cs="Times New Roman"/>
        <w:b w:val="0"/>
        <w:bCs/>
      </w:rPr>
    </w:pPr>
    <w:r>
      <w:rPr>
        <w:rFonts w:hint="default" w:ascii="Times New Roman" w:hAnsi="Times New Roman" w:cs="Times New Roman"/>
        <w:b w:val="0"/>
        <w:bCs/>
        <w:i w:val="0"/>
        <w:iCs/>
        <w:lang w:val="en-US" w:eastAsia="zh-CN"/>
      </w:rPr>
      <w:t>宁夏垣盛越农牧综合开发有限公司</w:t>
    </w:r>
    <w:r>
      <w:rPr>
        <w:rFonts w:hint="eastAsia" w:ascii="Times New Roman" w:hAnsi="Times New Roman" w:cs="Times New Roman"/>
        <w:b w:val="0"/>
        <w:bCs/>
        <w:i w:val="0"/>
        <w:iCs/>
        <w:lang w:val="en-US" w:eastAsia="zh-CN"/>
      </w:rPr>
      <w:t>5000头奶牛扶贫养殖基地</w:t>
    </w:r>
    <w:r>
      <w:rPr>
        <w:rFonts w:hint="default" w:ascii="Times New Roman" w:hAnsi="Times New Roman" w:cs="Times New Roman"/>
        <w:b w:val="0"/>
        <w:bCs/>
        <w:i w:val="0"/>
        <w:iCs/>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idowControl w:val="0"/>
      <w:pBdr>
        <w:top w:val="none" w:color="auto" w:sz="0" w:space="1"/>
        <w:left w:val="none" w:color="auto" w:sz="0" w:space="4"/>
        <w:bottom w:val="thickThinSmallGap" w:color="auto" w:sz="12" w:space="1"/>
        <w:right w:val="none" w:color="auto" w:sz="0" w:space="4"/>
        <w:between w:val="none" w:color="auto" w:sz="0" w:space="0"/>
      </w:pBdr>
      <w:snapToGrid w:val="0"/>
      <w:spacing w:line="240" w:lineRule="auto"/>
      <w:contextualSpacing/>
      <w:jc w:val="left"/>
      <w:outlineLvl w:val="9"/>
    </w:pPr>
    <w:r>
      <w:rPr>
        <w:rFonts w:hint="eastAsia"/>
        <w:b/>
        <w:i w:val="0"/>
        <w:iCs/>
        <w:lang w:val="en-US" w:eastAsia="zh-CN"/>
      </w:rPr>
      <w:t>宁夏垣盛越农牧综合开发有限公司5000头奶牛扶贫养殖基地</w:t>
    </w:r>
    <w:r>
      <w:rPr>
        <w:b/>
        <w:i w:val="0"/>
        <w:iCs/>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rPr>
        <w:rFonts w:hint="default" w:ascii="Times New Roman" w:hAnsi="Times New Roman" w:cs="Times New Roman"/>
        <w:i w:val="0"/>
        <w:iCs/>
      </w:rPr>
    </w:pPr>
    <w:r>
      <w:rPr>
        <w:rFonts w:hint="default" w:ascii="Times New Roman" w:hAnsi="Times New Roman" w:cs="Times New Roman"/>
        <w:b/>
        <w:i w:val="0"/>
        <w:iCs/>
        <w:lang w:val="en-US" w:eastAsia="zh-CN"/>
      </w:rPr>
      <w:t>宁夏垣盛越农牧综合开发有限公司5000头奶牛扶贫养殖基地</w:t>
    </w:r>
    <w:r>
      <w:rPr>
        <w:rFonts w:hint="default" w:ascii="Times New Roman" w:hAnsi="Times New Roman" w:cs="Times New Roman"/>
        <w:b/>
        <w:i w:val="0"/>
        <w:iCs/>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rPr>
        <w:i w:val="0"/>
        <w:iCs/>
      </w:rPr>
    </w:pPr>
    <w:r>
      <w:rPr>
        <w:rFonts w:hint="eastAsia"/>
        <w:b/>
        <w:i w:val="0"/>
        <w:iCs/>
        <w:lang w:val="en-US" w:eastAsia="zh-CN"/>
      </w:rPr>
      <w:t>宁夏垣盛越农牧综合开发有限公司5000头奶牛扶贫养殖基地</w:t>
    </w:r>
    <w:r>
      <w:rPr>
        <w:b/>
        <w:i w:val="0"/>
        <w:iCs/>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b/>
        <w:i w:val="0"/>
        <w:iCs/>
      </w:rPr>
      <w:t>环境影响报告书</w:t>
    </w:r>
    <w:r>
      <w:rPr>
        <w:rFonts w:hint="eastAsia"/>
        <w:b/>
        <w:i w:val="0"/>
        <w:iCs/>
        <w:lang w:val="en-US" w:eastAsia="zh-CN"/>
      </w:rPr>
      <w:t xml:space="preserve"> </w:t>
    </w:r>
    <w:r>
      <w:rPr>
        <w:rFonts w:hint="eastAsia"/>
        <w:b/>
        <w:i/>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b/>
        <w:i w:val="0"/>
        <w:iCs/>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b/>
        <w:i w:val="0"/>
        <w:iCs/>
        <w:sz w:val="18"/>
        <w:szCs w:val="18"/>
      </w:rPr>
      <w:t>环境影响报告书</w:t>
    </w:r>
    <w:r>
      <w:rPr>
        <w:rFonts w:hint="eastAsia"/>
        <w:b/>
        <w:i w:val="0"/>
        <w:iCs/>
        <w:lang w:val="en-US" w:eastAsia="zh-CN"/>
      </w:rPr>
      <w:t xml:space="preserve">    </w:t>
    </w:r>
    <w:r>
      <w:rPr>
        <w:rFonts w:hint="eastAsia"/>
        <w:b/>
        <w:i/>
        <w:lang w:val="en-US" w:eastAsia="zh-CN"/>
      </w:rPr>
      <w:t xml:space="preserve">                                           </w:t>
    </w:r>
    <w:r>
      <w:rPr>
        <w:rFonts w:hint="eastAsia"/>
        <w:b/>
        <w:i/>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rPr>
        <w:rFonts w:hint="default"/>
        <w:lang w:val="en-US" w:eastAsia="zh-CN"/>
      </w:rPr>
    </w:pPr>
    <w:r>
      <w:rPr>
        <w:rFonts w:hint="eastAsia"/>
        <w:b/>
        <w:i w:val="0"/>
        <w:iCs/>
        <w:lang w:val="en-US" w:eastAsia="zh-CN"/>
      </w:rPr>
      <w:t>宁夏垣盛越农牧综合开发有限公司5000头奶牛扶贫养殖基地</w:t>
    </w:r>
    <w:r>
      <w:rPr>
        <w:b/>
        <w:i w:val="0"/>
        <w:iCs/>
        <w:sz w:val="18"/>
        <w:szCs w:val="18"/>
      </w:rPr>
      <w:t>环境影响报告书</w:t>
    </w:r>
    <w:r>
      <w:rPr>
        <w:rFonts w:hint="eastAsia"/>
        <w:b/>
        <w:i w:val="0"/>
        <w:iCs/>
        <w:lang w:val="en-US" w:eastAsia="zh-CN"/>
      </w:rPr>
      <w:t xml:space="preserve">    </w:t>
    </w:r>
    <w:r>
      <w:rPr>
        <w:rFonts w:hint="eastAsia"/>
        <w:b/>
        <w:i/>
        <w:lang w:val="en-US" w:eastAsia="zh-CN"/>
      </w:rPr>
      <w:t xml:space="preserve">                                           </w:t>
    </w:r>
    <w:r>
      <w:rPr>
        <w:rFonts w:hint="eastAsia"/>
        <w:b/>
        <w:i/>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8" w:space="1"/>
      </w:pBdr>
      <w:contextualSpacing/>
      <w:jc w:val="left"/>
    </w:pPr>
    <w:r>
      <w:rPr>
        <w:rFonts w:hint="eastAsia"/>
        <w:b/>
        <w:i w:val="0"/>
        <w:iCs/>
        <w:lang w:val="en-US" w:eastAsia="zh-CN"/>
      </w:rPr>
      <w:t>宁夏垣盛越农牧综合开发有限公司5000头奶牛扶贫养殖基地</w:t>
    </w:r>
    <w:r>
      <w:rPr>
        <w:rFonts w:hint="eastAsia"/>
        <w:b/>
        <w:i w:val="0"/>
        <w:iCs/>
        <w:sz w:val="18"/>
        <w:szCs w:val="18"/>
        <w:lang w:val="en-US" w:eastAsia="zh-CN"/>
      </w:rPr>
      <w:t xml:space="preserve">          </w:t>
    </w:r>
    <w:r>
      <w:rPr>
        <w:b/>
        <w:i w:val="0"/>
        <w:iCs/>
        <w:sz w:val="18"/>
        <w:szCs w:val="18"/>
      </w:rPr>
      <w:t>环境影响报告书</w:t>
    </w:r>
    <w:r>
      <w:rPr>
        <w:rFonts w:hint="eastAsia"/>
        <w:b/>
        <w:i/>
        <w:lang w:val="en-US" w:eastAsia="zh-CN"/>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A8E5F"/>
    <w:multiLevelType w:val="singleLevel"/>
    <w:tmpl w:val="82FA8E5F"/>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0ZjBhZjUwYWU3MDlkYjRiNjQ3NWE4MTI3NWQ2OGUifQ=="/>
  </w:docVars>
  <w:rsids>
    <w:rsidRoot w:val="00172A27"/>
    <w:rsid w:val="00AF22E5"/>
    <w:rsid w:val="00BE25A6"/>
    <w:rsid w:val="00DB097F"/>
    <w:rsid w:val="0110778F"/>
    <w:rsid w:val="016C5934"/>
    <w:rsid w:val="01CA47E6"/>
    <w:rsid w:val="01DE3F57"/>
    <w:rsid w:val="02033D04"/>
    <w:rsid w:val="02723420"/>
    <w:rsid w:val="0273028C"/>
    <w:rsid w:val="028A2699"/>
    <w:rsid w:val="0328795A"/>
    <w:rsid w:val="04214C18"/>
    <w:rsid w:val="05284C53"/>
    <w:rsid w:val="08D70685"/>
    <w:rsid w:val="092D2A11"/>
    <w:rsid w:val="099226CB"/>
    <w:rsid w:val="09CE2C82"/>
    <w:rsid w:val="0A880C7B"/>
    <w:rsid w:val="0AAA2B05"/>
    <w:rsid w:val="0B2224F0"/>
    <w:rsid w:val="0B9A79AB"/>
    <w:rsid w:val="0CC059EF"/>
    <w:rsid w:val="0D425A0D"/>
    <w:rsid w:val="0D6F1B57"/>
    <w:rsid w:val="0D962FF5"/>
    <w:rsid w:val="0DD41965"/>
    <w:rsid w:val="0DEB661E"/>
    <w:rsid w:val="0E3845FE"/>
    <w:rsid w:val="108E7DD3"/>
    <w:rsid w:val="10D4100B"/>
    <w:rsid w:val="11317CBE"/>
    <w:rsid w:val="11A85062"/>
    <w:rsid w:val="11BC2437"/>
    <w:rsid w:val="122513A0"/>
    <w:rsid w:val="12722FD0"/>
    <w:rsid w:val="12CD66D6"/>
    <w:rsid w:val="12D7289D"/>
    <w:rsid w:val="132A7012"/>
    <w:rsid w:val="135613B5"/>
    <w:rsid w:val="13994542"/>
    <w:rsid w:val="13F3449E"/>
    <w:rsid w:val="14433B3E"/>
    <w:rsid w:val="14DC3D4C"/>
    <w:rsid w:val="14E51060"/>
    <w:rsid w:val="1617341B"/>
    <w:rsid w:val="17766027"/>
    <w:rsid w:val="17C8229E"/>
    <w:rsid w:val="19786275"/>
    <w:rsid w:val="1A1505C2"/>
    <w:rsid w:val="1A8817C5"/>
    <w:rsid w:val="1A996B48"/>
    <w:rsid w:val="1B267E66"/>
    <w:rsid w:val="1B716621"/>
    <w:rsid w:val="1BC838F6"/>
    <w:rsid w:val="1C3418C6"/>
    <w:rsid w:val="1C5A2026"/>
    <w:rsid w:val="1C776F1C"/>
    <w:rsid w:val="1C7B6ADF"/>
    <w:rsid w:val="1CFD3E29"/>
    <w:rsid w:val="1D093FE8"/>
    <w:rsid w:val="1D7B4EC1"/>
    <w:rsid w:val="1D9A49E1"/>
    <w:rsid w:val="1DE704EB"/>
    <w:rsid w:val="1DEF1886"/>
    <w:rsid w:val="1E0B1DE1"/>
    <w:rsid w:val="1E5D4870"/>
    <w:rsid w:val="1E705786"/>
    <w:rsid w:val="1EC2760A"/>
    <w:rsid w:val="1ECF4A45"/>
    <w:rsid w:val="1F197E4A"/>
    <w:rsid w:val="1F8A514C"/>
    <w:rsid w:val="1FDB3D58"/>
    <w:rsid w:val="20645901"/>
    <w:rsid w:val="208D17E7"/>
    <w:rsid w:val="21413E7A"/>
    <w:rsid w:val="21517F57"/>
    <w:rsid w:val="21950BA4"/>
    <w:rsid w:val="22F643EA"/>
    <w:rsid w:val="240E2B74"/>
    <w:rsid w:val="25907F2C"/>
    <w:rsid w:val="25D85408"/>
    <w:rsid w:val="278C2FDB"/>
    <w:rsid w:val="27CD35B1"/>
    <w:rsid w:val="27D212BE"/>
    <w:rsid w:val="27E90941"/>
    <w:rsid w:val="286A5C4D"/>
    <w:rsid w:val="28CE13A4"/>
    <w:rsid w:val="2979353F"/>
    <w:rsid w:val="29996868"/>
    <w:rsid w:val="29C9277F"/>
    <w:rsid w:val="2BD6125F"/>
    <w:rsid w:val="2BF55E99"/>
    <w:rsid w:val="2C1312CD"/>
    <w:rsid w:val="2C3D7CBB"/>
    <w:rsid w:val="2C763E2A"/>
    <w:rsid w:val="2C83526D"/>
    <w:rsid w:val="2CB13D55"/>
    <w:rsid w:val="2D806ADB"/>
    <w:rsid w:val="2DAC6C23"/>
    <w:rsid w:val="2DBA46E1"/>
    <w:rsid w:val="2EFE629C"/>
    <w:rsid w:val="2F9A78FB"/>
    <w:rsid w:val="324F473B"/>
    <w:rsid w:val="32C10694"/>
    <w:rsid w:val="33291293"/>
    <w:rsid w:val="346B6E1F"/>
    <w:rsid w:val="347C348D"/>
    <w:rsid w:val="34B10996"/>
    <w:rsid w:val="34C51ABB"/>
    <w:rsid w:val="358643F0"/>
    <w:rsid w:val="35A00FB4"/>
    <w:rsid w:val="3688241B"/>
    <w:rsid w:val="37221023"/>
    <w:rsid w:val="37A575F9"/>
    <w:rsid w:val="38172AB3"/>
    <w:rsid w:val="384F6FED"/>
    <w:rsid w:val="389C487D"/>
    <w:rsid w:val="39601F66"/>
    <w:rsid w:val="399571E3"/>
    <w:rsid w:val="39CE3001"/>
    <w:rsid w:val="3ACE77E2"/>
    <w:rsid w:val="3B1D2F53"/>
    <w:rsid w:val="3BE2758C"/>
    <w:rsid w:val="3C007B4B"/>
    <w:rsid w:val="3C125FAA"/>
    <w:rsid w:val="3D1950F0"/>
    <w:rsid w:val="3D347205"/>
    <w:rsid w:val="3D3F35E9"/>
    <w:rsid w:val="3E0C5614"/>
    <w:rsid w:val="3E91472C"/>
    <w:rsid w:val="3EC4224A"/>
    <w:rsid w:val="3F0C1B1E"/>
    <w:rsid w:val="3FD05B9C"/>
    <w:rsid w:val="40867F6F"/>
    <w:rsid w:val="40960C38"/>
    <w:rsid w:val="40C50CD0"/>
    <w:rsid w:val="40FB5634"/>
    <w:rsid w:val="410125AA"/>
    <w:rsid w:val="41321721"/>
    <w:rsid w:val="41915D37"/>
    <w:rsid w:val="41EC142E"/>
    <w:rsid w:val="42E8750F"/>
    <w:rsid w:val="43541ECB"/>
    <w:rsid w:val="441C1B40"/>
    <w:rsid w:val="442828D8"/>
    <w:rsid w:val="4482116C"/>
    <w:rsid w:val="44C54716"/>
    <w:rsid w:val="452A348D"/>
    <w:rsid w:val="45B77465"/>
    <w:rsid w:val="468B5401"/>
    <w:rsid w:val="46A70CEA"/>
    <w:rsid w:val="46AA3212"/>
    <w:rsid w:val="46CB0C5F"/>
    <w:rsid w:val="46EC4678"/>
    <w:rsid w:val="47770DD0"/>
    <w:rsid w:val="47AB2469"/>
    <w:rsid w:val="47D82767"/>
    <w:rsid w:val="487E445C"/>
    <w:rsid w:val="489E0D41"/>
    <w:rsid w:val="4B181949"/>
    <w:rsid w:val="4BB31C04"/>
    <w:rsid w:val="4C5B0ADC"/>
    <w:rsid w:val="4C900220"/>
    <w:rsid w:val="4D5D491F"/>
    <w:rsid w:val="4D880848"/>
    <w:rsid w:val="4E6D4A5D"/>
    <w:rsid w:val="4EB021C3"/>
    <w:rsid w:val="4EC831D7"/>
    <w:rsid w:val="4F54024C"/>
    <w:rsid w:val="4F594151"/>
    <w:rsid w:val="505F2995"/>
    <w:rsid w:val="51413C92"/>
    <w:rsid w:val="51AE24FB"/>
    <w:rsid w:val="52CD79EB"/>
    <w:rsid w:val="55296859"/>
    <w:rsid w:val="554D2267"/>
    <w:rsid w:val="56475764"/>
    <w:rsid w:val="56525808"/>
    <w:rsid w:val="567F79D9"/>
    <w:rsid w:val="568E7C66"/>
    <w:rsid w:val="576F0515"/>
    <w:rsid w:val="576F1B5B"/>
    <w:rsid w:val="57D106C4"/>
    <w:rsid w:val="581B6CB2"/>
    <w:rsid w:val="593C29D6"/>
    <w:rsid w:val="598F383F"/>
    <w:rsid w:val="5992670E"/>
    <w:rsid w:val="5A02337C"/>
    <w:rsid w:val="5A2F25B2"/>
    <w:rsid w:val="5A311F32"/>
    <w:rsid w:val="5A417F8B"/>
    <w:rsid w:val="5A435854"/>
    <w:rsid w:val="5A5A2931"/>
    <w:rsid w:val="5AF22DA0"/>
    <w:rsid w:val="5B163611"/>
    <w:rsid w:val="5B4B7107"/>
    <w:rsid w:val="5B511639"/>
    <w:rsid w:val="5B5A12B3"/>
    <w:rsid w:val="5C5F2E74"/>
    <w:rsid w:val="5CAF2DEC"/>
    <w:rsid w:val="5D285C24"/>
    <w:rsid w:val="5D660D3F"/>
    <w:rsid w:val="5DC90E21"/>
    <w:rsid w:val="5E707C71"/>
    <w:rsid w:val="5F3A530E"/>
    <w:rsid w:val="5F40250A"/>
    <w:rsid w:val="607C7EB9"/>
    <w:rsid w:val="60BC01F8"/>
    <w:rsid w:val="60C24B03"/>
    <w:rsid w:val="61356C6D"/>
    <w:rsid w:val="616230DA"/>
    <w:rsid w:val="61C52D52"/>
    <w:rsid w:val="61EC3281"/>
    <w:rsid w:val="61F3406F"/>
    <w:rsid w:val="626A4394"/>
    <w:rsid w:val="627B6EEA"/>
    <w:rsid w:val="628A4A3F"/>
    <w:rsid w:val="62AB71B2"/>
    <w:rsid w:val="62E76DC2"/>
    <w:rsid w:val="631222F5"/>
    <w:rsid w:val="63C1780F"/>
    <w:rsid w:val="649F708D"/>
    <w:rsid w:val="65332A50"/>
    <w:rsid w:val="653655BB"/>
    <w:rsid w:val="655412D0"/>
    <w:rsid w:val="66420969"/>
    <w:rsid w:val="671273F4"/>
    <w:rsid w:val="67166F83"/>
    <w:rsid w:val="67181661"/>
    <w:rsid w:val="67821006"/>
    <w:rsid w:val="67A7234F"/>
    <w:rsid w:val="68E86C54"/>
    <w:rsid w:val="69A82DC3"/>
    <w:rsid w:val="6A1D76C3"/>
    <w:rsid w:val="6A6E0B56"/>
    <w:rsid w:val="6A7E535C"/>
    <w:rsid w:val="6A897C15"/>
    <w:rsid w:val="6AB01117"/>
    <w:rsid w:val="6B445CAD"/>
    <w:rsid w:val="6BFE2C5E"/>
    <w:rsid w:val="6C1649BE"/>
    <w:rsid w:val="6C213410"/>
    <w:rsid w:val="6C854C5C"/>
    <w:rsid w:val="6CE1711B"/>
    <w:rsid w:val="6CEA73C3"/>
    <w:rsid w:val="6D4627AE"/>
    <w:rsid w:val="6E3D6518"/>
    <w:rsid w:val="6E512286"/>
    <w:rsid w:val="6F0C68CF"/>
    <w:rsid w:val="6F5D2CD7"/>
    <w:rsid w:val="7063783D"/>
    <w:rsid w:val="70D87B60"/>
    <w:rsid w:val="710A30E0"/>
    <w:rsid w:val="714B7967"/>
    <w:rsid w:val="715063C8"/>
    <w:rsid w:val="719E74FD"/>
    <w:rsid w:val="71E761EB"/>
    <w:rsid w:val="72856B75"/>
    <w:rsid w:val="736F2E31"/>
    <w:rsid w:val="767B4175"/>
    <w:rsid w:val="769C11BC"/>
    <w:rsid w:val="785F3756"/>
    <w:rsid w:val="78924D61"/>
    <w:rsid w:val="790C1350"/>
    <w:rsid w:val="79280401"/>
    <w:rsid w:val="795A595F"/>
    <w:rsid w:val="796B1225"/>
    <w:rsid w:val="799A2A04"/>
    <w:rsid w:val="799F4E79"/>
    <w:rsid w:val="7AF41227"/>
    <w:rsid w:val="7B603891"/>
    <w:rsid w:val="7BF12914"/>
    <w:rsid w:val="7C471104"/>
    <w:rsid w:val="7C4D5C32"/>
    <w:rsid w:val="7CDA6054"/>
    <w:rsid w:val="7DB87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240" w:after="240" w:line="540" w:lineRule="exact"/>
      <w:outlineLvl w:val="0"/>
    </w:pPr>
    <w:rPr>
      <w:rFonts w:eastAsia="黑体"/>
      <w:b/>
      <w:bCs/>
      <w:kern w:val="44"/>
      <w:sz w:val="30"/>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link w:val="28"/>
    <w:semiHidden/>
    <w:qFormat/>
    <w:uiPriority w:val="0"/>
    <w:rPr>
      <w:rFonts w:ascii="宋体"/>
      <w:kern w:val="0"/>
      <w:sz w:val="24"/>
      <w:szCs w:val="20"/>
    </w:rPr>
  </w:style>
  <w:style w:type="table" w:default="1" w:styleId="25">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rPr>
      <w:rFonts w:ascii="Calibri" w:hAnsi="Calibri" w:eastAsia="宋体" w:cs="Times New Roman"/>
    </w:rPr>
  </w:style>
  <w:style w:type="paragraph" w:styleId="7">
    <w:name w:val="Normal Indent"/>
    <w:basedOn w:val="1"/>
    <w:next w:val="8"/>
    <w:qFormat/>
    <w:uiPriority w:val="0"/>
    <w:pPr>
      <w:ind w:firstLine="420"/>
    </w:pPr>
    <w:rPr>
      <w:szCs w:val="20"/>
    </w:rPr>
  </w:style>
  <w:style w:type="paragraph" w:styleId="8">
    <w:name w:val="Body Text First Indent 2"/>
    <w:basedOn w:val="9"/>
    <w:next w:val="1"/>
    <w:unhideWhenUsed/>
    <w:qFormat/>
    <w:uiPriority w:val="99"/>
    <w:pPr>
      <w:ind w:left="200" w:firstLine="420" w:firstLineChars="200"/>
    </w:pPr>
    <w:rPr>
      <w:rFonts w:ascii="宋体" w:hAnsi="宋体"/>
      <w:szCs w:val="24"/>
    </w:rPr>
  </w:style>
  <w:style w:type="paragraph" w:styleId="9">
    <w:name w:val="Body Text Indent"/>
    <w:basedOn w:val="1"/>
    <w:next w:val="1"/>
    <w:qFormat/>
    <w:uiPriority w:val="0"/>
    <w:pPr>
      <w:spacing w:line="500" w:lineRule="exact"/>
      <w:ind w:firstLine="560" w:firstLineChars="200"/>
    </w:pPr>
    <w:rPr>
      <w:rFonts w:ascii="宋体" w:hAnsi="宋体"/>
      <w:sz w:val="28"/>
    </w:rPr>
  </w:style>
  <w:style w:type="paragraph" w:styleId="10">
    <w:name w:val="annotation text"/>
    <w:basedOn w:val="1"/>
    <w:qFormat/>
    <w:uiPriority w:val="0"/>
    <w:pPr>
      <w:jc w:val="left"/>
    </w:pPr>
  </w:style>
  <w:style w:type="paragraph" w:styleId="11">
    <w:name w:val="Body Text 3"/>
    <w:basedOn w:val="1"/>
    <w:next w:val="1"/>
    <w:qFormat/>
    <w:uiPriority w:val="0"/>
    <w:pPr>
      <w:spacing w:after="120" w:line="540" w:lineRule="exact"/>
      <w:ind w:firstLine="200" w:firstLineChars="200"/>
    </w:pPr>
    <w:rPr>
      <w:rFonts w:eastAsia="仿宋_GB2312"/>
      <w:sz w:val="16"/>
      <w:szCs w:val="16"/>
    </w:rPr>
  </w:style>
  <w:style w:type="paragraph" w:styleId="12">
    <w:name w:val="Body Text"/>
    <w:basedOn w:val="1"/>
    <w:next w:val="1"/>
    <w:qFormat/>
    <w:uiPriority w:val="0"/>
    <w:pPr>
      <w:spacing w:after="120"/>
    </w:pPr>
    <w:rPr>
      <w:rFonts w:ascii="Cambria" w:hAnsi="Cambria"/>
    </w:rPr>
  </w:style>
  <w:style w:type="paragraph" w:styleId="13">
    <w:name w:val="List 2"/>
    <w:basedOn w:val="1"/>
    <w:qFormat/>
    <w:uiPriority w:val="0"/>
    <w:pPr>
      <w:snapToGrid w:val="0"/>
      <w:jc w:val="center"/>
    </w:pPr>
    <w:rPr>
      <w:rFonts w:ascii="宋体"/>
      <w:szCs w:val="20"/>
    </w:rPr>
  </w:style>
  <w:style w:type="paragraph" w:styleId="14">
    <w:name w:val="Plain Text"/>
    <w:basedOn w:val="1"/>
    <w:qFormat/>
    <w:uiPriority w:val="0"/>
    <w:rPr>
      <w:rFonts w:ascii="宋体" w:hAnsi="Courier New"/>
      <w:kern w:val="0"/>
      <w:szCs w:val="20"/>
    </w:rPr>
  </w:style>
  <w:style w:type="paragraph" w:styleId="15">
    <w:name w:val="Body Text Indent 2"/>
    <w:basedOn w:val="1"/>
    <w:qFormat/>
    <w:uiPriority w:val="0"/>
    <w:pPr>
      <w:autoSpaceDE w:val="0"/>
      <w:autoSpaceDN w:val="0"/>
      <w:adjustRightInd w:val="0"/>
      <w:spacing w:line="360" w:lineRule="auto"/>
      <w:ind w:firstLine="482"/>
    </w:pPr>
    <w:rPr>
      <w:sz w:val="24"/>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8">
    <w:name w:val="样式5"/>
    <w:basedOn w:val="1"/>
    <w:qFormat/>
    <w:uiPriority w:val="0"/>
    <w:pPr>
      <w:snapToGrid w:val="0"/>
      <w:spacing w:line="360" w:lineRule="auto"/>
      <w:ind w:firstLine="510"/>
    </w:pPr>
    <w:rPr>
      <w:rFonts w:ascii="Cambria" w:hAnsi="Cambria"/>
      <w:kern w:val="0"/>
      <w:sz w:val="20"/>
      <w:szCs w:val="20"/>
    </w:rPr>
  </w:style>
  <w:style w:type="paragraph" w:styleId="19">
    <w:name w:val="List"/>
    <w:basedOn w:val="1"/>
    <w:qFormat/>
    <w:uiPriority w:val="0"/>
    <w:pPr>
      <w:adjustRightInd w:val="0"/>
      <w:spacing w:before="60" w:after="240" w:line="240" w:lineRule="atLeast"/>
      <w:ind w:left="360" w:hanging="360"/>
      <w:textAlignment w:val="baseline"/>
    </w:pPr>
    <w:rPr>
      <w:b/>
      <w:spacing w:val="20"/>
      <w:kern w:val="0"/>
      <w:sz w:val="28"/>
      <w:szCs w:val="20"/>
    </w:rPr>
  </w:style>
  <w:style w:type="paragraph" w:styleId="20">
    <w:name w:val="Body Text Indent 3"/>
    <w:basedOn w:val="1"/>
    <w:qFormat/>
    <w:uiPriority w:val="0"/>
    <w:pPr>
      <w:spacing w:after="120"/>
      <w:ind w:left="420" w:leftChars="200"/>
    </w:pPr>
    <w:rPr>
      <w:sz w:val="16"/>
      <w:szCs w:val="16"/>
    </w:rPr>
  </w:style>
  <w:style w:type="paragraph" w:styleId="21">
    <w:name w:val="toc 2"/>
    <w:basedOn w:val="1"/>
    <w:next w:val="1"/>
    <w:qFormat/>
    <w:uiPriority w:val="0"/>
    <w:pPr>
      <w:ind w:left="420" w:leftChars="200"/>
    </w:pPr>
    <w:rPr>
      <w:rFonts w:ascii="Calibri" w:hAnsi="Calibri" w:eastAsia="宋体" w:cs="Times New Roman"/>
    </w:rPr>
  </w:style>
  <w:style w:type="paragraph" w:styleId="22">
    <w:name w:val="Body Text 2"/>
    <w:basedOn w:val="1"/>
    <w:qFormat/>
    <w:uiPriority w:val="0"/>
    <w:pPr>
      <w:spacing w:after="120" w:line="480" w:lineRule="auto"/>
    </w:pPr>
    <w:rPr>
      <w:rFonts w:ascii="Times New Roman" w:hAnsi="Times New Roman"/>
    </w:rPr>
  </w:style>
  <w:style w:type="paragraph" w:styleId="23">
    <w:name w:val="Normal (Web)"/>
    <w:basedOn w:val="1"/>
    <w:qFormat/>
    <w:uiPriority w:val="0"/>
    <w:pPr>
      <w:widowControl/>
      <w:spacing w:before="100" w:beforeAutospacing="1" w:after="100" w:afterAutospacing="1"/>
      <w:jc w:val="left"/>
    </w:pPr>
    <w:rPr>
      <w:rFonts w:ascii="宋体" w:hAnsi="宋体"/>
      <w:kern w:val="0"/>
      <w:sz w:val="24"/>
    </w:rPr>
  </w:style>
  <w:style w:type="paragraph" w:styleId="24">
    <w:name w:val="Body Text First Indent"/>
    <w:basedOn w:val="12"/>
    <w:next w:val="1"/>
    <w:qFormat/>
    <w:uiPriority w:val="0"/>
    <w:pPr>
      <w:ind w:firstLine="420" w:firstLineChars="100"/>
    </w:pPr>
  </w:style>
  <w:style w:type="table" w:styleId="26">
    <w:name w:val="Table Grid"/>
    <w:basedOn w:val="25"/>
    <w:qFormat/>
    <w:uiPriority w:val="0"/>
    <w:rPr>
      <w:rFonts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
    <w:name w:val=" Char3"/>
    <w:basedOn w:val="1"/>
    <w:link w:val="27"/>
    <w:qFormat/>
    <w:uiPriority w:val="0"/>
    <w:pPr>
      <w:widowControl w:val="0"/>
      <w:jc w:val="both"/>
    </w:pPr>
    <w:rPr>
      <w:rFonts w:ascii="宋体"/>
      <w:kern w:val="0"/>
      <w:sz w:val="24"/>
      <w:szCs w:val="20"/>
    </w:rPr>
  </w:style>
  <w:style w:type="character" w:styleId="29">
    <w:name w:val="FollowedHyperlink"/>
    <w:basedOn w:val="27"/>
    <w:qFormat/>
    <w:uiPriority w:val="0"/>
    <w:rPr>
      <w:color w:val="333333"/>
      <w:u w:val="none"/>
    </w:rPr>
  </w:style>
  <w:style w:type="character" w:styleId="30">
    <w:name w:val="Hyperlink"/>
    <w:unhideWhenUsed/>
    <w:qFormat/>
    <w:uiPriority w:val="99"/>
    <w:rPr>
      <w:color w:val="0563C1"/>
      <w:u w:val="single"/>
    </w:rPr>
  </w:style>
  <w:style w:type="paragraph" w:customStyle="1" w:styleId="31">
    <w:name w:val="Default"/>
    <w:next w:val="2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32">
    <w:name w:val="正文（缩进）"/>
    <w:basedOn w:val="33"/>
    <w:next w:val="1"/>
    <w:qFormat/>
    <w:uiPriority w:val="99"/>
    <w:pPr>
      <w:spacing w:line="360" w:lineRule="auto"/>
      <w:ind w:firstLine="480" w:firstLineChars="200"/>
    </w:pPr>
    <w:rPr>
      <w:rFonts w:ascii="Times New Roman" w:hAnsi="Times New Roman" w:cs="Times New Roman"/>
      <w:sz w:val="24"/>
      <w:szCs w:val="24"/>
    </w:rPr>
  </w:style>
  <w:style w:type="paragraph" w:customStyle="1" w:styleId="33">
    <w:name w:val="正文(首行缩进)"/>
    <w:basedOn w:val="1"/>
    <w:qFormat/>
    <w:uiPriority w:val="0"/>
    <w:pPr>
      <w:adjustRightInd w:val="0"/>
      <w:snapToGrid w:val="0"/>
      <w:spacing w:line="360" w:lineRule="auto"/>
      <w:ind w:firstLine="200" w:firstLineChars="200"/>
    </w:pPr>
    <w:rPr>
      <w:snapToGrid w:val="0"/>
      <w:sz w:val="24"/>
    </w:rPr>
  </w:style>
  <w:style w:type="paragraph" w:customStyle="1" w:styleId="34">
    <w:name w:val="Date1"/>
    <w:basedOn w:val="1"/>
    <w:next w:val="1"/>
    <w:qFormat/>
    <w:uiPriority w:val="0"/>
    <w:pPr>
      <w:adjustRightInd w:val="0"/>
      <w:textAlignment w:val="baseline"/>
    </w:pPr>
    <w:rPr>
      <w:rFonts w:ascii="宋体" w:hAnsi="宋体"/>
      <w:sz w:val="28"/>
      <w:szCs w:val="20"/>
    </w:rPr>
  </w:style>
  <w:style w:type="paragraph" w:customStyle="1" w:styleId="35">
    <w:name w:val="环评正文"/>
    <w:basedOn w:val="1"/>
    <w:next w:val="1"/>
    <w:qFormat/>
    <w:uiPriority w:val="0"/>
    <w:pPr>
      <w:adjustRightInd w:val="0"/>
      <w:spacing w:line="360" w:lineRule="auto"/>
      <w:ind w:firstLine="200" w:firstLineChars="200"/>
    </w:pPr>
    <w:rPr>
      <w:rFonts w:ascii="仿宋_GB2312" w:eastAsia="仿宋_GB2312"/>
      <w:bCs/>
      <w:sz w:val="24"/>
    </w:rPr>
  </w:style>
  <w:style w:type="paragraph" w:customStyle="1" w:styleId="36">
    <w:name w:val="表格"/>
    <w:basedOn w:val="7"/>
    <w:next w:val="22"/>
    <w:semiHidden/>
    <w:qFormat/>
    <w:uiPriority w:val="0"/>
    <w:rPr>
      <w:rFonts w:ascii="Times New Roman" w:hAnsi="Times New Roman" w:eastAsia="黑体" w:cs="Times New Roman"/>
      <w:szCs w:val="21"/>
    </w:rPr>
  </w:style>
  <w:style w:type="paragraph" w:customStyle="1" w:styleId="37">
    <w:name w:val="样式 标题 1ChH1章标题 111标题 1章节标题b1标题 1 Char文章标题-*+heading 1..."/>
    <w:basedOn w:val="3"/>
    <w:qFormat/>
    <w:uiPriority w:val="0"/>
    <w:pPr>
      <w:spacing w:before="80" w:after="46" w:afterLines="10" w:line="360" w:lineRule="auto"/>
    </w:pPr>
    <w:rPr>
      <w:rFonts w:ascii="Times New Roman" w:hAnsi="Times New Roman" w:eastAsia="宋体" w:cs="Times New Roman"/>
      <w:kern w:val="2"/>
      <w:sz w:val="30"/>
      <w:szCs w:val="20"/>
    </w:rPr>
  </w:style>
  <w:style w:type="paragraph" w:customStyle="1" w:styleId="38">
    <w:name w:val="正文1"/>
    <w:basedOn w:val="1"/>
    <w:qFormat/>
    <w:uiPriority w:val="0"/>
    <w:pPr>
      <w:spacing w:line="480" w:lineRule="exact"/>
      <w:ind w:firstLine="200" w:firstLineChars="200"/>
    </w:pPr>
    <w:rPr>
      <w:sz w:val="24"/>
    </w:rPr>
  </w:style>
  <w:style w:type="paragraph" w:customStyle="1" w:styleId="39">
    <w:name w:val="Table Paragraph"/>
    <w:basedOn w:val="1"/>
    <w:qFormat/>
    <w:uiPriority w:val="0"/>
    <w:pPr>
      <w:overflowPunct w:val="0"/>
      <w:autoSpaceDE w:val="0"/>
      <w:autoSpaceDN w:val="0"/>
      <w:adjustRightInd w:val="0"/>
      <w:spacing w:line="360" w:lineRule="auto"/>
      <w:ind w:firstLine="200" w:firstLineChars="200"/>
      <w:jc w:val="left"/>
    </w:pPr>
    <w:rPr>
      <w:rFonts w:ascii="Times New Roman"/>
    </w:rPr>
  </w:style>
  <w:style w:type="paragraph" w:customStyle="1" w:styleId="40">
    <w:name w:val="居中正文"/>
    <w:basedOn w:val="24"/>
    <w:qFormat/>
    <w:uiPriority w:val="0"/>
    <w:pPr>
      <w:adjustRightInd w:val="0"/>
      <w:spacing w:before="120" w:after="0" w:line="360" w:lineRule="auto"/>
      <w:ind w:firstLine="0" w:firstLineChars="0"/>
      <w:jc w:val="center"/>
      <w:textAlignment w:val="baseline"/>
    </w:pPr>
    <w:rPr>
      <w:kern w:val="28"/>
      <w:sz w:val="24"/>
    </w:rPr>
  </w:style>
  <w:style w:type="paragraph" w:customStyle="1" w:styleId="41">
    <w:name w:val="0正文中9.8新"/>
    <w:basedOn w:val="1"/>
    <w:qFormat/>
    <w:uiPriority w:val="0"/>
    <w:pPr>
      <w:spacing w:line="360" w:lineRule="auto"/>
      <w:ind w:firstLine="200" w:firstLineChars="200"/>
    </w:pPr>
    <w:rPr>
      <w:rFonts w:ascii="宋体" w:hAnsi="宋体" w:eastAsia="仿宋_GB2312" w:cs="Times New Roman"/>
      <w:sz w:val="24"/>
    </w:rPr>
  </w:style>
  <w:style w:type="paragraph" w:styleId="42">
    <w:name w:val="List Paragraph"/>
    <w:basedOn w:val="1"/>
    <w:qFormat/>
    <w:uiPriority w:val="34"/>
    <w:pPr>
      <w:ind w:firstLine="420" w:firstLineChars="200"/>
    </w:pPr>
    <w:rPr>
      <w:szCs w:val="22"/>
    </w:rPr>
  </w:style>
  <w:style w:type="paragraph" w:customStyle="1" w:styleId="43">
    <w:name w:val="样式 标题 2节SeH2节标题 1.1节标题 1.1 Char1.1标题2条标题h2l22nd level..."/>
    <w:basedOn w:val="4"/>
    <w:qFormat/>
    <w:uiPriority w:val="0"/>
    <w:pPr>
      <w:spacing w:before="10" w:beforeLines="10" w:after="10" w:afterLines="10" w:line="360" w:lineRule="auto"/>
    </w:pPr>
    <w:rPr>
      <w:rFonts w:ascii="Times New Roman" w:hAnsi="Times New Roman" w:eastAsia="宋体" w:cs="宋体"/>
      <w:sz w:val="28"/>
      <w:szCs w:val="28"/>
    </w:rPr>
  </w:style>
  <w:style w:type="paragraph" w:customStyle="1" w:styleId="44">
    <w:name w:val="样式 标题 3Re条标题1.1.1H33h33rd levell3CT标题 3 Char1标题 3 Char..."/>
    <w:basedOn w:val="5"/>
    <w:qFormat/>
    <w:uiPriority w:val="0"/>
    <w:pPr>
      <w:widowControl/>
      <w:spacing w:before="0" w:after="46" w:afterLines="10" w:line="360" w:lineRule="auto"/>
    </w:pPr>
    <w:rPr>
      <w:rFonts w:ascii="Times New Roman" w:hAnsi="Times New Roman" w:eastAsia="宋体" w:cs="宋体"/>
      <w:kern w:val="24"/>
      <w:sz w:val="26"/>
      <w:szCs w:val="20"/>
    </w:rPr>
  </w:style>
  <w:style w:type="character" w:customStyle="1" w:styleId="45">
    <w:name w:val="font21"/>
    <w:basedOn w:val="27"/>
    <w:qFormat/>
    <w:uiPriority w:val="0"/>
    <w:rPr>
      <w:rFonts w:hint="eastAsia" w:ascii="宋体" w:hAnsi="宋体" w:eastAsia="宋体" w:cs="宋体"/>
      <w:b/>
      <w:color w:val="000000"/>
      <w:sz w:val="21"/>
      <w:szCs w:val="21"/>
      <w:u w:val="none"/>
    </w:rPr>
  </w:style>
  <w:style w:type="character" w:customStyle="1" w:styleId="46">
    <w:name w:val="font01"/>
    <w:basedOn w:val="27"/>
    <w:qFormat/>
    <w:uiPriority w:val="0"/>
    <w:rPr>
      <w:rFonts w:hint="eastAsia" w:ascii="宋体" w:hAnsi="宋体" w:eastAsia="宋体" w:cs="宋体"/>
      <w:color w:val="000000"/>
      <w:sz w:val="24"/>
      <w:szCs w:val="24"/>
      <w:u w:val="none"/>
    </w:rPr>
  </w:style>
  <w:style w:type="character" w:customStyle="1" w:styleId="47">
    <w:name w:val="内容 Char"/>
    <w:link w:val="48"/>
    <w:qFormat/>
    <w:uiPriority w:val="0"/>
    <w:rPr>
      <w:color w:val="000000"/>
      <w:kern w:val="0"/>
      <w:sz w:val="24"/>
      <w:szCs w:val="20"/>
    </w:rPr>
  </w:style>
  <w:style w:type="paragraph" w:customStyle="1" w:styleId="48">
    <w:name w:val="内容"/>
    <w:basedOn w:val="1"/>
    <w:link w:val="47"/>
    <w:qFormat/>
    <w:uiPriority w:val="0"/>
    <w:pPr>
      <w:widowControl w:val="0"/>
      <w:spacing w:beforeLines="50" w:afterLines="50"/>
      <w:ind w:firstLine="200" w:firstLineChars="200"/>
      <w:jc w:val="both"/>
    </w:pPr>
    <w:rPr>
      <w:color w:val="000000"/>
      <w:kern w:val="0"/>
      <w:sz w:val="24"/>
      <w:szCs w:val="20"/>
    </w:rPr>
  </w:style>
  <w:style w:type="paragraph" w:customStyle="1" w:styleId="49">
    <w:name w:val="表格文字"/>
    <w:basedOn w:val="14"/>
    <w:next w:val="1"/>
    <w:qFormat/>
    <w:uiPriority w:val="0"/>
    <w:pPr>
      <w:widowControl w:val="0"/>
      <w:autoSpaceDE w:val="0"/>
      <w:autoSpaceDN w:val="0"/>
      <w:adjustRightInd w:val="0"/>
      <w:jc w:val="center"/>
    </w:pPr>
    <w:rPr>
      <w:sz w:val="21"/>
      <w:szCs w:val="21"/>
      <w:lang w:val="en-US" w:eastAsia="zh-CN" w:bidi="ar-SA"/>
    </w:rPr>
  </w:style>
  <w:style w:type="paragraph" w:customStyle="1" w:styleId="50">
    <w:name w:val="报告表格内中"/>
    <w:basedOn w:val="1"/>
    <w:qFormat/>
    <w:uiPriority w:val="0"/>
    <w:pPr>
      <w:spacing w:before="100" w:beforeAutospacing="1"/>
      <w:jc w:val="center"/>
    </w:pPr>
    <w:rPr>
      <w:sz w:val="24"/>
    </w:rPr>
  </w:style>
  <w:style w:type="paragraph" w:customStyle="1" w:styleId="51">
    <w:name w:val="Body text|1"/>
    <w:basedOn w:val="1"/>
    <w:qFormat/>
    <w:uiPriority w:val="0"/>
    <w:pPr>
      <w:widowControl w:val="0"/>
      <w:spacing w:line="436" w:lineRule="auto"/>
      <w:ind w:firstLine="400"/>
    </w:pPr>
    <w:rPr>
      <w:rFonts w:ascii="宋体" w:hAnsi="宋体" w:cs="宋体"/>
      <w:color w:val="000000"/>
      <w:kern w:val="0"/>
      <w:sz w:val="22"/>
      <w:szCs w:val="22"/>
    </w:rPr>
  </w:style>
  <w:style w:type="paragraph" w:customStyle="1" w:styleId="52">
    <w:name w:val="我的正文"/>
    <w:basedOn w:val="1"/>
    <w:qFormat/>
    <w:uiPriority w:val="0"/>
    <w:pPr>
      <w:adjustRightInd w:val="0"/>
      <w:snapToGrid w:val="0"/>
      <w:spacing w:line="360" w:lineRule="auto"/>
      <w:ind w:firstLine="200" w:firstLineChars="200"/>
    </w:pPr>
    <w:rPr>
      <w:rFonts w:eastAsia="仿宋_GB2312"/>
      <w:kern w:val="0"/>
      <w:sz w:val="28"/>
      <w:szCs w:val="28"/>
    </w:rPr>
  </w:style>
  <w:style w:type="paragraph" w:customStyle="1" w:styleId="53">
    <w:name w:val="夏氏正文"/>
    <w:basedOn w:val="1"/>
    <w:qFormat/>
    <w:uiPriority w:val="0"/>
    <w:pPr>
      <w:widowControl/>
      <w:adjustRightInd w:val="0"/>
      <w:snapToGrid w:val="0"/>
      <w:spacing w:line="360" w:lineRule="auto"/>
      <w:ind w:firstLine="482"/>
    </w:pPr>
    <w:rPr>
      <w:rFonts w:ascii="Times New Roman" w:hAnsi="Times New Roman" w:cs="Times New Roman"/>
      <w:color w:val="auto"/>
      <w:kern w:val="0"/>
    </w:rPr>
  </w:style>
  <w:style w:type="paragraph" w:customStyle="1" w:styleId="54">
    <w:name w:val="样式，标题 3"/>
    <w:basedOn w:val="1"/>
    <w:qFormat/>
    <w:uiPriority w:val="0"/>
    <w:pPr>
      <w:keepNext/>
      <w:keepLines/>
      <w:spacing w:beforeLines="50" w:afterLines="50" w:line="360" w:lineRule="auto"/>
      <w:outlineLvl w:val="2"/>
    </w:pPr>
    <w:rPr>
      <w:rFonts w:eastAsia="黑体"/>
      <w:kern w:val="0"/>
      <w:sz w:val="28"/>
      <w:szCs w:val="20"/>
    </w:rPr>
  </w:style>
  <w:style w:type="paragraph" w:customStyle="1" w:styleId="55">
    <w:name w:val="书 正文"/>
    <w:basedOn w:val="1"/>
    <w:qFormat/>
    <w:uiPriority w:val="0"/>
    <w:pPr>
      <w:widowControl w:val="0"/>
      <w:ind w:firstLine="514" w:firstLineChars="200"/>
      <w:jc w:val="both"/>
    </w:pPr>
    <w:rPr>
      <w:rFonts w:ascii="宋体"/>
      <w:kern w:val="24"/>
      <w:sz w:val="24"/>
      <w:szCs w:val="20"/>
    </w:rPr>
  </w:style>
  <w:style w:type="paragraph" w:customStyle="1" w:styleId="56">
    <w:name w:val="正文修改"/>
    <w:basedOn w:val="1"/>
    <w:qFormat/>
    <w:uiPriority w:val="0"/>
    <w:pPr>
      <w:ind w:firstLine="480"/>
    </w:pPr>
    <w:rPr>
      <w:kern w:val="0"/>
    </w:rPr>
  </w:style>
  <w:style w:type="paragraph" w:customStyle="1" w:styleId="57">
    <w:name w:val="【表头】"/>
    <w:basedOn w:val="1"/>
    <w:qFormat/>
    <w:uiPriority w:val="0"/>
    <w:pPr>
      <w:spacing w:line="460" w:lineRule="exact"/>
      <w:jc w:val="center"/>
    </w:pPr>
    <w:rPr>
      <w:rFonts w:eastAsia="黑体"/>
      <w:sz w:val="24"/>
    </w:rPr>
  </w:style>
  <w:style w:type="paragraph" w:styleId="58">
    <w:name w:val="No Spacing"/>
    <w:basedOn w:val="1"/>
    <w:next w:val="1"/>
    <w:qFormat/>
    <w:uiPriority w:val="0"/>
    <w:pPr>
      <w:widowControl w:val="0"/>
      <w:ind w:firstLine="200" w:firstLineChars="200"/>
      <w:jc w:val="both"/>
    </w:pPr>
    <w:rPr>
      <w:rFonts w:ascii="宋体" w:hAnsi="Calibri" w:eastAsia="Times New Roman" w:cs="Times New Roman"/>
      <w:kern w:val="2"/>
      <w:sz w:val="28"/>
      <w:szCs w:val="24"/>
      <w:lang w:val="en-US" w:eastAsia="zh-CN" w:bidi="ar-SA"/>
    </w:rPr>
  </w:style>
  <w:style w:type="paragraph" w:customStyle="1" w:styleId="59">
    <w:name w:val="【正文】"/>
    <w:basedOn w:val="1"/>
    <w:qFormat/>
    <w:uiPriority w:val="0"/>
    <w:pPr>
      <w:adjustRightInd w:val="0"/>
      <w:snapToGrid w:val="0"/>
      <w:spacing w:line="600" w:lineRule="exact"/>
      <w:ind w:firstLine="200" w:firstLineChars="200"/>
    </w:pPr>
    <w:rPr>
      <w:rFonts w:eastAsia="仿宋_GB2312"/>
      <w:kern w:val="0"/>
      <w:sz w:val="24"/>
      <w:szCs w:val="20"/>
    </w:rPr>
  </w:style>
  <w:style w:type="paragraph" w:customStyle="1" w:styleId="60">
    <w:name w:val="B表格文字"/>
    <w:qFormat/>
    <w:uiPriority w:val="0"/>
    <w:pPr>
      <w:jc w:val="center"/>
    </w:pPr>
    <w:rPr>
      <w:rFonts w:ascii="Calibri" w:hAnsi="Calibri" w:eastAsia="宋体" w:cs="Times New Roman"/>
      <w:kern w:val="2"/>
      <w:sz w:val="21"/>
      <w:szCs w:val="24"/>
      <w:lang w:val="en-US" w:eastAsia="zh-CN" w:bidi="ar-SA"/>
    </w:rPr>
  </w:style>
  <w:style w:type="paragraph" w:customStyle="1" w:styleId="61">
    <w:name w:val="样式 书 正文 + (符号) 宋体"/>
    <w:basedOn w:val="55"/>
    <w:qFormat/>
    <w:uiPriority w:val="0"/>
    <w:rPr>
      <w:rFonts w:ascii="ˎ̥" w:hAnsi="ˎ̥" w:eastAsia="仿宋_GB2312" w:cs="ˎ̥"/>
      <w:snapToGrid w:val="0"/>
      <w:kern w:val="0"/>
      <w:szCs w:val="24"/>
    </w:rPr>
  </w:style>
  <w:style w:type="paragraph" w:customStyle="1" w:styleId="62">
    <w:name w:val="1正文"/>
    <w:basedOn w:val="1"/>
    <w:qFormat/>
    <w:uiPriority w:val="0"/>
    <w:pPr>
      <w:spacing w:line="560" w:lineRule="exact"/>
      <w:ind w:firstLine="200" w:firstLineChars="200"/>
    </w:pPr>
    <w:rPr>
      <w:rFonts w:ascii="宋体" w:hAnsi="宋体"/>
      <w:sz w:val="24"/>
    </w:rPr>
  </w:style>
  <w:style w:type="paragraph" w:customStyle="1" w:styleId="63">
    <w:name w:val="WPSOffice手动目录 1"/>
    <w:qFormat/>
    <w:uiPriority w:val="0"/>
    <w:pPr>
      <w:ind w:leftChars="0"/>
    </w:pPr>
    <w:rPr>
      <w:rFonts w:ascii="Times New Roman" w:hAnsi="Times New Roman" w:eastAsia="宋体" w:cs="Times New Roman"/>
      <w:sz w:val="20"/>
      <w:szCs w:val="20"/>
    </w:rPr>
  </w:style>
  <w:style w:type="paragraph" w:customStyle="1" w:styleId="64">
    <w:name w:val="WPSOffice手动目录 2"/>
    <w:qFormat/>
    <w:uiPriority w:val="0"/>
    <w:pPr>
      <w:ind w:leftChars="200"/>
    </w:pPr>
    <w:rPr>
      <w:rFonts w:ascii="Times New Roman" w:hAnsi="Times New Roman" w:eastAsia="宋体" w:cs="Times New Roman"/>
      <w:sz w:val="20"/>
      <w:szCs w:val="20"/>
    </w:rPr>
  </w:style>
  <w:style w:type="paragraph" w:customStyle="1" w:styleId="65">
    <w:name w:val="表格字"/>
    <w:basedOn w:val="19"/>
    <w:qFormat/>
    <w:uiPriority w:val="0"/>
    <w:pPr>
      <w:ind w:left="0" w:firstLine="0" w:firstLineChars="0"/>
      <w:jc w:val="center"/>
    </w:pPr>
    <w:rPr>
      <w:rFonts w:ascii="Times New Roman" w:hAnsi="Times New Roman" w:eastAsia="宋体"/>
      <w:sz w:val="21"/>
      <w:szCs w:val="20"/>
    </w:rPr>
  </w:style>
  <w:style w:type="paragraph" w:customStyle="1" w:styleId="66">
    <w:name w:val="表格内"/>
    <w:basedOn w:val="1"/>
    <w:qFormat/>
    <w:uiPriority w:val="0"/>
    <w:pPr>
      <w:adjustRightInd w:val="0"/>
      <w:spacing w:line="240" w:lineRule="atLeast"/>
      <w:jc w:val="center"/>
    </w:pPr>
    <w:rPr>
      <w:rFonts w:ascii="宋体" w:hAnsi="Times New Roman" w:eastAsia="宋体" w:cs="Times New Roman"/>
      <w:kern w:val="0"/>
      <w:sz w:val="28"/>
      <w:szCs w:val="28"/>
    </w:rPr>
  </w:style>
  <w:style w:type="paragraph" w:customStyle="1" w:styleId="67">
    <w:name w:val="样式1"/>
    <w:basedOn w:val="5"/>
    <w:qFormat/>
    <w:uiPriority w:val="0"/>
    <w:pPr>
      <w:widowControl/>
      <w:tabs>
        <w:tab w:val="left" w:pos="960"/>
      </w:tabs>
      <w:spacing w:before="260" w:beforeLines="0" w:after="260" w:afterLines="0" w:line="413" w:lineRule="auto"/>
      <w:jc w:val="left"/>
    </w:pPr>
    <w:rPr>
      <w:rFonts w:ascii="宋体" w:hAnsi="宋体"/>
      <w:kern w:val="0"/>
      <w:sz w:val="28"/>
      <w:szCs w:val="28"/>
    </w:rPr>
  </w:style>
  <w:style w:type="paragraph" w:customStyle="1" w:styleId="68">
    <w:name w:val="环评书正文"/>
    <w:basedOn w:val="1"/>
    <w:qFormat/>
    <w:uiPriority w:val="99"/>
    <w:pPr>
      <w:adjustRightInd w:val="0"/>
      <w:snapToGrid w:val="0"/>
      <w:spacing w:line="500" w:lineRule="exact"/>
      <w:ind w:firstLine="480" w:firstLineChars="200"/>
    </w:pPr>
  </w:style>
  <w:style w:type="paragraph" w:customStyle="1" w:styleId="69">
    <w:name w:val="报告书正文"/>
    <w:basedOn w:val="1"/>
    <w:qFormat/>
    <w:uiPriority w:val="0"/>
    <w:pPr>
      <w:spacing w:line="360" w:lineRule="auto"/>
      <w:ind w:firstLine="480" w:firstLineChars="200"/>
    </w:pPr>
    <w:rPr>
      <w:rFonts w:ascii="Times New Roman"/>
      <w:kern w:val="2"/>
      <w:szCs w:val="24"/>
    </w:rPr>
  </w:style>
  <w:style w:type="character" w:customStyle="1" w:styleId="70">
    <w:name w:val="Body text + 6 pt1"/>
    <w:basedOn w:val="71"/>
    <w:qFormat/>
    <w:uiPriority w:val="0"/>
    <w:rPr>
      <w:rFonts w:ascii="MingLiU" w:hAnsi="MingLiU" w:eastAsia="MingLiU" w:cs="MingLiU"/>
      <w:color w:val="000000"/>
      <w:spacing w:val="20"/>
      <w:w w:val="100"/>
      <w:position w:val="0"/>
      <w:sz w:val="12"/>
      <w:szCs w:val="12"/>
      <w:u w:val="none"/>
      <w:lang w:val="zh-TW"/>
    </w:rPr>
  </w:style>
  <w:style w:type="character" w:customStyle="1" w:styleId="71">
    <w:name w:val="Body text_"/>
    <w:basedOn w:val="27"/>
    <w:link w:val="72"/>
    <w:qFormat/>
    <w:uiPriority w:val="0"/>
    <w:rPr>
      <w:rFonts w:ascii="Arial Unicode MS" w:hAnsi="Arial Unicode MS" w:eastAsia="Arial Unicode MS" w:cs="Arial Unicode MS"/>
      <w:sz w:val="21"/>
      <w:szCs w:val="21"/>
    </w:rPr>
  </w:style>
  <w:style w:type="paragraph" w:customStyle="1" w:styleId="72">
    <w:name w:val="Body text23"/>
    <w:basedOn w:val="1"/>
    <w:link w:val="71"/>
    <w:qFormat/>
    <w:uiPriority w:val="0"/>
    <w:pPr>
      <w:shd w:val="clear" w:color="auto" w:fill="FFFFFF"/>
      <w:spacing w:before="420" w:line="485" w:lineRule="exact"/>
      <w:ind w:hanging="480"/>
    </w:pPr>
    <w:rPr>
      <w:rFonts w:ascii="Arial Unicode MS" w:hAnsi="Arial Unicode MS" w:eastAsia="Arial Unicode MS" w:cs="Arial Unicode MS"/>
      <w:sz w:val="21"/>
      <w:szCs w:val="21"/>
    </w:rPr>
  </w:style>
  <w:style w:type="character" w:customStyle="1" w:styleId="73">
    <w:name w:val="Body text + 6 pt"/>
    <w:basedOn w:val="71"/>
    <w:qFormat/>
    <w:uiPriority w:val="0"/>
    <w:rPr>
      <w:rFonts w:ascii="MingLiU" w:hAnsi="MingLiU" w:eastAsia="MingLiU" w:cs="MingLiU"/>
      <w:color w:val="000000"/>
      <w:spacing w:val="20"/>
      <w:w w:val="100"/>
      <w:position w:val="0"/>
      <w:sz w:val="12"/>
      <w:szCs w:val="12"/>
      <w:u w:val="none"/>
      <w:lang w:val="zh-TW"/>
    </w:rPr>
  </w:style>
  <w:style w:type="character" w:customStyle="1" w:styleId="74">
    <w:name w:val="正文文本 + Sylfaen"/>
    <w:qFormat/>
    <w:uiPriority w:val="0"/>
    <w:rPr>
      <w:rFonts w:ascii="Sylfaen" w:hAnsi="Sylfaen" w:eastAsia="楷体_GB2312" w:cs="Sylfaen"/>
      <w:b/>
      <w:spacing w:val="0"/>
      <w:kern w:val="2"/>
      <w:sz w:val="24"/>
      <w:szCs w:val="24"/>
      <w:lang w:val="en-US" w:eastAsia="zh-CN" w:bidi="ar-SA"/>
    </w:rPr>
  </w:style>
  <w:style w:type="character" w:customStyle="1" w:styleId="75">
    <w:name w:val="ztmc"/>
    <w:basedOn w:val="27"/>
    <w:qFormat/>
    <w:uiPriority w:val="0"/>
  </w:style>
  <w:style w:type="character" w:customStyle="1" w:styleId="76">
    <w:name w:val="cur"/>
    <w:basedOn w:val="27"/>
    <w:qFormat/>
    <w:uiPriority w:val="0"/>
    <w:rPr>
      <w:shd w:val="clear" w:fill="F75A5C"/>
    </w:rPr>
  </w:style>
  <w:style w:type="character" w:customStyle="1" w:styleId="77">
    <w:name w:val="cur1"/>
    <w:basedOn w:val="27"/>
    <w:qFormat/>
    <w:uiPriority w:val="0"/>
    <w:rPr>
      <w:shd w:val="clear" w:fill="CF141B"/>
    </w:rPr>
  </w:style>
  <w:style w:type="character" w:customStyle="1" w:styleId="78">
    <w:name w:val="cur2"/>
    <w:basedOn w:val="27"/>
    <w:qFormat/>
    <w:uiPriority w:val="0"/>
    <w:rPr>
      <w:color w:val="FFFFFF"/>
      <w:shd w:val="clear" w:fill="FF3300"/>
    </w:rPr>
  </w:style>
  <w:style w:type="character" w:customStyle="1" w:styleId="79">
    <w:name w:val="cur3"/>
    <w:basedOn w:val="27"/>
    <w:qFormat/>
    <w:uiPriority w:val="0"/>
  </w:style>
  <w:style w:type="character" w:customStyle="1" w:styleId="80">
    <w:name w:val="cur4"/>
    <w:basedOn w:val="27"/>
    <w:qFormat/>
    <w:uiPriority w:val="0"/>
    <w:rPr>
      <w:bdr w:val="single" w:color="FFFFFF" w:sz="6" w:space="0"/>
      <w:shd w:val="clear" w:fill="D20A0A"/>
    </w:rPr>
  </w:style>
  <w:style w:type="character" w:customStyle="1" w:styleId="81">
    <w:name w:val="zgzc"/>
    <w:basedOn w:val="27"/>
    <w:qFormat/>
    <w:uiPriority w:val="0"/>
  </w:style>
  <w:style w:type="character" w:customStyle="1" w:styleId="82">
    <w:name w:val="zgzc1"/>
    <w:basedOn w:val="27"/>
    <w:qFormat/>
    <w:uiPriority w:val="0"/>
  </w:style>
  <w:style w:type="character" w:customStyle="1" w:styleId="83">
    <w:name w:val="lt-btn-prev"/>
    <w:basedOn w:val="27"/>
    <w:qFormat/>
    <w:uiPriority w:val="0"/>
    <w:rPr>
      <w:bdr w:val="single" w:color="DFDFDF" w:sz="6" w:space="0"/>
    </w:rPr>
  </w:style>
  <w:style w:type="character" w:customStyle="1" w:styleId="84">
    <w:name w:val="lt-btn-next"/>
    <w:basedOn w:val="27"/>
    <w:qFormat/>
    <w:uiPriority w:val="0"/>
    <w:rPr>
      <w:bdr w:val="single" w:color="DFDFDF" w:sz="6" w:space="0"/>
    </w:rPr>
  </w:style>
  <w:style w:type="character" w:customStyle="1" w:styleId="85">
    <w:name w:val="lt-ztbtn-next"/>
    <w:basedOn w:val="27"/>
    <w:qFormat/>
    <w:uiPriority w:val="0"/>
  </w:style>
  <w:style w:type="character" w:customStyle="1" w:styleId="86">
    <w:name w:val="lt-ztbtn-prev"/>
    <w:basedOn w:val="27"/>
    <w:qFormat/>
    <w:uiPriority w:val="0"/>
  </w:style>
  <w:style w:type="character" w:customStyle="1" w:styleId="87">
    <w:name w:val="total"/>
    <w:basedOn w:val="27"/>
    <w:qFormat/>
    <w:uiPriority w:val="0"/>
    <w:rPr>
      <w:color w:val="DB4244"/>
    </w:rPr>
  </w:style>
  <w:style w:type="character" w:customStyle="1" w:styleId="88">
    <w:name w:val="tyxy"/>
    <w:basedOn w:val="27"/>
    <w:qFormat/>
    <w:uiPriority w:val="0"/>
  </w:style>
  <w:style w:type="character" w:customStyle="1" w:styleId="89">
    <w:name w:val="tyxy1"/>
    <w:basedOn w:val="27"/>
    <w:qFormat/>
    <w:uiPriority w:val="0"/>
  </w:style>
  <w:style w:type="character" w:customStyle="1" w:styleId="90">
    <w:name w:val="ztmc1"/>
    <w:basedOn w:val="27"/>
    <w:qFormat/>
    <w:uiPriority w:val="0"/>
  </w:style>
  <w:style w:type="paragraph" w:customStyle="1" w:styleId="91">
    <w:name w:val="环评正文2"/>
    <w:basedOn w:val="1"/>
    <w:qFormat/>
    <w:uiPriority w:val="0"/>
    <w:pPr>
      <w:spacing w:line="360" w:lineRule="auto"/>
    </w:pPr>
    <w:rPr>
      <w:rFonts w:hAnsi="宋体" w:eastAsia="仿宋_GB2312"/>
      <w:color w:val="000000"/>
      <w:kern w:val="16"/>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9.pn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emf"/><Relationship Id="rId35" Type="http://schemas.openxmlformats.org/officeDocument/2006/relationships/image" Target="media/image9.wmf"/><Relationship Id="rId34" Type="http://schemas.openxmlformats.org/officeDocument/2006/relationships/oleObject" Target="embeddings/oleObject5.bin"/><Relationship Id="rId33" Type="http://schemas.openxmlformats.org/officeDocument/2006/relationships/image" Target="media/image8.wmf"/><Relationship Id="rId32" Type="http://schemas.openxmlformats.org/officeDocument/2006/relationships/oleObject" Target="embeddings/oleObject4.bin"/><Relationship Id="rId31" Type="http://schemas.openxmlformats.org/officeDocument/2006/relationships/chart" Target="charts/chart2.xml"/><Relationship Id="rId30" Type="http://schemas.openxmlformats.org/officeDocument/2006/relationships/chart" Target="charts/chart1.xml"/><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3.bin"/><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4.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5105;&#30340;&#25253;&#21578;\&#23425;&#22799;&#22435;&#30427;&#36234;&#20892;&#29287;&#32508;&#21512;&#24320;&#21457;&#26377;&#38480;&#20844;&#21496;5000&#22836;&#22902;&#29275;&#25206;&#36139;&#20859;&#27542;&#22522;&#22320;\&#23425;&#22799;&#22435;&#30427;&#36234;&#20892;&#29287;&#32508;&#21512;&#24320;&#21457;&#26377;&#38480;&#20844;&#21496;5000&#22836;&#22902;&#29275;&#25206;&#36139;&#20859;&#27542;&#22522;&#22320;\&#22902;&#29275;&#22330;&#35745;&#3163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5105;&#30340;&#25253;&#21578;\&#23425;&#22799;&#22435;&#30427;&#36234;&#20892;&#29287;&#32508;&#21512;&#24320;&#21457;&#26377;&#38480;&#20844;&#21496;5000&#22836;&#22902;&#29275;&#25206;&#36139;&#20859;&#27542;&#22522;&#22320;\&#23425;&#22799;&#22435;&#30427;&#36234;&#20892;&#29287;&#32508;&#21512;&#24320;&#21457;&#26377;&#38480;&#20844;&#21496;5000&#22836;&#22902;&#29275;&#25206;&#36139;&#20859;&#27542;&#22522;&#22320;\&#22902;&#29275;&#22330;&#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2"/>
                </a:solidFill>
                <a:latin typeface="+mn-lt"/>
                <a:ea typeface="+mn-ea"/>
                <a:cs typeface="+mn-cs"/>
              </a:defRPr>
            </a:pPr>
            <a:r>
              <a:rPr altLang="en-US"/>
              <a:t>氨氮</a:t>
            </a:r>
            <a:endParaRPr altLang="en-US"/>
          </a:p>
        </c:rich>
      </c:tx>
      <c:layout>
        <c:manualLayout>
          <c:xMode val="edge"/>
          <c:yMode val="edge"/>
          <c:x val="0.495531135531136"/>
          <c:y val="0.045077645054646"/>
        </c:manualLayout>
      </c:layout>
      <c:overlay val="0"/>
      <c:spPr>
        <a:noFill/>
        <a:ln>
          <a:noFill/>
        </a:ln>
        <a:effectLst/>
      </c:spPr>
    </c:title>
    <c:autoTitleDeleted val="0"/>
    <c:plotArea>
      <c:layout>
        <c:manualLayout>
          <c:layoutTarget val="inner"/>
          <c:xMode val="edge"/>
          <c:yMode val="edge"/>
          <c:x val="0.183711843711844"/>
          <c:y val="0.166697197288881"/>
          <c:w val="0.78026862026862"/>
          <c:h val="0.65678695731819"/>
        </c:manualLayout>
      </c:layout>
      <c:lineChart>
        <c:grouping val="standard"/>
        <c:varyColors val="0"/>
        <c:ser>
          <c:idx val="1"/>
          <c:order val="1"/>
          <c:tx>
            <c:strRef>
              <c:f>[奶牛场计算.xlsx]Sheet3!$C$6</c:f>
              <c:strCache>
                <c:ptCount val="1"/>
                <c:pt idx="0">
                  <c:v>100天         </c:v>
                </c:pt>
              </c:strCache>
            </c:strRef>
          </c:tx>
          <c:spPr>
            <a:ln w="31750" cap="rnd">
              <a:solidFill>
                <a:schemeClr val="accent2"/>
              </a:solidFill>
              <a:round/>
            </a:ln>
            <a:effectLst/>
          </c:spPr>
          <c:marker>
            <c:symbol val="none"/>
          </c:marker>
          <c:dLbls>
            <c:delete val="1"/>
          </c:dLbls>
          <c:cat>
            <c:strRef>
              <c:f>[奶牛场计算.xlsx]Sheet3!$B$6:$B$47</c:f>
              <c:strCache>
                <c:ptCount val="42"/>
                <c:pt idx="0">
                  <c:v>x</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strCache>
            </c:strRef>
          </c:cat>
          <c:val>
            <c:numRef>
              <c:f>[奶牛场计算.xlsx]Sheet3!$C$7:$C$47</c:f>
              <c:numCache>
                <c:formatCode>0.000_ </c:formatCode>
                <c:ptCount val="41"/>
                <c:pt idx="0">
                  <c:v>6.33</c:v>
                </c:pt>
                <c:pt idx="1">
                  <c:v>23.4</c:v>
                </c:pt>
                <c:pt idx="2">
                  <c:v>22.9</c:v>
                </c:pt>
                <c:pt idx="3">
                  <c:v>17.3</c:v>
                </c:pt>
                <c:pt idx="4">
                  <c:v>10.4</c:v>
                </c:pt>
                <c:pt idx="5">
                  <c:v>4.75</c:v>
                </c:pt>
                <c:pt idx="6">
                  <c:v>1.58</c:v>
                </c:pt>
                <c:pt idx="7">
                  <c:v>0.372</c:v>
                </c:pt>
                <c:pt idx="8">
                  <c:v>0.0613</c:v>
                </c:pt>
                <c:pt idx="9">
                  <c:v>0.00698</c:v>
                </c:pt>
                <c:pt idx="10">
                  <c:v>0.000546</c:v>
                </c:pt>
                <c:pt idx="11">
                  <c:v>2.91e-5</c:v>
                </c:pt>
                <c:pt idx="12">
                  <c:v>1.06e-6</c:v>
                </c:pt>
                <c:pt idx="13">
                  <c:v>2.61e-8</c:v>
                </c:pt>
                <c:pt idx="14">
                  <c:v>4.34e-10</c:v>
                </c:pt>
                <c:pt idx="15">
                  <c:v>5.26e-12</c:v>
                </c:pt>
                <c:pt idx="16">
                  <c:v>4e-14</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dLbls>
          <c:showLegendKey val="0"/>
          <c:showVal val="0"/>
          <c:showCatName val="0"/>
          <c:showSerName val="0"/>
          <c:showPercent val="0"/>
          <c:showBubbleSize val="0"/>
        </c:dLbls>
        <c:marker val="0"/>
        <c:smooth val="1"/>
        <c:axId val="922710978"/>
        <c:axId val="417508212"/>
        <c:extLst>
          <c:ext xmlns:c15="http://schemas.microsoft.com/office/drawing/2012/chart" uri="{02D57815-91ED-43cb-92C2-25804820EDAC}">
            <c15:filteredLineSeries>
              <c15:ser>
                <c:idx val="0"/>
                <c:order val="0"/>
                <c:tx>
                  <c:strRef>
                    <c:extLst>
                      <c:ext uri="{02D57815-91ED-43cb-92C2-25804820EDAC}">
                        <c15:formulaRef>
                          <c15:sqref>[奶牛场计算.xlsx]Sheet3!$B$6</c15:sqref>
                        </c15:formulaRef>
                      </c:ext>
                    </c:extLst>
                    <c:strCache>
                      <c:ptCount val="1"/>
                      <c:pt idx="0">
                        <c:v>x</c:v>
                      </c:pt>
                    </c:strCache>
                  </c:strRef>
                </c:tx>
                <c:spPr>
                  <a:ln w="31750" cap="rnd">
                    <a:solidFill>
                      <a:schemeClr val="accent1"/>
                    </a:solidFill>
                    <a:round/>
                  </a:ln>
                  <a:effectLst/>
                </c:spPr>
                <c:marker>
                  <c:symbol val="none"/>
                </c:marker>
                <c:dLbls>
                  <c:delete val="1"/>
                </c:dLbls>
                <c:cat>
                  <c:strRef>
                    <c:extLst>
                      <c:ext uri="{02D57815-91ED-43cb-92C2-25804820EDAC}">
                        <c15:fullRef>
                          <c15:sqref/>
                        </c15:fullRef>
                        <c15:formulaRef>
                          <c15:sqref>[奶牛场计算.xlsx]Sheet3!$B$6:$B$47</c15:sqref>
                        </c15:formulaRef>
                      </c:ext>
                    </c:extLst>
                    <c:strCache>
                      <c:ptCount val="42"/>
                      <c:pt idx="0">
                        <c:v>x</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strCache>
                  </c:strRef>
                </c:cat>
                <c:val>
                  <c:numRef>
                    <c:extLst>
                      <c:ext uri="{02D57815-91ED-43cb-92C2-25804820EDAC}">
                        <c15:formulaRef>
                          <c15:sqref>{0,10,20,30,40,50,60,70,80,90,100,110,120,130,140,150,160,170,180,190,200,210,220,230,240,250,260,270,280,290,300,310,320,330,340,350,360,370,380,390,400}</c15:sqref>
                        </c15:formulaRef>
                      </c:ext>
                    </c:extLst>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val>
                <c:smooth val="1"/>
              </c15:ser>
            </c15:filteredLineSeries>
          </c:ext>
        </c:extLst>
      </c:lineChart>
      <c:catAx>
        <c:axId val="922710978"/>
        <c:scaling>
          <c:orientation val="minMax"/>
        </c:scaling>
        <c:delete val="0"/>
        <c:axPos val="b"/>
        <c:title>
          <c:tx>
            <c:rich>
              <a:bodyPr rot="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距离</a:t>
                </a:r>
                <a:r>
                  <a:rPr lang="en-US" altLang="zh-CN"/>
                  <a:t>/m</a:t>
                </a:r>
                <a:endParaRPr lang="en-US" altLang="zh-CN"/>
              </a:p>
            </c:rich>
          </c:tx>
          <c:layout>
            <c:manualLayout>
              <c:xMode val="edge"/>
              <c:yMode val="edge"/>
              <c:x val="0.664078144078144"/>
              <c:y val="0.915735482689137"/>
            </c:manualLayout>
          </c:layout>
          <c:overlay val="0"/>
          <c:spPr>
            <a:noFill/>
            <a:ln>
              <a:noFill/>
            </a:ln>
            <a:effectLst/>
          </c:spPr>
        </c:title>
        <c:numFmt formatCode="General" sourceLinked="0"/>
        <c:majorTickMark val="none"/>
        <c:minorTickMark val="none"/>
        <c:tickLblPos val="nextTo"/>
        <c:spPr>
          <a:noFill/>
          <a:ln w="9525" cap="flat" cmpd="sng" algn="ctr">
            <a:solidFill>
              <a:schemeClr val="accent1"/>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417508212"/>
        <c:crosses val="autoZero"/>
        <c:auto val="1"/>
        <c:lblAlgn val="ctr"/>
        <c:lblOffset val="100"/>
        <c:noMultiLvlLbl val="0"/>
      </c:catAx>
      <c:valAx>
        <c:axId val="4175082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浓度</a:t>
                </a:r>
                <a:r>
                  <a:rPr lang="en-US" altLang="zh-CN"/>
                  <a:t>mg/L</a:t>
                </a:r>
                <a:endParaRPr lang="en-US" altLang="zh-CN"/>
              </a:p>
            </c:rich>
          </c:tx>
          <c:layout>
            <c:manualLayout>
              <c:xMode val="edge"/>
              <c:yMode val="edge"/>
              <c:x val="0.042002442002442"/>
              <c:y val="0.438853269829639"/>
            </c:manualLayout>
          </c:layout>
          <c:overlay val="0"/>
          <c:spPr>
            <a:noFill/>
            <a:ln>
              <a:noFill/>
            </a:ln>
            <a:effectLst/>
          </c:spPr>
        </c:title>
        <c:numFmt formatCode="0.000_ " sourceLinked="1"/>
        <c:majorTickMark val="none"/>
        <c:minorTickMark val="none"/>
        <c:tickLblPos val="nextTo"/>
        <c:spPr>
          <a:noFill/>
          <a:ln>
            <a:solidFill>
              <a:schemeClr val="accent1"/>
            </a:solid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922710978"/>
        <c:crosses val="autoZero"/>
        <c:crossBetween val="between"/>
      </c:valAx>
      <c:spPr>
        <a:noFill/>
        <a:ln>
          <a:solidFill>
            <a:schemeClr val="accent1"/>
          </a:solidFill>
        </a:ln>
        <a:effectLst/>
      </c:spPr>
    </c:plotArea>
    <c:legend>
      <c:legendPos val="b"/>
      <c:layout>
        <c:manualLayout>
          <c:xMode val="edge"/>
          <c:yMode val="edge"/>
          <c:x val="0.428472222222222"/>
          <c:y val="0.91550925925925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rgbClr val="FFFFFF"/>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2"/>
                </a:solidFill>
                <a:latin typeface="+mn-lt"/>
                <a:ea typeface="+mn-ea"/>
                <a:cs typeface="+mn-cs"/>
              </a:defRPr>
            </a:pPr>
            <a:r>
              <a:rPr altLang="en-US"/>
              <a:t>氨氮</a:t>
            </a:r>
            <a:endParaRPr altLang="en-US"/>
          </a:p>
        </c:rich>
      </c:tx>
      <c:layout>
        <c:manualLayout>
          <c:xMode val="edge"/>
          <c:yMode val="edge"/>
          <c:x val="0.495531135531136"/>
          <c:y val="0.045077645054646"/>
        </c:manualLayout>
      </c:layout>
      <c:overlay val="0"/>
      <c:spPr>
        <a:noFill/>
        <a:ln>
          <a:noFill/>
        </a:ln>
        <a:effectLst/>
      </c:spPr>
    </c:title>
    <c:autoTitleDeleted val="0"/>
    <c:plotArea>
      <c:layout>
        <c:manualLayout>
          <c:layoutTarget val="inner"/>
          <c:xMode val="edge"/>
          <c:yMode val="edge"/>
          <c:x val="0.175775335775336"/>
          <c:y val="0.166697197288881"/>
          <c:w val="0.788205128205128"/>
          <c:h val="0.65678695731819"/>
        </c:manualLayout>
      </c:layout>
      <c:lineChart>
        <c:grouping val="standard"/>
        <c:varyColors val="0"/>
        <c:ser>
          <c:idx val="1"/>
          <c:order val="1"/>
          <c:tx>
            <c:strRef>
              <c:f>[奶牛场计算.xlsx]Sheet3!$G$6</c:f>
              <c:strCache>
                <c:ptCount val="1"/>
                <c:pt idx="0">
                  <c:v>1000天         </c:v>
                </c:pt>
              </c:strCache>
            </c:strRef>
          </c:tx>
          <c:spPr>
            <a:ln w="31750" cap="rnd">
              <a:solidFill>
                <a:schemeClr val="accent2"/>
              </a:solidFill>
              <a:round/>
            </a:ln>
            <a:effectLst/>
          </c:spPr>
          <c:marker>
            <c:symbol val="none"/>
          </c:marker>
          <c:dLbls>
            <c:delete val="1"/>
          </c:dLbls>
          <c:cat>
            <c:strRef>
              <c:f>[奶牛场计算.xlsx]Sheet3!$F$6:$F$67</c:f>
              <c:strCache>
                <c:ptCount val="62"/>
                <c:pt idx="0">
                  <c:v>x</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strCache>
            </c:strRef>
          </c:cat>
          <c:val>
            <c:numRef>
              <c:f>[奶牛场计算.xlsx]Sheet3!$G$7:$G$67</c:f>
              <c:numCache>
                <c:formatCode>0.000_ </c:formatCode>
                <c:ptCount val="61"/>
                <c:pt idx="0">
                  <c:v>3.03e-10</c:v>
                </c:pt>
                <c:pt idx="1">
                  <c:v>1.24e-9</c:v>
                </c:pt>
                <c:pt idx="2">
                  <c:v>4.84e-9</c:v>
                </c:pt>
                <c:pt idx="3">
                  <c:v>1.81e-8</c:v>
                </c:pt>
                <c:pt idx="4">
                  <c:v>6.51e-8</c:v>
                </c:pt>
                <c:pt idx="5">
                  <c:v>2.24e-7</c:v>
                </c:pt>
                <c:pt idx="6">
                  <c:v>7.37e-7</c:v>
                </c:pt>
                <c:pt idx="7">
                  <c:v>2.32e-6</c:v>
                </c:pt>
                <c:pt idx="8">
                  <c:v>7.01e-6</c:v>
                </c:pt>
                <c:pt idx="9">
                  <c:v>2.03e-5</c:v>
                </c:pt>
                <c:pt idx="10">
                  <c:v>5.62e-5</c:v>
                </c:pt>
                <c:pt idx="11">
                  <c:v>0.000149</c:v>
                </c:pt>
                <c:pt idx="12">
                  <c:v>0.000379</c:v>
                </c:pt>
                <c:pt idx="13">
                  <c:v>0.000924</c:v>
                </c:pt>
                <c:pt idx="14">
                  <c:v>0.00216</c:v>
                </c:pt>
                <c:pt idx="15">
                  <c:v>0.00482</c:v>
                </c:pt>
                <c:pt idx="16">
                  <c:v>0.0103</c:v>
                </c:pt>
                <c:pt idx="17">
                  <c:v>0.0212</c:v>
                </c:pt>
                <c:pt idx="18">
                  <c:v>0.0417</c:v>
                </c:pt>
                <c:pt idx="19">
                  <c:v>0.0787</c:v>
                </c:pt>
                <c:pt idx="20">
                  <c:v>0.142</c:v>
                </c:pt>
                <c:pt idx="21">
                  <c:v>0.247</c:v>
                </c:pt>
                <c:pt idx="22">
                  <c:v>0.41</c:v>
                </c:pt>
                <c:pt idx="23">
                  <c:v>0.653</c:v>
                </c:pt>
                <c:pt idx="24">
                  <c:v>0.997</c:v>
                </c:pt>
                <c:pt idx="25">
                  <c:v>1.46</c:v>
                </c:pt>
                <c:pt idx="26">
                  <c:v>2.05</c:v>
                </c:pt>
                <c:pt idx="27">
                  <c:v>2.76</c:v>
                </c:pt>
                <c:pt idx="28">
                  <c:v>3.57</c:v>
                </c:pt>
                <c:pt idx="29">
                  <c:v>4.43</c:v>
                </c:pt>
                <c:pt idx="30">
                  <c:v>5.27</c:v>
                </c:pt>
                <c:pt idx="31">
                  <c:v>6.02</c:v>
                </c:pt>
                <c:pt idx="32">
                  <c:v>6.6</c:v>
                </c:pt>
                <c:pt idx="33">
                  <c:v>6.94</c:v>
                </c:pt>
                <c:pt idx="34">
                  <c:v>7.01</c:v>
                </c:pt>
                <c:pt idx="35">
                  <c:v>6.8</c:v>
                </c:pt>
                <c:pt idx="36">
                  <c:v>6.33</c:v>
                </c:pt>
                <c:pt idx="37">
                  <c:v>5.66</c:v>
                </c:pt>
                <c:pt idx="38">
                  <c:v>4.86</c:v>
                </c:pt>
                <c:pt idx="39">
                  <c:v>4.01</c:v>
                </c:pt>
                <c:pt idx="40">
                  <c:v>3.18</c:v>
                </c:pt>
                <c:pt idx="41">
                  <c:v>2.42</c:v>
                </c:pt>
                <c:pt idx="42">
                  <c:v>1.78</c:v>
                </c:pt>
                <c:pt idx="43">
                  <c:v>1.25</c:v>
                </c:pt>
                <c:pt idx="44">
                  <c:v>0.845</c:v>
                </c:pt>
                <c:pt idx="45">
                  <c:v>0.549</c:v>
                </c:pt>
                <c:pt idx="46">
                  <c:v>0.343</c:v>
                </c:pt>
                <c:pt idx="47">
                  <c:v>0.206</c:v>
                </c:pt>
                <c:pt idx="48">
                  <c:v>0.119</c:v>
                </c:pt>
                <c:pt idx="49">
                  <c:v>0.0663</c:v>
                </c:pt>
                <c:pt idx="50">
                  <c:v>0.0354</c:v>
                </c:pt>
                <c:pt idx="51">
                  <c:v>0.0182</c:v>
                </c:pt>
                <c:pt idx="52">
                  <c:v>0.009</c:v>
                </c:pt>
                <c:pt idx="53">
                  <c:v>0.00428</c:v>
                </c:pt>
                <c:pt idx="54">
                  <c:v>0.00196</c:v>
                </c:pt>
                <c:pt idx="55">
                  <c:v>0.000861</c:v>
                </c:pt>
                <c:pt idx="56">
                  <c:v>0.000364</c:v>
                </c:pt>
                <c:pt idx="57">
                  <c:v>0.000148</c:v>
                </c:pt>
                <c:pt idx="58">
                  <c:v>5.8e-5</c:v>
                </c:pt>
                <c:pt idx="59">
                  <c:v>2.18e-5</c:v>
                </c:pt>
                <c:pt idx="60">
                  <c:v>7.9e-6</c:v>
                </c:pt>
              </c:numCache>
            </c:numRef>
          </c:val>
          <c:smooth val="1"/>
        </c:ser>
        <c:dLbls>
          <c:showLegendKey val="0"/>
          <c:showVal val="0"/>
          <c:showCatName val="0"/>
          <c:showSerName val="0"/>
          <c:showPercent val="0"/>
          <c:showBubbleSize val="0"/>
        </c:dLbls>
        <c:marker val="0"/>
        <c:smooth val="1"/>
        <c:axId val="922710978"/>
        <c:axId val="417508212"/>
        <c:extLst>
          <c:ext xmlns:c15="http://schemas.microsoft.com/office/drawing/2012/chart" uri="{02D57815-91ED-43cb-92C2-25804820EDAC}">
            <c15:filteredLineSeries>
              <c15:ser>
                <c:idx val="0"/>
                <c:order val="0"/>
                <c:tx>
                  <c:strRef>
                    <c:extLst>
                      <c:ext uri="{02D57815-91ED-43cb-92C2-25804820EDAC}">
                        <c15:formulaRef>
                          <c15:sqref>[奶牛场计算.xlsx]Sheet3!$F$6</c15:sqref>
                        </c15:formulaRef>
                      </c:ext>
                    </c:extLst>
                    <c:strCache>
                      <c:ptCount val="1"/>
                      <c:pt idx="0">
                        <c:v>x</c:v>
                      </c:pt>
                    </c:strCache>
                  </c:strRef>
                </c:tx>
                <c:spPr>
                  <a:ln w="31750" cap="rnd">
                    <a:solidFill>
                      <a:schemeClr val="accent1"/>
                    </a:solidFill>
                    <a:round/>
                  </a:ln>
                  <a:effectLst/>
                </c:spPr>
                <c:marker>
                  <c:symbol val="none"/>
                </c:marker>
                <c:dLbls>
                  <c:delete val="1"/>
                </c:dLbls>
                <c:cat>
                  <c:strRef>
                    <c:extLst>
                      <c:ext uri="{02D57815-91ED-43cb-92C2-25804820EDAC}">
                        <c15:fullRef>
                          <c15:sqref/>
                        </c15:fullRef>
                        <c15:formulaRef>
                          <c15:sqref>[奶牛场计算.xlsx]Sheet3!$F$6:$F$67</c15:sqref>
                        </c15:formulaRef>
                      </c:ext>
                    </c:extLst>
                    <c:strCache>
                      <c:ptCount val="62"/>
                      <c:pt idx="0">
                        <c:v>x</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strCache>
                  </c:strRef>
                </c:cat>
                <c:val>
                  <c:numRef>
                    <c:extLst>
                      <c:ext uri="{02D57815-91ED-43cb-92C2-25804820EDAC}">
                        <c15:formulaRef>
                          <c15:sqref>{0,10,20,30,40,50,60,70,80,90,100,110,120,130,140,150,160,170,180,190,200,210,220,230,240,250,260,270,280,290,300,310,320,330,340,350,360,370,380,390,400,410,420,430,440,450,460,470,480,490,500,510,520,530,540,550,560,570,580,590,600}</c15:sqref>
                        </c15:formulaRef>
                      </c:ext>
                    </c:extLst>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val>
                <c:smooth val="1"/>
              </c15:ser>
            </c15:filteredLineSeries>
          </c:ext>
        </c:extLst>
      </c:lineChart>
      <c:catAx>
        <c:axId val="922710978"/>
        <c:scaling>
          <c:orientation val="minMax"/>
        </c:scaling>
        <c:delete val="0"/>
        <c:axPos val="b"/>
        <c:title>
          <c:tx>
            <c:rich>
              <a:bodyPr rot="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距离</a:t>
                </a:r>
                <a:r>
                  <a:rPr lang="en-US" altLang="zh-CN"/>
                  <a:t>/m</a:t>
                </a:r>
                <a:endParaRPr lang="en-US" altLang="zh-CN"/>
              </a:p>
            </c:rich>
          </c:tx>
          <c:layout>
            <c:manualLayout>
              <c:xMode val="edge"/>
              <c:yMode val="edge"/>
              <c:x val="0.664078144078144"/>
              <c:y val="0.915735482689137"/>
            </c:manualLayout>
          </c:layout>
          <c:overlay val="0"/>
          <c:spPr>
            <a:noFill/>
            <a:ln>
              <a:noFill/>
            </a:ln>
            <a:effectLst/>
          </c:spPr>
        </c:title>
        <c:numFmt formatCode="General" sourceLinked="0"/>
        <c:majorTickMark val="none"/>
        <c:minorTickMark val="none"/>
        <c:tickLblPos val="nextTo"/>
        <c:spPr>
          <a:noFill/>
          <a:ln w="9525" cap="flat" cmpd="sng" algn="ctr">
            <a:solidFill>
              <a:schemeClr val="accent1"/>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417508212"/>
        <c:crosses val="autoZero"/>
        <c:auto val="1"/>
        <c:lblAlgn val="ctr"/>
        <c:lblOffset val="100"/>
        <c:noMultiLvlLbl val="0"/>
      </c:catAx>
      <c:valAx>
        <c:axId val="4175082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浓度</a:t>
                </a:r>
                <a:r>
                  <a:rPr lang="en-US" altLang="zh-CN"/>
                  <a:t>mg/L</a:t>
                </a:r>
                <a:endParaRPr lang="en-US" altLang="zh-CN"/>
              </a:p>
            </c:rich>
          </c:tx>
          <c:layout>
            <c:manualLayout>
              <c:xMode val="edge"/>
              <c:yMode val="edge"/>
              <c:x val="0.0438339438339438"/>
              <c:y val="0.433357757831105"/>
            </c:manualLayout>
          </c:layout>
          <c:overlay val="0"/>
          <c:spPr>
            <a:noFill/>
            <a:ln>
              <a:noFill/>
            </a:ln>
            <a:effectLst/>
          </c:spPr>
        </c:title>
        <c:numFmt formatCode="0.000_ " sourceLinked="1"/>
        <c:majorTickMark val="none"/>
        <c:minorTickMark val="none"/>
        <c:tickLblPos val="nextTo"/>
        <c:spPr>
          <a:noFill/>
          <a:ln>
            <a:solidFill>
              <a:schemeClr val="accent1"/>
            </a:solid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922710978"/>
        <c:crosses val="autoZero"/>
        <c:crossBetween val="between"/>
      </c:valAx>
      <c:spPr>
        <a:noFill/>
        <a:ln>
          <a:solidFill>
            <a:schemeClr val="accent1"/>
          </a:solidFill>
        </a:ln>
        <a:effectLst/>
      </c:spPr>
    </c:plotArea>
    <c:legend>
      <c:legendPos val="b"/>
      <c:layout>
        <c:manualLayout>
          <c:xMode val="edge"/>
          <c:yMode val="edge"/>
          <c:x val="0.428472222222222"/>
          <c:y val="0.91550925925925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rgbClr val="FFFFFF"/>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180</Pages>
  <Words>105353</Words>
  <Characters>125022</Characters>
  <Lines>0</Lines>
  <Paragraphs>0</Paragraphs>
  <TotalTime>0</TotalTime>
  <ScaleCrop>false</ScaleCrop>
  <LinksUpToDate>false</LinksUpToDate>
  <CharactersWithSpaces>126218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2020-07-01T12:10:00Z</dcterms:created>
  <dc:creator>(╯3╰) LJ</dc:creator>
  <cp:lastModifiedBy>.</cp:lastModifiedBy>
  <dcterms:modified xsi:type="dcterms:W3CDTF">2023-08-25T03:32:37Z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CB7CA8F6B05B43EAB195B49326C579AE</vt:lpwstr>
  </property>
</Properties>
</file>